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B2BE" w14:textId="77777777" w:rsidR="0017232D" w:rsidRDefault="0017232D">
      <w:pPr>
        <w:spacing w:before="1200"/>
        <w:rPr>
          <w:rFonts w:cs="Arial"/>
        </w:rPr>
      </w:pPr>
    </w:p>
    <w:p w14:paraId="5278E2F0" w14:textId="77777777" w:rsidR="0017232D" w:rsidRDefault="00F7279A">
      <w:pPr>
        <w:spacing w:after="300"/>
        <w:jc w:val="center"/>
        <w:rPr>
          <w:rFonts w:cs="Arial"/>
        </w:rPr>
      </w:pPr>
      <w:r>
        <w:rPr>
          <w:b/>
          <w:bCs/>
          <w:color w:val="1B2A4A"/>
          <w:sz w:val="44"/>
          <w:szCs w:val="44"/>
        </w:rPr>
        <w:t>من "الفلسفة المجردة" إلى "الهندسة الوجودية"</w:t>
      </w:r>
    </w:p>
    <w:p w14:paraId="02A6E8B5" w14:textId="77777777" w:rsidR="0017232D" w:rsidRDefault="00F7279A">
      <w:pPr>
        <w:spacing w:after="500"/>
        <w:jc w:val="center"/>
        <w:rPr>
          <w:rFonts w:cs="Arial"/>
        </w:rPr>
      </w:pPr>
      <w:r>
        <w:rPr>
          <w:b/>
          <w:bCs/>
          <w:color w:val="1F6F63"/>
          <w:sz w:val="30"/>
          <w:szCs w:val="30"/>
        </w:rPr>
        <w:t>دراسة موسعة في الأسس الفلسفية لعلم النفس الاستخلافي عند عبد السلام الزراع</w:t>
      </w:r>
    </w:p>
    <w:p w14:paraId="583A2139" w14:textId="77777777" w:rsidR="0017232D" w:rsidRDefault="00F7279A">
      <w:pPr>
        <w:spacing w:after="200"/>
        <w:jc w:val="center"/>
        <w:rPr>
          <w:rFonts w:cs="Arial"/>
        </w:rPr>
      </w:pPr>
      <w:r>
        <w:rPr>
          <w:i/>
          <w:iCs/>
          <w:color w:val="B8860B"/>
          <w:sz w:val="24"/>
          <w:szCs w:val="24"/>
        </w:rPr>
        <w:t xml:space="preserve">القطيعة </w:t>
      </w:r>
      <w:proofErr w:type="spellStart"/>
      <w:r>
        <w:rPr>
          <w:i/>
          <w:iCs/>
          <w:color w:val="B8860B"/>
          <w:sz w:val="24"/>
          <w:szCs w:val="24"/>
        </w:rPr>
        <w:t>الإبستمولوجية</w:t>
      </w:r>
      <w:proofErr w:type="spellEnd"/>
      <w:r>
        <w:rPr>
          <w:i/>
          <w:iCs/>
          <w:color w:val="B8860B"/>
          <w:sz w:val="24"/>
          <w:szCs w:val="24"/>
        </w:rPr>
        <w:t>، النظريات الست، والحوار النقدي مع التراثين الغربي والإسلامي الكلاسيكي</w:t>
      </w:r>
    </w:p>
    <w:p w14:paraId="49196DC3" w14:textId="77777777" w:rsidR="0017232D" w:rsidRDefault="00F7279A">
      <w:pPr>
        <w:spacing w:before="1000"/>
        <w:jc w:val="center"/>
        <w:rPr>
          <w:rFonts w:cs="Arial"/>
        </w:rPr>
      </w:pPr>
      <w:r>
        <w:rPr>
          <w:sz w:val="22"/>
          <w:szCs w:val="22"/>
        </w:rPr>
        <w:t>الطبعة الموسعة — 2026</w:t>
      </w:r>
    </w:p>
    <w:p w14:paraId="6F94AB74" w14:textId="77777777" w:rsidR="0017232D" w:rsidRDefault="00F7279A">
      <w:pPr>
        <w:rPr>
          <w:rFonts w:cs="Arial"/>
        </w:rPr>
      </w:pPr>
      <w:r>
        <w:br w:type="page"/>
      </w:r>
    </w:p>
    <w:p w14:paraId="35826446"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تمهيد: الفلسفة بوصفها "هندسة وجودية" — لماذا لا يمكن لعلم النفس أن يكون "بلا فلسفة"؟</w:t>
      </w:r>
    </w:p>
    <w:p w14:paraId="664D90E4" w14:textId="77777777" w:rsidR="0017232D" w:rsidRDefault="00F7279A">
      <w:pPr>
        <w:spacing w:after="200" w:line="340" w:lineRule="auto"/>
        <w:jc w:val="both"/>
        <w:rPr>
          <w:rFonts w:cs="Arial"/>
        </w:rPr>
      </w:pPr>
      <w:r>
        <w:t>في مشهد علم النفس المعاصر، ساد لعدة عقود اعتقاد مفاده أن علم النفس، لكي يكون علمًا حقيقيًا، يجب أن يتخلص من الفلسفة، ويقطع كل صلة له بالتأملات الميتافيزيقية والأسئلة الوجودية الكبرى. وهذا الاعتقاد، كما يؤكد الزراع، ليس ناتجًا عن طبيعة العلم نفسه، بل هو في الحقيقة نتاج لخيار فلسفي معين: خيار الوضعية (</w:t>
      </w:r>
      <w:proofErr w:type="spellStart"/>
      <w:r>
        <w:t>Positivism</w:t>
      </w:r>
      <w:proofErr w:type="spellEnd"/>
      <w:r>
        <w:t>) التي اختزلت الحقيقة في المادة والتجربة، وأقصت كل ما عداها [1142، 1191].</w:t>
      </w:r>
    </w:p>
    <w:p w14:paraId="48BC7543" w14:textId="77777777" w:rsidR="0017232D" w:rsidRDefault="00F7279A">
      <w:pPr>
        <w:spacing w:after="200" w:line="340" w:lineRule="auto"/>
        <w:jc w:val="both"/>
        <w:rPr>
          <w:rFonts w:cs="Arial"/>
        </w:rPr>
      </w:pPr>
      <w:r>
        <w:t>في مقابل هذا الموقف، يعلن علم النفس الاستخلافي، بصراحة منهجية وشجاعة فكرية، أن الفلسفة ليست ترفًا أو تأملات مجردة، بل هي في جوهرها هندسة وجودية (</w:t>
      </w:r>
      <w:proofErr w:type="spellStart"/>
      <w:r>
        <w:t>Existential</w:t>
      </w:r>
      <w:proofErr w:type="spellEnd"/>
      <w:r>
        <w:t xml:space="preserve"> </w:t>
      </w:r>
      <w:proofErr w:type="spellStart"/>
      <w:r>
        <w:t>Engineering</w:t>
      </w:r>
      <w:proofErr w:type="spellEnd"/>
      <w:r>
        <w:t>): عملية بناء منهجي وواعٍ لرؤية كونية شاملة تجيب عن الأسئلة الكبرى، وتحدد موقع الإنسان في الوجود، وتوجه العلم نحو غاياته السامية [1142، 1191].</w:t>
      </w:r>
    </w:p>
    <w:p w14:paraId="00EB5D8A" w14:textId="77777777" w:rsidR="0017232D" w:rsidRDefault="00F7279A">
      <w:pPr>
        <w:spacing w:after="200" w:line="340" w:lineRule="auto"/>
        <w:jc w:val="both"/>
        <w:rPr>
          <w:rFonts w:cs="Arial"/>
        </w:rPr>
      </w:pPr>
      <w:r>
        <w:t xml:space="preserve">وهذه الهندسة، كما يمارسها الزراع، تقوم على قطيعة </w:t>
      </w:r>
      <w:proofErr w:type="spellStart"/>
      <w:r>
        <w:t>إبستمولوجية</w:t>
      </w:r>
      <w:proofErr w:type="spellEnd"/>
      <w:r>
        <w:t xml:space="preserve"> (</w:t>
      </w:r>
      <w:proofErr w:type="spellStart"/>
      <w:r>
        <w:t>Épistémologique</w:t>
      </w:r>
      <w:proofErr w:type="spellEnd"/>
      <w:r>
        <w:t xml:space="preserve"> </w:t>
      </w:r>
      <w:proofErr w:type="spellStart"/>
      <w:r>
        <w:t>Rupture</w:t>
      </w:r>
      <w:proofErr w:type="spellEnd"/>
      <w:r>
        <w:t>) مع النماذج المادية والوضعية التي هيمنت على العلم الغربي [1399، 1404]. وهي قطيعة لا تعني رفض منجزات العلم، بل تعني، بشكل أساسي، رفض احتكار هذا العلم لتعريف الحقيقة والمعرفة، وتوسيع أفق العقل ليشمل مصادر معرفية أخرى: الوحي، والفطرة، والحدس، والكشف.</w:t>
      </w:r>
    </w:p>
    <w:p w14:paraId="60703493" w14:textId="77777777" w:rsidR="0017232D" w:rsidRDefault="00F7279A">
      <w:pPr>
        <w:spacing w:after="200" w:line="340" w:lineRule="auto"/>
        <w:jc w:val="both"/>
        <w:rPr>
          <w:rFonts w:cs="Arial"/>
        </w:rPr>
      </w:pPr>
      <w:r>
        <w:t xml:space="preserve">وتضيف هذه الطبعة الموسعة إلى الدراسة الأصلية طبقة تحليلية جديدة: حوارًا نقديًا منهجيًا بين كل نظرية من النظريات الست ونظيرتها في الفلسفة الغربية المعاصرة من جهة، وجذرها في التراث الفقهي والصوفي والعمراني الإسلامي الكلاسيكي من جهة أخرى، مع عدم إغفال المواضع التي تستدعي حذرًا نقديًا أو مراجعة ذاتية، وفاءً لمبدأ الأمانة العلمية الذي </w:t>
      </w:r>
      <w:proofErr w:type="spellStart"/>
      <w:r>
        <w:t>يقتضيه</w:t>
      </w:r>
      <w:proofErr w:type="spellEnd"/>
      <w:r>
        <w:t xml:space="preserve"> أي بحث أكاديمي جاد.</w:t>
      </w:r>
    </w:p>
    <w:p w14:paraId="4B9DC325"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الأول: "فلسفة السيادة الأخلاقية" (الفلسفة السياسية) — من سيادة القانون إلى سيادة القيم</w:t>
      </w:r>
    </w:p>
    <w:p w14:paraId="7E543C47" w14:textId="77777777" w:rsidR="0017232D" w:rsidRDefault="00F7279A">
      <w:pPr>
        <w:pStyle w:val="2"/>
        <w:bidi/>
        <w:spacing w:before="360" w:after="200"/>
        <w:jc w:val="right"/>
        <w:rPr>
          <w:rFonts w:cs="Arial"/>
        </w:rPr>
      </w:pPr>
      <w:r>
        <w:rPr>
          <w:b/>
          <w:bCs/>
          <w:color w:val="1F6F63"/>
          <w:sz w:val="30"/>
          <w:szCs w:val="30"/>
        </w:rPr>
        <w:t>1.1 النموذج الغربي: سيادة القانون والحياد القيمي</w:t>
      </w:r>
    </w:p>
    <w:p w14:paraId="009967D5" w14:textId="77777777" w:rsidR="0017232D" w:rsidRDefault="00F7279A">
      <w:pPr>
        <w:spacing w:after="200" w:line="340" w:lineRule="auto"/>
        <w:jc w:val="both"/>
        <w:rPr>
          <w:rFonts w:cs="Arial"/>
        </w:rPr>
      </w:pPr>
      <w:r>
        <w:t>في الفلسفة السياسية الغربية الحديثة، ترسخ مبدأ أن السيادة (</w:t>
      </w:r>
      <w:proofErr w:type="spellStart"/>
      <w:r>
        <w:t>Sovereignty</w:t>
      </w:r>
      <w:proofErr w:type="spellEnd"/>
      <w:r>
        <w:t>) هي للقانون وللدستور ولإرادة الشعب. والدولة الحديثة، في هذا التصور، هي كيان محايد قيميًا، يضمن الحقوق والحريات دون أن يفرض رؤية أخلاقية أو دينية معينة. وهذا الحياد، كما يجادل الزراع، ليس حيادًا حقيقيًا، بل هو في العمق تبنٍّ خفي لقيم السوق والمادة والفردانية، وإقصاء للقيم المتعالية والدينية [842، 961، 992].</w:t>
      </w:r>
    </w:p>
    <w:p w14:paraId="18310968" w14:textId="77777777" w:rsidR="0017232D" w:rsidRDefault="00F7279A">
      <w:pPr>
        <w:pStyle w:val="2"/>
        <w:bidi/>
        <w:spacing w:before="360" w:after="200"/>
        <w:jc w:val="right"/>
        <w:rPr>
          <w:rFonts w:cs="Arial"/>
        </w:rPr>
      </w:pPr>
      <w:r>
        <w:rPr>
          <w:b/>
          <w:bCs/>
          <w:color w:val="1F6F63"/>
          <w:sz w:val="30"/>
          <w:szCs w:val="30"/>
        </w:rPr>
        <w:t>1.2 البديل الاستخلافي: السيادة الأخلاقية والدولة الاستخلافية</w:t>
      </w:r>
    </w:p>
    <w:p w14:paraId="2C42A902" w14:textId="77777777" w:rsidR="0017232D" w:rsidRDefault="00F7279A">
      <w:pPr>
        <w:spacing w:after="200" w:line="340" w:lineRule="auto"/>
        <w:jc w:val="both"/>
        <w:rPr>
          <w:rFonts w:cs="Arial"/>
        </w:rPr>
      </w:pPr>
      <w:r>
        <w:t>في مقابل هذا النموذج، يطرح الزراع مفهوم السيادة الأخلاقية (</w:t>
      </w:r>
      <w:proofErr w:type="spellStart"/>
      <w:r>
        <w:t>Ethical</w:t>
      </w:r>
      <w:proofErr w:type="spellEnd"/>
      <w:r>
        <w:t xml:space="preserve"> </w:t>
      </w:r>
      <w:proofErr w:type="spellStart"/>
      <w:r>
        <w:t>Sovereignty</w:t>
      </w:r>
      <w:proofErr w:type="spellEnd"/>
      <w:r>
        <w:t>): السيادة، في الحقيقة، ليست للأشخاص ولا للقوانين الوضعية المجردة، بل هي، قبل ذلك، للمنظومة الأخلاقية المستمدة من الوحي. فالله سبحانه هو المشرع الأعلى، والقيم التي أنزلها هي المعيار الذي يجب أن تخضع له كل القوانين والسياسات.</w:t>
      </w:r>
    </w:p>
    <w:p w14:paraId="145A88FC" w14:textId="77777777" w:rsidR="0017232D" w:rsidRDefault="00F7279A">
      <w:pPr>
        <w:spacing w:after="200" w:line="340" w:lineRule="auto"/>
        <w:jc w:val="both"/>
        <w:rPr>
          <w:rFonts w:cs="Arial"/>
        </w:rPr>
      </w:pPr>
      <w:r>
        <w:t>وهذا التصور يقود إلى نموذج الدولة الاستخلافية التي تختلف جوهريًا عن الدولة الحديثة: هدفها ليس مجرد إدارة الموارد وتحقيق الرفاه المادي، بل هو، قبل ذلك، تخليق الذات وتحقيق الاستخلاف والحياة الطيبة. والقانون فيها ليس غاية، بل هو أداة لخدمة القيم والأخلاق.</w:t>
      </w:r>
    </w:p>
    <w:p w14:paraId="7045DFCF" w14:textId="77777777" w:rsidR="0017232D" w:rsidRDefault="00F7279A">
      <w:pPr>
        <w:pStyle w:val="2"/>
        <w:bidi/>
        <w:spacing w:before="360" w:after="200"/>
        <w:jc w:val="right"/>
        <w:rPr>
          <w:rFonts w:cs="Arial"/>
        </w:rPr>
      </w:pPr>
      <w:r>
        <w:rPr>
          <w:b/>
          <w:bCs/>
          <w:color w:val="1F6F63"/>
          <w:sz w:val="30"/>
          <w:szCs w:val="30"/>
        </w:rPr>
        <w:t>1.3 الجذور الكلاسيكية: من "الأحكام السلطانية" للماوردي إلى "السياسة الشرعية" لابن تيمية</w:t>
      </w:r>
    </w:p>
    <w:p w14:paraId="43A7E97E" w14:textId="77777777" w:rsidR="0017232D" w:rsidRDefault="00F7279A">
      <w:pPr>
        <w:spacing w:after="200" w:line="340" w:lineRule="auto"/>
        <w:jc w:val="both"/>
        <w:rPr>
          <w:rFonts w:cs="Arial"/>
        </w:rPr>
      </w:pPr>
      <w:r>
        <w:t>يستند الزراع، في تأصيله لمفهوم السيادة الأخلاقية، إلى تراث فقهي وسياسي إسلامي عريق سبق الحداثة الغربية بقرون. فالماوردي، في "الأحكام السلطانية والولايات الدينية"، لم يفصل بين وظيفة الإمامة الدينية ووظيفتها السياسية، بل جعل حراسة الدين وسياسة الدنيا به غاية واحدة متكاملة، بما يناقض جذريًا فكرة الدولة المحايدة قيميًا.</w:t>
      </w:r>
    </w:p>
    <w:p w14:paraId="1BB56E67" w14:textId="77777777" w:rsidR="0017232D" w:rsidRDefault="00F7279A">
      <w:pPr>
        <w:spacing w:after="200" w:line="340" w:lineRule="auto"/>
        <w:jc w:val="both"/>
        <w:rPr>
          <w:rFonts w:cs="Arial"/>
        </w:rPr>
      </w:pPr>
      <w:r>
        <w:t xml:space="preserve">وابن تيمية، من جهته، في "السياسة الشرعية في إصلاح الراعي والرعية"، ذهب أبعد من ذلك حين جعل الولاية أمانة تُقاس شرعيتها بمدى تحقيقها للمصلحة الشرعية </w:t>
      </w:r>
      <w:proofErr w:type="spellStart"/>
      <w:r>
        <w:t>المؤطرة</w:t>
      </w:r>
      <w:proofErr w:type="spellEnd"/>
      <w:r>
        <w:t xml:space="preserve"> بالوحي، لا بمجرد الإجراء القانوني أو التوافق الإجرائي. هذا التراث، كما يلاحظ الزراع، لا يُستدعى بوصفه سلطة نصية تُطبق حرفيًا على واقع القرن الحادي والعشرين، بل بوصفه بنية استدلالية تبرهن أن مفهوم السيادة الأخلاقية ليس ابتكارًا معاصرًا مفصولًا عن التراث، بل هو استئناف نقدي وواعٍ لمنطق حضاري متجذر.</w:t>
      </w:r>
    </w:p>
    <w:p w14:paraId="1A5920EA" w14:textId="77777777" w:rsidR="0017232D" w:rsidRDefault="00F7279A">
      <w:pPr>
        <w:pStyle w:val="2"/>
        <w:bidi/>
        <w:spacing w:before="360" w:after="200"/>
        <w:jc w:val="right"/>
        <w:rPr>
          <w:rFonts w:cs="Arial"/>
        </w:rPr>
      </w:pPr>
      <w:r>
        <w:rPr>
          <w:b/>
          <w:bCs/>
          <w:color w:val="1F6F63"/>
          <w:sz w:val="30"/>
          <w:szCs w:val="30"/>
        </w:rPr>
        <w:t xml:space="preserve">1.4 حوار نقدي مع المدرسة </w:t>
      </w:r>
      <w:proofErr w:type="spellStart"/>
      <w:r>
        <w:rPr>
          <w:b/>
          <w:bCs/>
          <w:color w:val="1F6F63"/>
          <w:sz w:val="30"/>
          <w:szCs w:val="30"/>
        </w:rPr>
        <w:t>الجماعاتية</w:t>
      </w:r>
      <w:proofErr w:type="spellEnd"/>
      <w:r>
        <w:rPr>
          <w:b/>
          <w:bCs/>
          <w:color w:val="1F6F63"/>
          <w:sz w:val="30"/>
          <w:szCs w:val="30"/>
        </w:rPr>
        <w:t xml:space="preserve"> الغربية: </w:t>
      </w:r>
      <w:proofErr w:type="spellStart"/>
      <w:r>
        <w:rPr>
          <w:b/>
          <w:bCs/>
          <w:color w:val="1F6F63"/>
          <w:sz w:val="30"/>
          <w:szCs w:val="30"/>
        </w:rPr>
        <w:t>ماكنتاير</w:t>
      </w:r>
      <w:proofErr w:type="spellEnd"/>
      <w:r>
        <w:rPr>
          <w:b/>
          <w:bCs/>
          <w:color w:val="1F6F63"/>
          <w:sz w:val="30"/>
          <w:szCs w:val="30"/>
        </w:rPr>
        <w:t xml:space="preserve"> </w:t>
      </w:r>
      <w:proofErr w:type="spellStart"/>
      <w:r>
        <w:rPr>
          <w:b/>
          <w:bCs/>
          <w:color w:val="1F6F63"/>
          <w:sz w:val="30"/>
          <w:szCs w:val="30"/>
        </w:rPr>
        <w:t>وساندل</w:t>
      </w:r>
      <w:proofErr w:type="spellEnd"/>
    </w:p>
    <w:p w14:paraId="68506D06" w14:textId="77777777" w:rsidR="0017232D" w:rsidRDefault="00F7279A">
      <w:pPr>
        <w:spacing w:after="200" w:line="340" w:lineRule="auto"/>
        <w:jc w:val="both"/>
        <w:rPr>
          <w:rFonts w:cs="Arial"/>
        </w:rPr>
      </w:pPr>
      <w:r>
        <w:t xml:space="preserve">تجد أطروحة الزراع سندًا غير متوقع في نقد الفيلسوف الاسكتلندي </w:t>
      </w:r>
      <w:proofErr w:type="spellStart"/>
      <w:r>
        <w:t>أليستير</w:t>
      </w:r>
      <w:proofErr w:type="spellEnd"/>
      <w:r>
        <w:t xml:space="preserve"> </w:t>
      </w:r>
      <w:proofErr w:type="spellStart"/>
      <w:r>
        <w:t>ماكنتاير</w:t>
      </w:r>
      <w:proofErr w:type="spellEnd"/>
      <w:r>
        <w:t xml:space="preserve"> لليبرالية الإجرائية في كتابه "بعد الفضيلة"، حيث يبين أن دعوى "الحياد القيمي" وهمٌ فلسفي، وأن كل نسق أخلاقي، بما في ذلك الليبرالية نفسها، ينبع من تقليد (</w:t>
      </w:r>
      <w:proofErr w:type="spellStart"/>
      <w:r>
        <w:t>Tradition</w:t>
      </w:r>
      <w:proofErr w:type="spellEnd"/>
      <w:r>
        <w:t xml:space="preserve">) معين له غاياته الضمنية. وكذلك مايكل </w:t>
      </w:r>
      <w:proofErr w:type="spellStart"/>
      <w:r>
        <w:t>ساندل</w:t>
      </w:r>
      <w:proofErr w:type="spellEnd"/>
      <w:r>
        <w:t xml:space="preserve"> في نقده لفكرة "الذات غير </w:t>
      </w:r>
      <w:proofErr w:type="spellStart"/>
      <w:r>
        <w:t>المتموقعة</w:t>
      </w:r>
      <w:proofErr w:type="spellEnd"/>
      <w:r>
        <w:t>" (</w:t>
      </w:r>
      <w:proofErr w:type="spellStart"/>
      <w:r>
        <w:t>Unencumbered</w:t>
      </w:r>
      <w:proofErr w:type="spellEnd"/>
      <w:r>
        <w:t xml:space="preserve"> </w:t>
      </w:r>
      <w:proofErr w:type="spellStart"/>
      <w:r>
        <w:t>Self</w:t>
      </w:r>
      <w:proofErr w:type="spellEnd"/>
      <w:r>
        <w:t>) عند رولز، إذ يؤكد أن الإنسان لا يمكن فصله عن انتماءاته وجماعته وقيمها التأسيسية.</w:t>
      </w:r>
    </w:p>
    <w:p w14:paraId="70736BF9" w14:textId="77777777" w:rsidR="0017232D" w:rsidRDefault="00F7279A">
      <w:pPr>
        <w:spacing w:after="200" w:line="340" w:lineRule="auto"/>
        <w:jc w:val="both"/>
        <w:rPr>
          <w:rFonts w:cs="Arial"/>
        </w:rPr>
      </w:pPr>
      <w:r>
        <w:t xml:space="preserve">غير أن الزراع يفترق عن هذين المفكرين في نقطة جوهرية: فبينما يؤسس </w:t>
      </w:r>
      <w:proofErr w:type="spellStart"/>
      <w:r>
        <w:t>ماكنتاير</w:t>
      </w:r>
      <w:proofErr w:type="spellEnd"/>
      <w:r>
        <w:t xml:space="preserve"> </w:t>
      </w:r>
      <w:proofErr w:type="spellStart"/>
      <w:r>
        <w:t>وساندل</w:t>
      </w:r>
      <w:proofErr w:type="spellEnd"/>
      <w:r>
        <w:t xml:space="preserve"> مرجعية الأخلاق على التقليد أو الجماعة بوصفهما بناءً بشريًا تاريخيًا، يرفض الزراع أن تكون المرجعية النهائية بشرية المصدر مهما بلغت رسوخها، ويجعل الوحي الإلهي هو الأساس المتعالي الذي يفلت من نسبية التقاليد الإنسانية المتعددة والمتنازعة.</w:t>
      </w:r>
    </w:p>
    <w:p w14:paraId="170225C6" w14:textId="77777777" w:rsidR="0017232D" w:rsidRDefault="00F7279A">
      <w:pPr>
        <w:pStyle w:val="2"/>
        <w:bidi/>
        <w:spacing w:before="360" w:after="200"/>
        <w:jc w:val="right"/>
        <w:rPr>
          <w:rFonts w:cs="Arial"/>
        </w:rPr>
      </w:pPr>
      <w:r>
        <w:rPr>
          <w:b/>
          <w:bCs/>
          <w:color w:val="1F6F63"/>
          <w:sz w:val="30"/>
          <w:szCs w:val="30"/>
        </w:rPr>
        <w:t>1.5 نحو نقد ذاتي: إشكالية "من يحدد المنظومة الأخلاقية؟"</w:t>
      </w:r>
    </w:p>
    <w:p w14:paraId="486FC936" w14:textId="77777777" w:rsidR="0017232D" w:rsidRDefault="00F7279A">
      <w:pPr>
        <w:spacing w:after="200" w:line="340" w:lineRule="auto"/>
        <w:jc w:val="both"/>
        <w:rPr>
          <w:rFonts w:cs="Arial"/>
        </w:rPr>
      </w:pPr>
      <w:r>
        <w:t>من الأمانة العلمية أن يُسجَّل هنا سؤال نقدي مشروع يمكن أن يوجَّه لنموذج السيادة الأخلاقية: إذا كانت المرجعية هي "المنظومة الأخلاقية المستمدة من الوحي"، فمن الذي يملك سلطة تحديد فهم هذا الوحي وتنزيله على الواقع المتغير؟ هذا السؤال يفتح الباب على إشكالية التعدد التأويلي وسلطة التفسير، وهي إشكالية سبق لباحثين نقديين، كنصر حامد أبو زيد، أن أثاروها بخصوص خطر تحول "النص" إلى أداة في يد قراءة بشرية بعينها تُقدَّم بوصفها الإرادة الإلهية ذاتها. وقد خُصصت لهذه الإشكالية دراسة نقدية مستقلة ضمن هذا المشروع، تتناول حدود</w:t>
      </w:r>
      <w:r>
        <w:t xml:space="preserve"> المشروعية وحدود التوظيف الأيديولوجي المحتمل لهذا النوع من الأطروحات.</w:t>
      </w:r>
    </w:p>
    <w:p w14:paraId="038703DF"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الثاني: "</w:t>
      </w:r>
      <w:proofErr w:type="spellStart"/>
      <w:r>
        <w:rPr>
          <w:b/>
          <w:bCs/>
          <w:color w:val="1B2A4A"/>
          <w:sz w:val="36"/>
          <w:szCs w:val="36"/>
        </w:rPr>
        <w:t>الإنسانوية</w:t>
      </w:r>
      <w:proofErr w:type="spellEnd"/>
      <w:r>
        <w:rPr>
          <w:b/>
          <w:bCs/>
          <w:color w:val="1B2A4A"/>
          <w:sz w:val="36"/>
          <w:szCs w:val="36"/>
        </w:rPr>
        <w:t xml:space="preserve"> الروحية" (الأنثروبولوجيا الفلسفية) — من الإنسان المستهلك إلى الإنسان الخليفة</w:t>
      </w:r>
    </w:p>
    <w:p w14:paraId="6DAC4106" w14:textId="77777777" w:rsidR="0017232D" w:rsidRDefault="00F7279A">
      <w:pPr>
        <w:pStyle w:val="2"/>
        <w:bidi/>
        <w:spacing w:before="360" w:after="200"/>
        <w:jc w:val="right"/>
        <w:rPr>
          <w:rFonts w:cs="Arial"/>
        </w:rPr>
      </w:pPr>
      <w:r>
        <w:rPr>
          <w:b/>
          <w:bCs/>
          <w:color w:val="1F6F63"/>
          <w:sz w:val="30"/>
          <w:szCs w:val="30"/>
        </w:rPr>
        <w:t>2.1 النموذج الغربي: الإنسان والآلة والاستهلاك</w:t>
      </w:r>
    </w:p>
    <w:p w14:paraId="04477A2B" w14:textId="77777777" w:rsidR="0017232D" w:rsidRDefault="00F7279A">
      <w:pPr>
        <w:spacing w:after="200" w:line="340" w:lineRule="auto"/>
        <w:jc w:val="both"/>
        <w:rPr>
          <w:rFonts w:cs="Arial"/>
        </w:rPr>
      </w:pPr>
      <w:r>
        <w:t xml:space="preserve">الأنثروبولوجيا الفلسفية هي البحث في سؤال: ما الإنسان؟ وفي الفكر الغربي الحديث، تعددت الإجابات عن هذا السؤال: الإنسان عند ديكارت هو جوهر مفكر. وعند </w:t>
      </w:r>
      <w:proofErr w:type="spellStart"/>
      <w:r>
        <w:t>لامتري</w:t>
      </w:r>
      <w:proofErr w:type="spellEnd"/>
      <w:r>
        <w:t xml:space="preserve"> هو آلة. وعند داروين هو حيوان متطور. وعند ماركس هو كائن منتج. وعند فرويد هو كائن تحركه الغرائز واللاوعي. وفي عصر الاستهلاك هو مستهلك ومنتج وبيانات [843، 1105، 1118].</w:t>
      </w:r>
    </w:p>
    <w:p w14:paraId="4526882E" w14:textId="77777777" w:rsidR="0017232D" w:rsidRDefault="00F7279A">
      <w:pPr>
        <w:spacing w:after="200" w:line="340" w:lineRule="auto"/>
        <w:jc w:val="both"/>
        <w:rPr>
          <w:rFonts w:cs="Arial"/>
        </w:rPr>
      </w:pPr>
      <w:r>
        <w:t>هذه التصورات، كما يرى الزراع، تشترك رغم اختلافها في أمرين: الأول أنها تنظر إلى الإنسان من أسفل، من المادة والغرائز والحتميات، لا من أعلى، من الروح والقيم والحرية. والثاني أنها تجعل من الإنسان وسيلة لغايات خارجة عنه، لا غاية في ذاته.</w:t>
      </w:r>
    </w:p>
    <w:p w14:paraId="72432E44" w14:textId="77777777" w:rsidR="0017232D" w:rsidRDefault="00F7279A">
      <w:pPr>
        <w:pStyle w:val="2"/>
        <w:bidi/>
        <w:spacing w:before="360" w:after="200"/>
        <w:jc w:val="right"/>
        <w:rPr>
          <w:rFonts w:cs="Arial"/>
        </w:rPr>
      </w:pPr>
      <w:r>
        <w:rPr>
          <w:b/>
          <w:bCs/>
          <w:color w:val="1F6F63"/>
          <w:sz w:val="30"/>
          <w:szCs w:val="30"/>
        </w:rPr>
        <w:t>2.2 البديل الاستخلافي: الإنسان الخليفة والنفخة الإلهية والميثاق الأزلي</w:t>
      </w:r>
    </w:p>
    <w:p w14:paraId="1652D394" w14:textId="77777777" w:rsidR="0017232D" w:rsidRDefault="00F7279A">
      <w:pPr>
        <w:spacing w:after="200" w:line="340" w:lineRule="auto"/>
        <w:jc w:val="both"/>
        <w:rPr>
          <w:rFonts w:cs="Arial"/>
        </w:rPr>
      </w:pPr>
      <w:r>
        <w:t>في مقابل هذه الاختزالات، يقدم النموذج الاستخلافي تصورًا مغايرًا وأكثر سموًا للإنسان: إنه قبل كل شيء خليفة وحامل أمانة. وكرامته، كما يؤكد الزراع، ليست مستمدة من كفاءته المادية أو الإنتاجية أو الاستهلاكية، بل هي مستمدة مباشرة من النفخة الإلهية (الروح) والميثاق الأزلي (الفطرة) [843، 1105، 1118].</w:t>
      </w:r>
    </w:p>
    <w:p w14:paraId="028B8566" w14:textId="77777777" w:rsidR="0017232D" w:rsidRDefault="00F7279A">
      <w:pPr>
        <w:spacing w:after="200" w:line="340" w:lineRule="auto"/>
        <w:jc w:val="both"/>
        <w:rPr>
          <w:rFonts w:cs="Arial"/>
        </w:rPr>
      </w:pPr>
      <w:r>
        <w:t xml:space="preserve">وهذا التصور يقود منطقيًا إلى نموذج الإنسان </w:t>
      </w:r>
      <w:proofErr w:type="spellStart"/>
      <w:r>
        <w:t>السنني</w:t>
      </w:r>
      <w:proofErr w:type="spellEnd"/>
      <w:r>
        <w:t xml:space="preserve"> الذي يوازن بين غائية السماء وسببية الأرض، ويرفض الاختزال المادي للإنسان، ويفتح الأفق أمام إمكانيات التحول والارتقاء والتكامل.</w:t>
      </w:r>
    </w:p>
    <w:p w14:paraId="3D89491C" w14:textId="77777777" w:rsidR="0017232D" w:rsidRDefault="00F7279A">
      <w:pPr>
        <w:pStyle w:val="2"/>
        <w:bidi/>
        <w:spacing w:before="360" w:after="200"/>
        <w:jc w:val="right"/>
        <w:rPr>
          <w:rFonts w:cs="Arial"/>
        </w:rPr>
      </w:pPr>
      <w:r>
        <w:rPr>
          <w:b/>
          <w:bCs/>
          <w:color w:val="1F6F63"/>
          <w:sz w:val="30"/>
          <w:szCs w:val="30"/>
        </w:rPr>
        <w:t xml:space="preserve">2.3 ماكس </w:t>
      </w:r>
      <w:proofErr w:type="spellStart"/>
      <w:r>
        <w:rPr>
          <w:b/>
          <w:bCs/>
          <w:color w:val="1F6F63"/>
          <w:sz w:val="30"/>
          <w:szCs w:val="30"/>
        </w:rPr>
        <w:t>شيلر</w:t>
      </w:r>
      <w:proofErr w:type="spellEnd"/>
      <w:r>
        <w:rPr>
          <w:b/>
          <w:bCs/>
          <w:color w:val="1F6F63"/>
          <w:sz w:val="30"/>
          <w:szCs w:val="30"/>
        </w:rPr>
        <w:t xml:space="preserve"> و"مكانة الإنسان في الكون": الانفتاح على المطلق</w:t>
      </w:r>
    </w:p>
    <w:p w14:paraId="56C693B6" w14:textId="77777777" w:rsidR="0017232D" w:rsidRDefault="00F7279A">
      <w:pPr>
        <w:spacing w:after="200" w:line="340" w:lineRule="auto"/>
        <w:jc w:val="both"/>
        <w:rPr>
          <w:rFonts w:cs="Arial"/>
        </w:rPr>
      </w:pPr>
      <w:r>
        <w:t xml:space="preserve">يجد التصور الاستخلافي للإنسان صدى فلسفيًا لافتًا عند الفيلسوف الألماني ماكس </w:t>
      </w:r>
      <w:proofErr w:type="spellStart"/>
      <w:r>
        <w:t>شيلر</w:t>
      </w:r>
      <w:proofErr w:type="spellEnd"/>
      <w:r>
        <w:t xml:space="preserve"> في كتابه "مكانة الإنسان في الكون"، حيث يرفض </w:t>
      </w:r>
      <w:proofErr w:type="spellStart"/>
      <w:r>
        <w:t>شيلر</w:t>
      </w:r>
      <w:proofErr w:type="spellEnd"/>
      <w:r>
        <w:t xml:space="preserve"> اختزال الإنسان في سلسلة التطور البيولوجي، ويميزه عن سائر الكائنات بامتلاكه "الروح" (</w:t>
      </w:r>
      <w:proofErr w:type="spellStart"/>
      <w:r>
        <w:t>Geist</w:t>
      </w:r>
      <w:proofErr w:type="spellEnd"/>
      <w:r>
        <w:t>)، وهي قدرة على الانفتاح على العالم وتجاوز الدافع الغريزي المباشر نحو الموضوعية والقيم المطلقة.</w:t>
      </w:r>
    </w:p>
    <w:p w14:paraId="1B1D841D" w14:textId="77777777" w:rsidR="0017232D" w:rsidRDefault="00F7279A">
      <w:pPr>
        <w:spacing w:after="200" w:line="340" w:lineRule="auto"/>
        <w:jc w:val="both"/>
        <w:rPr>
          <w:rFonts w:cs="Arial"/>
        </w:rPr>
      </w:pPr>
      <w:r>
        <w:t xml:space="preserve">غير أن الفارق الجوهري بين الطرحين يبقى قائمًا: فانفتاح الإنسان على "المطلق" عند </w:t>
      </w:r>
      <w:proofErr w:type="spellStart"/>
      <w:r>
        <w:t>شيلر</w:t>
      </w:r>
      <w:proofErr w:type="spellEnd"/>
      <w:r>
        <w:t xml:space="preserve"> هو انفتاح </w:t>
      </w:r>
      <w:proofErr w:type="spellStart"/>
      <w:r>
        <w:t>فينومينولوجي</w:t>
      </w:r>
      <w:proofErr w:type="spellEnd"/>
      <w:r>
        <w:t xml:space="preserve"> وصفي، لا يستند إلى مصدر </w:t>
      </w:r>
      <w:proofErr w:type="spellStart"/>
      <w:r>
        <w:t>وحياني</w:t>
      </w:r>
      <w:proofErr w:type="spellEnd"/>
      <w:r>
        <w:t xml:space="preserve"> محدد، بينما يربط الزراع هذا الانفتاح مباشرة بالنفخة الإلهية والميثاق الأزلي بوصفهما حدثًا تأسيسيًا محددًا في العقيدة الإسلامية، لا مجرد بنية شعورية عامة قابلة للتعميم على كل تجربة إنسانية.</w:t>
      </w:r>
    </w:p>
    <w:p w14:paraId="5661FB97" w14:textId="77777777" w:rsidR="0017232D" w:rsidRDefault="00F7279A">
      <w:pPr>
        <w:pStyle w:val="2"/>
        <w:bidi/>
        <w:spacing w:before="360" w:after="200"/>
        <w:jc w:val="right"/>
        <w:rPr>
          <w:rFonts w:cs="Arial"/>
        </w:rPr>
      </w:pPr>
      <w:r>
        <w:rPr>
          <w:b/>
          <w:bCs/>
          <w:color w:val="1F6F63"/>
          <w:sz w:val="30"/>
          <w:szCs w:val="30"/>
        </w:rPr>
        <w:t>2.4 مارتن بوبر: "أنا-أنت" مقابل "أنا-هو"</w:t>
      </w:r>
    </w:p>
    <w:p w14:paraId="07FDAC65" w14:textId="77777777" w:rsidR="0017232D" w:rsidRDefault="00F7279A">
      <w:pPr>
        <w:spacing w:after="200" w:line="340" w:lineRule="auto"/>
        <w:jc w:val="both"/>
        <w:rPr>
          <w:rFonts w:cs="Arial"/>
        </w:rPr>
      </w:pPr>
      <w:r>
        <w:t xml:space="preserve">يقدم مارتن بوبر، في كتابه "أنا وأنت"، تمييزًا مؤثرًا بين نمطين من العلاقة: علاقة "أنا-هو" التي تختزل الآخر إلى موضوع أداتي يُستخدم ويُستهلك، وعلاقة "أنا-أنت" التي تقيم مع الآخر حضورًا كليًا ومتبادلًا لا يقبل </w:t>
      </w:r>
      <w:proofErr w:type="spellStart"/>
      <w:r>
        <w:t>التشييء</w:t>
      </w:r>
      <w:proofErr w:type="spellEnd"/>
      <w:r>
        <w:t>. ويمكن توظيف هذا التمييز لإضاءة نقد الزراع لنموذج "الإنسان المستهلك": فحين يُختزل الإنسان إلى بيانات ومنتج وطاقة عمل، فإنه يتحول من "أنت" مكرَّم إلى "هو" أداتي، وهو بالضبط ما يسعى نموذج "الإنسان الخليفة" إلى مقاومته عبر ربط الكرامة بمصدر متعالٍ لا يقبل الاختزال.</w:t>
      </w:r>
    </w:p>
    <w:p w14:paraId="29CB5EAF" w14:textId="77777777" w:rsidR="0017232D" w:rsidRDefault="00F7279A">
      <w:pPr>
        <w:pStyle w:val="2"/>
        <w:bidi/>
        <w:spacing w:before="360" w:after="200"/>
        <w:jc w:val="right"/>
        <w:rPr>
          <w:rFonts w:cs="Arial"/>
        </w:rPr>
      </w:pPr>
      <w:r>
        <w:rPr>
          <w:b/>
          <w:bCs/>
          <w:color w:val="1F6F63"/>
          <w:sz w:val="30"/>
          <w:szCs w:val="30"/>
        </w:rPr>
        <w:t xml:space="preserve">2.5 الغزالي و"عجائب القلب": الأصل الكلاسيكي للإنسان </w:t>
      </w:r>
      <w:proofErr w:type="spellStart"/>
      <w:r>
        <w:rPr>
          <w:b/>
          <w:bCs/>
          <w:color w:val="1F6F63"/>
          <w:sz w:val="30"/>
          <w:szCs w:val="30"/>
        </w:rPr>
        <w:t>السنني</w:t>
      </w:r>
      <w:proofErr w:type="spellEnd"/>
    </w:p>
    <w:p w14:paraId="79FC17B1" w14:textId="77777777" w:rsidR="0017232D" w:rsidRDefault="00F7279A">
      <w:pPr>
        <w:spacing w:after="200" w:line="340" w:lineRule="auto"/>
        <w:jc w:val="both"/>
        <w:rPr>
          <w:rFonts w:cs="Arial"/>
        </w:rPr>
      </w:pPr>
      <w:r>
        <w:t xml:space="preserve">يجد نموذج "الإنسان </w:t>
      </w:r>
      <w:proofErr w:type="spellStart"/>
      <w:r>
        <w:t>السنني</w:t>
      </w:r>
      <w:proofErr w:type="spellEnd"/>
      <w:r>
        <w:t>" جذرًا كلاسيكيًا عميقًا في كتاب "عجائب القلب" من "إحياء علوم الدين" للغزالي، حيث يفصّل الغزالي في جنود القلب المتعارضة: العقل والشهوة والغضب، ويجعل كمال الإنسان في اعتدال هذه القوى وانتظامها تحت سلطان العقل المهتدي بالشرع، لا في إلغاء بعضها أو الانصياع المطلق لأحدها. وهذا "الاعتدال" الغزالي هو، في جوهره، الصيغة الكلاسيكية لما يسميه الزراع "التوازن بين غائية السماء وسببية الأرض".</w:t>
      </w:r>
    </w:p>
    <w:p w14:paraId="5725E360"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الثالث: "الاندماج الخالق" (فلسفة المعرفة) — من التبعية والانغلاق إلى الاستيعاب والتجاوز</w:t>
      </w:r>
    </w:p>
    <w:p w14:paraId="6390C04D" w14:textId="77777777" w:rsidR="0017232D" w:rsidRDefault="00F7279A">
      <w:pPr>
        <w:pStyle w:val="2"/>
        <w:bidi/>
        <w:spacing w:before="360" w:after="200"/>
        <w:jc w:val="right"/>
        <w:rPr>
          <w:rFonts w:cs="Arial"/>
        </w:rPr>
      </w:pPr>
      <w:r>
        <w:rPr>
          <w:b/>
          <w:bCs/>
          <w:color w:val="1F6F63"/>
          <w:sz w:val="30"/>
          <w:szCs w:val="30"/>
        </w:rPr>
        <w:t>3.1 أزمة المعرفة في العالم الإسلامي: بين التبعية والانغلاق</w:t>
      </w:r>
    </w:p>
    <w:p w14:paraId="432E2F6D" w14:textId="77777777" w:rsidR="0017232D" w:rsidRDefault="00F7279A">
      <w:pPr>
        <w:spacing w:after="200" w:line="340" w:lineRule="auto"/>
        <w:jc w:val="both"/>
        <w:rPr>
          <w:rFonts w:cs="Arial"/>
        </w:rPr>
      </w:pPr>
      <w:r>
        <w:t>يشخص الزراع، في تحليله لواقع الفكر العربي والإسلامي، أزمة مزدوجة: أزمة التبعية (الذوبان في النماذج الغربية واستيرادها دون نقد)، وأزمة الانغلاق (رفض كل ما هو غربي والانكفاء على التراث دون تطويره). وكلا الموقفين، كما يرى، عقيم وغير منتج [844، 1340، 1344].</w:t>
      </w:r>
    </w:p>
    <w:p w14:paraId="5DDE4030" w14:textId="77777777" w:rsidR="0017232D" w:rsidRDefault="00F7279A">
      <w:pPr>
        <w:pStyle w:val="2"/>
        <w:bidi/>
        <w:spacing w:before="360" w:after="200"/>
        <w:jc w:val="right"/>
        <w:rPr>
          <w:rFonts w:cs="Arial"/>
        </w:rPr>
      </w:pPr>
      <w:r>
        <w:rPr>
          <w:b/>
          <w:bCs/>
          <w:color w:val="1F6F63"/>
          <w:sz w:val="30"/>
          <w:szCs w:val="30"/>
        </w:rPr>
        <w:t>3.2 استراتيجية الاندماج الخالق: استيعاب وإعادة صهر وتوجيه</w:t>
      </w:r>
    </w:p>
    <w:p w14:paraId="3251583E" w14:textId="77777777" w:rsidR="0017232D" w:rsidRDefault="00F7279A">
      <w:pPr>
        <w:spacing w:after="200" w:line="340" w:lineRule="auto"/>
        <w:jc w:val="both"/>
        <w:rPr>
          <w:rFonts w:cs="Arial"/>
        </w:rPr>
      </w:pPr>
      <w:r>
        <w:t>في مواجهة هذه الأزمة، يقترح الزراع استراتيجية الاندماج الخالق (</w:t>
      </w:r>
      <w:proofErr w:type="spellStart"/>
      <w:r>
        <w:t>Creative</w:t>
      </w:r>
      <w:proofErr w:type="spellEnd"/>
      <w:r>
        <w:t xml:space="preserve"> </w:t>
      </w:r>
      <w:proofErr w:type="spellStart"/>
      <w:r>
        <w:t>Integration</w:t>
      </w:r>
      <w:proofErr w:type="spellEnd"/>
      <w:r>
        <w:t xml:space="preserve">)، وهي استراتيجية </w:t>
      </w:r>
      <w:proofErr w:type="spellStart"/>
      <w:r>
        <w:t>إبستمولوجية</w:t>
      </w:r>
      <w:proofErr w:type="spellEnd"/>
      <w:r>
        <w:t xml:space="preserve"> تقوم على ثلاث خطوات: استيعاب المناهج الإجرائية والعلوم المعاصرة بشكل نقدي وواعٍ، وإعادة صهر هذه المناهج داخل إطار الوحي والرؤية التوحيدية، وتوجيه هذه المناهج نحو خدمة الإنسان والمجتمع وعمارة الأرض [844، 1340، 1344].</w:t>
      </w:r>
    </w:p>
    <w:p w14:paraId="75B2FE17" w14:textId="77777777" w:rsidR="0017232D" w:rsidRDefault="00F7279A">
      <w:pPr>
        <w:pStyle w:val="2"/>
        <w:bidi/>
        <w:spacing w:before="360" w:after="200"/>
        <w:jc w:val="right"/>
        <w:rPr>
          <w:rFonts w:cs="Arial"/>
        </w:rPr>
      </w:pPr>
      <w:r>
        <w:rPr>
          <w:b/>
          <w:bCs/>
          <w:color w:val="1F6F63"/>
          <w:sz w:val="30"/>
          <w:szCs w:val="30"/>
        </w:rPr>
        <w:t xml:space="preserve">3.3 </w:t>
      </w:r>
      <w:proofErr w:type="spellStart"/>
      <w:r>
        <w:rPr>
          <w:b/>
          <w:bCs/>
          <w:color w:val="1F6F63"/>
          <w:sz w:val="30"/>
          <w:szCs w:val="30"/>
        </w:rPr>
        <w:t>غادامير</w:t>
      </w:r>
      <w:proofErr w:type="spellEnd"/>
      <w:r>
        <w:rPr>
          <w:b/>
          <w:bCs/>
          <w:color w:val="1F6F63"/>
          <w:sz w:val="30"/>
          <w:szCs w:val="30"/>
        </w:rPr>
        <w:t xml:space="preserve"> و"اندماج الآفاق": تناظر منهجي مشروط</w:t>
      </w:r>
    </w:p>
    <w:p w14:paraId="6ECAA1B4" w14:textId="77777777" w:rsidR="0017232D" w:rsidRDefault="00F7279A">
      <w:pPr>
        <w:spacing w:after="200" w:line="340" w:lineRule="auto"/>
        <w:jc w:val="both"/>
        <w:rPr>
          <w:rFonts w:cs="Arial"/>
        </w:rPr>
      </w:pPr>
      <w:r>
        <w:t xml:space="preserve">يقدم هانس </w:t>
      </w:r>
      <w:proofErr w:type="spellStart"/>
      <w:r>
        <w:t>غيورغ</w:t>
      </w:r>
      <w:proofErr w:type="spellEnd"/>
      <w:r>
        <w:t xml:space="preserve"> </w:t>
      </w:r>
      <w:proofErr w:type="spellStart"/>
      <w:r>
        <w:t>غادامير</w:t>
      </w:r>
      <w:proofErr w:type="spellEnd"/>
      <w:r>
        <w:t>، في "الحقيقة والمنهج"، مفهوم "اندماج الآفاق" (</w:t>
      </w:r>
      <w:proofErr w:type="spellStart"/>
      <w:r>
        <w:t>Horizontverschmelzung</w:t>
      </w:r>
      <w:proofErr w:type="spellEnd"/>
      <w:r>
        <w:t xml:space="preserve">) الذي يصف كيف يتفاعل أفق القارئ التاريخي مع أفق النص أو التقليد المفهوم، لينتج فهمًا جديدًا لا يلغي أيًّا من الأفقين بل يدمجهما. وهذا المفهوم يوفر تناظرًا منهجيًا مثيرًا لآلية "الاندماج الخالق"، إذ يمكن اعتبار لقاء العلوم المعاصرة بالرؤية التوحيدية اندماجًا للآفاق بالمعنى </w:t>
      </w:r>
      <w:proofErr w:type="spellStart"/>
      <w:r>
        <w:t>الغاداميري</w:t>
      </w:r>
      <w:proofErr w:type="spellEnd"/>
      <w:r>
        <w:t>.</w:t>
      </w:r>
    </w:p>
    <w:p w14:paraId="6EAA5F10" w14:textId="77777777" w:rsidR="0017232D" w:rsidRDefault="00F7279A">
      <w:pPr>
        <w:spacing w:after="200" w:line="340" w:lineRule="auto"/>
        <w:jc w:val="both"/>
        <w:rPr>
          <w:rFonts w:cs="Arial"/>
        </w:rPr>
      </w:pPr>
      <w:r>
        <w:t xml:space="preserve">غير أن الفارق الحاسم بينهما هو أن اندماج الآفاق عند </w:t>
      </w:r>
      <w:proofErr w:type="spellStart"/>
      <w:r>
        <w:t>غادامير</w:t>
      </w:r>
      <w:proofErr w:type="spellEnd"/>
      <w:r>
        <w:t xml:space="preserve"> عملية مفتوحة ونسبية تاريخيًا، لا تستقر عند حقيقة نهائية ثابتة، بينما "إعادة الصهر" عند الزراع موجهة سلفًا بغاية توحيدية ثابتة لا تتغير: فالاندماج عنده ليس تفاعلًا متكافئ الأطراف بين أفقين متساويين، بل عملية "صهر" يظل فيها إطار الوحي هو المرجع الحاكم والمعيار النهائي.</w:t>
      </w:r>
    </w:p>
    <w:p w14:paraId="190DDF94" w14:textId="77777777" w:rsidR="0017232D" w:rsidRDefault="00F7279A">
      <w:pPr>
        <w:pStyle w:val="2"/>
        <w:bidi/>
        <w:spacing w:before="360" w:after="200"/>
        <w:jc w:val="right"/>
        <w:rPr>
          <w:rFonts w:cs="Arial"/>
        </w:rPr>
      </w:pPr>
      <w:r>
        <w:rPr>
          <w:b/>
          <w:bCs/>
          <w:color w:val="1F6F63"/>
          <w:sz w:val="30"/>
          <w:szCs w:val="30"/>
        </w:rPr>
        <w:t>3.4 ابن خلدون ونقد العصبية المعرفية</w:t>
      </w:r>
    </w:p>
    <w:p w14:paraId="4446E07F" w14:textId="77777777" w:rsidR="0017232D" w:rsidRDefault="00F7279A">
      <w:pPr>
        <w:spacing w:after="200" w:line="340" w:lineRule="auto"/>
        <w:jc w:val="both"/>
        <w:rPr>
          <w:rFonts w:cs="Arial"/>
        </w:rPr>
      </w:pPr>
      <w:r>
        <w:t>يمكن قراءة نقد الزراع لأزمة "الانغلاق" في ضوء نقد ابن خلدون في "المقدمة" للتقليد الأعمى (التقليد بلا نظر) وللعصبية التي تحجب أهل كل جيل عن الاستفادة الناقدة من علوم من سبقهم أو من غيرهم. فكما رفض ابن خلدون أن تكون العصبية القبلية أو المذهبية حاجزًا أمام استيعاب العلوم النافعة أينما وُجدت، يرفض الزراع أن تكون "الهوية" حجة لرفض العلم الحديث بإطلاق، معتبرًا هذا الرفض شكلًا من "العصبية المعرفية" لا يقل ضررًا عن التبعية العمياء للنموذج الغربي.</w:t>
      </w:r>
    </w:p>
    <w:p w14:paraId="6E1F36A9" w14:textId="77777777" w:rsidR="0017232D" w:rsidRDefault="00F7279A">
      <w:pPr>
        <w:pStyle w:val="2"/>
        <w:bidi/>
        <w:spacing w:before="360" w:after="200"/>
        <w:jc w:val="right"/>
        <w:rPr>
          <w:rFonts w:cs="Arial"/>
        </w:rPr>
      </w:pPr>
      <w:r>
        <w:rPr>
          <w:b/>
          <w:bCs/>
          <w:color w:val="1F6F63"/>
          <w:sz w:val="30"/>
          <w:szCs w:val="30"/>
        </w:rPr>
        <w:t>3.5 نقد الاندماج الخالق: إشكالية معايير الانتقاء</w:t>
      </w:r>
    </w:p>
    <w:p w14:paraId="3E80D905" w14:textId="77777777" w:rsidR="0017232D" w:rsidRDefault="00F7279A">
      <w:pPr>
        <w:spacing w:after="200" w:line="340" w:lineRule="auto"/>
        <w:jc w:val="both"/>
        <w:rPr>
          <w:rFonts w:cs="Arial"/>
        </w:rPr>
      </w:pPr>
      <w:r>
        <w:t>يبقى سؤال منهجي جوهري معلقًا: ما هو المعيار الدقيق الذي يحدد أي عناصر العلوم المعاصرة تُستوعب وأيها يُرفض؟ فغياب معيار صريح ومضبوط لعملية "الصهر" يعرّض المنهج لخطر أشار إليه محمد عابد الجابري في نقده لما سماه "التلفيق" في الفكر العربي المعاصر: انتقاء عناصر متفرقة من مرجعيات متغايرة دون بناء منظومة داخلية متماسكة تُسوّغ هذا الانتقاء. وهذه الملاحظة النقدية تستدعي، من داخل المشروع نفسه، مزيدًا من التدقيق في صياغة معايير "القبول" و"الرفض" العلمي بما يتجاوز الاجتهاد الفردي إلى ضوابط منهجية معلنة وقابلة للفحص.</w:t>
      </w:r>
    </w:p>
    <w:p w14:paraId="701276BF"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الرابع: "الكينتسوغي النفسي والاجتماعي" (فلسفة العلاج) — من إخفاء الجرح إلى ترميمه بالذهب</w:t>
      </w:r>
    </w:p>
    <w:p w14:paraId="0F6266BD" w14:textId="77777777" w:rsidR="0017232D" w:rsidRDefault="00F7279A">
      <w:pPr>
        <w:pStyle w:val="2"/>
        <w:bidi/>
        <w:spacing w:before="360" w:after="200"/>
        <w:jc w:val="right"/>
        <w:rPr>
          <w:rFonts w:cs="Arial"/>
        </w:rPr>
      </w:pPr>
      <w:r>
        <w:rPr>
          <w:b/>
          <w:bCs/>
          <w:color w:val="1F6F63"/>
          <w:sz w:val="30"/>
          <w:szCs w:val="30"/>
        </w:rPr>
        <w:t>4.1 النموذج الغربي: إزالة العرض ونسيان الجرح</w:t>
      </w:r>
    </w:p>
    <w:p w14:paraId="4D0C22F9" w14:textId="77777777" w:rsidR="0017232D" w:rsidRDefault="00F7279A">
      <w:pPr>
        <w:spacing w:after="200" w:line="340" w:lineRule="auto"/>
        <w:jc w:val="both"/>
        <w:rPr>
          <w:rFonts w:cs="Arial"/>
        </w:rPr>
      </w:pPr>
      <w:r>
        <w:t>في النماذج العلاجية الغربية السائدة، خاصة الطبية والسلوكية، يُعامل الجرح والمرض والخطأ كأشياء يجب إزالتها أو إخفاؤها، أو في أحسن الأحوال التكيف معها. والهدف، كما يُعبر عنه، هو العودة إلى الحالة السابقة على المرض، أو استعادة الأداء الوظيفي الطبيعي.</w:t>
      </w:r>
    </w:p>
    <w:p w14:paraId="65A67AC7" w14:textId="77777777" w:rsidR="0017232D" w:rsidRDefault="00F7279A">
      <w:pPr>
        <w:pStyle w:val="2"/>
        <w:bidi/>
        <w:spacing w:before="360" w:after="200"/>
        <w:jc w:val="right"/>
        <w:rPr>
          <w:rFonts w:cs="Arial"/>
        </w:rPr>
      </w:pPr>
      <w:r>
        <w:rPr>
          <w:b/>
          <w:bCs/>
          <w:color w:val="1F6F63"/>
          <w:sz w:val="30"/>
          <w:szCs w:val="30"/>
        </w:rPr>
        <w:t>4.2 الكينتسوغي: فلسفة بديلة للجرح</w:t>
      </w:r>
    </w:p>
    <w:p w14:paraId="3EC119B5" w14:textId="77777777" w:rsidR="0017232D" w:rsidRDefault="00F7279A">
      <w:pPr>
        <w:spacing w:after="200" w:line="340" w:lineRule="auto"/>
        <w:jc w:val="both"/>
        <w:rPr>
          <w:rFonts w:cs="Arial"/>
        </w:rPr>
      </w:pPr>
      <w:r>
        <w:t>في مقابل هذا التصور، يستلهم الزراع من الفن الياباني التقليدي الكينتسوغي، الذي يُرمم فيه الخزف المكسور بالذهب، فلسفة مغايرة وثورية للتعامل مع الجرح والألم والخطأ: فالجرح لا يُخفى بل يُبرز، والكسر يُملأ بالذهب لا بمادة رخيصة، والتاريخ المؤلم يصبح جزءًا من الجمال والقيمة لا وصمة يجب إخفاؤها. وهذه الفلسفة، كما يطبقها الزراع في بروتوكول TLRT، تعني أن المريض بعد العلاج لا يعود إلى ما كان عليه قبل الصدمة، بل يصبح خبيرًا حيًا وشخصًا أكثر حكمة وقوة وعطاء [844، 1155، 1294].</w:t>
      </w:r>
    </w:p>
    <w:p w14:paraId="1104006F" w14:textId="77777777" w:rsidR="0017232D" w:rsidRDefault="00F7279A">
      <w:pPr>
        <w:pStyle w:val="2"/>
        <w:bidi/>
        <w:spacing w:before="360" w:after="200"/>
        <w:jc w:val="right"/>
        <w:rPr>
          <w:rFonts w:cs="Arial"/>
        </w:rPr>
      </w:pPr>
      <w:r>
        <w:rPr>
          <w:b/>
          <w:bCs/>
          <w:color w:val="1F6F63"/>
          <w:sz w:val="30"/>
          <w:szCs w:val="30"/>
        </w:rPr>
        <w:t xml:space="preserve">4.3 </w:t>
      </w:r>
      <w:proofErr w:type="spellStart"/>
      <w:r>
        <w:rPr>
          <w:b/>
          <w:bCs/>
          <w:color w:val="1F6F63"/>
          <w:sz w:val="30"/>
          <w:szCs w:val="30"/>
        </w:rPr>
        <w:t>تيديشي</w:t>
      </w:r>
      <w:proofErr w:type="spellEnd"/>
      <w:r>
        <w:rPr>
          <w:b/>
          <w:bCs/>
          <w:color w:val="1F6F63"/>
          <w:sz w:val="30"/>
          <w:szCs w:val="30"/>
        </w:rPr>
        <w:t xml:space="preserve"> وكالهون: نظرية "النمو ما بعد الصدمة"</w:t>
      </w:r>
    </w:p>
    <w:p w14:paraId="61916755" w14:textId="77777777" w:rsidR="0017232D" w:rsidRDefault="00F7279A">
      <w:pPr>
        <w:spacing w:after="200" w:line="340" w:lineRule="auto"/>
        <w:jc w:val="both"/>
        <w:rPr>
          <w:rFonts w:cs="Arial"/>
        </w:rPr>
      </w:pPr>
      <w:r>
        <w:t>تجد فلسفة الكينتسوغي سندًا تجريبيًا معاصرًا في نظرية "النمو ما بعد الصدمة" (</w:t>
      </w:r>
      <w:proofErr w:type="spellStart"/>
      <w:r>
        <w:t>Posttraumatic</w:t>
      </w:r>
      <w:proofErr w:type="spellEnd"/>
      <w:r>
        <w:t xml:space="preserve"> </w:t>
      </w:r>
      <w:proofErr w:type="spellStart"/>
      <w:r>
        <w:t>Growth</w:t>
      </w:r>
      <w:proofErr w:type="spellEnd"/>
      <w:r>
        <w:t xml:space="preserve">) التي طورها عالما النفس ريتشارد </w:t>
      </w:r>
      <w:proofErr w:type="spellStart"/>
      <w:r>
        <w:t>تيديشي</w:t>
      </w:r>
      <w:proofErr w:type="spellEnd"/>
      <w:r>
        <w:t xml:space="preserve"> ولورانس كالهون، والتي تبين، بأدلة إكلينيكية، أن نسبة معتبرة من الناجين من صدمات كبرى لا يكتفون بـ"التعافي" أو العودة إلى خط الأساس، بل يبلغون مستوى من النضج النفسي والمعنى الوجودي وعمق العلاقات يفوق ما كانوا عليه قبل الصدمة.</w:t>
      </w:r>
    </w:p>
    <w:p w14:paraId="22360CE2" w14:textId="77777777" w:rsidR="0017232D" w:rsidRDefault="00F7279A">
      <w:pPr>
        <w:spacing w:after="200" w:line="340" w:lineRule="auto"/>
        <w:jc w:val="both"/>
        <w:rPr>
          <w:rFonts w:cs="Arial"/>
        </w:rPr>
      </w:pPr>
      <w:r>
        <w:t xml:space="preserve">ويلتقي هذا التصور مع فلسفة الكينتسوغي في رفض منطق "العودة إلى الوضع السابق" بوصفه غاية العلاج. غير أن الفارق الجوهري هو أن نظرية النمو ما بعد الصدمة تُفسّر هذا التحول بآليات معرفية واجتماعية بحتة (إعادة بناء المخططات الذهنية، الدعم الاجتماعي)، بينما </w:t>
      </w:r>
      <w:proofErr w:type="spellStart"/>
      <w:r>
        <w:t>يُرسي</w:t>
      </w:r>
      <w:proofErr w:type="spellEnd"/>
      <w:r>
        <w:t xml:space="preserve"> الزراع هذا التحول على أساس ديني صريح: فالجرح، في التصور الاستخلافي، لا يكتسب قيمته من كونه "مُعالَجًا نفسيًا بكفاءة" فحسب، بل من كونه محطة في طريق التقرب من الله وتحقيق الاستخلاف، وهو بُعد غائي متعالٍ يتجاوز حدود ما يمكن أن يقيسه أي مقياس نفسي وضعي.</w:t>
      </w:r>
    </w:p>
    <w:p w14:paraId="0E990E40" w14:textId="77777777" w:rsidR="0017232D" w:rsidRDefault="00F7279A">
      <w:pPr>
        <w:pStyle w:val="2"/>
        <w:bidi/>
        <w:spacing w:before="360" w:after="200"/>
        <w:jc w:val="right"/>
        <w:rPr>
          <w:rFonts w:cs="Arial"/>
        </w:rPr>
      </w:pPr>
      <w:r>
        <w:rPr>
          <w:b/>
          <w:bCs/>
          <w:color w:val="1F6F63"/>
          <w:sz w:val="30"/>
          <w:szCs w:val="30"/>
        </w:rPr>
        <w:t>4.4 ابن القيم ومنازل "التوبة" في مدارج السالكين</w:t>
      </w:r>
    </w:p>
    <w:p w14:paraId="20C4600E" w14:textId="77777777" w:rsidR="0017232D" w:rsidRDefault="00F7279A">
      <w:pPr>
        <w:spacing w:after="200" w:line="340" w:lineRule="auto"/>
        <w:jc w:val="both"/>
        <w:rPr>
          <w:rFonts w:cs="Arial"/>
        </w:rPr>
      </w:pPr>
      <w:r>
        <w:t xml:space="preserve">يمكن اعتبار "منازل السالكين" التي فصّلها ابن القيم الجوزية، وفي مقدمتها منزلة التوبة، أصلًا كلاسيكيًا لفلسفة الكينتسوغي التطبيقية في TLRT: فالتوبة عند ابن القيم ليست مجرد محو للذنب أو عودة إلى حالة العصمة الوهمية، بل هي منزلة تُبنى عليها منازل أعلى: الإنابة، والصبر، والرضا، والمحبة، بحيث يصبح "الانكسار" الأول شرط انطلاق نحو مقامات أرفع لم تكن ممكنة بدونه. وهذا التصور </w:t>
      </w:r>
      <w:proofErr w:type="spellStart"/>
      <w:r>
        <w:t>المدرجي</w:t>
      </w:r>
      <w:proofErr w:type="spellEnd"/>
      <w:r>
        <w:t xml:space="preserve"> للألم بوصفه بوابة لا نهاية، هو بعينه المنطق الذي يبنيه TLRT على أرضية إكلينيكية معاصرة.</w:t>
      </w:r>
    </w:p>
    <w:p w14:paraId="28A5B268"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الخامس: "المرجعية المتعالية" (الميتافيزيقا) — من العدمية إلى الطمأنينة</w:t>
      </w:r>
    </w:p>
    <w:p w14:paraId="77BA17E5" w14:textId="77777777" w:rsidR="0017232D" w:rsidRDefault="00F7279A">
      <w:pPr>
        <w:pStyle w:val="2"/>
        <w:bidi/>
        <w:spacing w:before="360" w:after="200"/>
        <w:jc w:val="right"/>
        <w:rPr>
          <w:rFonts w:cs="Arial"/>
        </w:rPr>
      </w:pPr>
      <w:r>
        <w:rPr>
          <w:b/>
          <w:bCs/>
          <w:color w:val="1F6F63"/>
          <w:sz w:val="30"/>
          <w:szCs w:val="30"/>
        </w:rPr>
        <w:t>5.1 العدمية المادية والفراغ الوجودي</w:t>
      </w:r>
    </w:p>
    <w:p w14:paraId="39339D69" w14:textId="77777777" w:rsidR="0017232D" w:rsidRDefault="00F7279A">
      <w:pPr>
        <w:spacing w:after="200" w:line="340" w:lineRule="auto"/>
        <w:jc w:val="both"/>
        <w:rPr>
          <w:rFonts w:cs="Arial"/>
        </w:rPr>
      </w:pPr>
      <w:r>
        <w:t xml:space="preserve">الميتافيزيقا هي البحث في الأسئلة الأساسية عن الوجود والمعنى والغاية. وفي الفكر الغربي الحديث، ساد، خاصة بعد </w:t>
      </w:r>
      <w:proofErr w:type="spellStart"/>
      <w:r>
        <w:t>نيتشه</w:t>
      </w:r>
      <w:proofErr w:type="spellEnd"/>
      <w:r>
        <w:t xml:space="preserve"> وهيدغر، تيار العدمية الذي يعلن موت المعنى وغياب أي أساس متعالٍ للوجود. والإنسان، في هذا السياق، يعاني، كما شخّص </w:t>
      </w:r>
      <w:proofErr w:type="spellStart"/>
      <w:r>
        <w:t>فرانكل</w:t>
      </w:r>
      <w:proofErr w:type="spellEnd"/>
      <w:r>
        <w:t>، من الفراغ الوجودي وفقدان المعنى [845، 1111، 1283].</w:t>
      </w:r>
    </w:p>
    <w:p w14:paraId="0C2A8A4F" w14:textId="77777777" w:rsidR="0017232D" w:rsidRDefault="00F7279A">
      <w:pPr>
        <w:pStyle w:val="2"/>
        <w:bidi/>
        <w:spacing w:before="360" w:after="200"/>
        <w:jc w:val="right"/>
        <w:rPr>
          <w:rFonts w:cs="Arial"/>
        </w:rPr>
      </w:pPr>
      <w:r>
        <w:rPr>
          <w:b/>
          <w:bCs/>
          <w:color w:val="1F6F63"/>
          <w:sz w:val="30"/>
          <w:szCs w:val="30"/>
        </w:rPr>
        <w:t>5.2 المرجعية المتعالية واستعادة المعنى</w:t>
      </w:r>
    </w:p>
    <w:p w14:paraId="57089EE9" w14:textId="77777777" w:rsidR="0017232D" w:rsidRDefault="00F7279A">
      <w:pPr>
        <w:spacing w:after="200" w:line="340" w:lineRule="auto"/>
        <w:jc w:val="both"/>
        <w:rPr>
          <w:rFonts w:cs="Arial"/>
        </w:rPr>
      </w:pPr>
      <w:r>
        <w:t>في مقابل هذه العدمية، يؤكد النموذج الاستخلافي على ضرورة وجود مركز متعالٍ، هو الله، ليمنح الوجود معناه واتجاهه وغايته. فالإنسان، كما يجادل الزراع، لا يستطيع أن يحيا حياة طبيعية ومستقرة دون مرجعية متعالية تجيب عن أسئلته الوجودية الكبرى، وتعطي لحياته ومعاناته معنى [845، 1111، 1283]. وهذه المرجعية ليست قيدًا على حرية الإنسان، بل هي شرط إمكان حريته الحقيقية.</w:t>
      </w:r>
    </w:p>
    <w:p w14:paraId="00C542EA" w14:textId="77777777" w:rsidR="0017232D" w:rsidRDefault="00F7279A">
      <w:pPr>
        <w:pStyle w:val="2"/>
        <w:bidi/>
        <w:spacing w:before="360" w:after="200"/>
        <w:jc w:val="right"/>
        <w:rPr>
          <w:rFonts w:cs="Arial"/>
        </w:rPr>
      </w:pPr>
      <w:r>
        <w:rPr>
          <w:b/>
          <w:bCs/>
          <w:color w:val="1F6F63"/>
          <w:sz w:val="30"/>
          <w:szCs w:val="30"/>
        </w:rPr>
        <w:t xml:space="preserve">5.3 رودولف </w:t>
      </w:r>
      <w:proofErr w:type="spellStart"/>
      <w:r>
        <w:rPr>
          <w:b/>
          <w:bCs/>
          <w:color w:val="1F6F63"/>
          <w:sz w:val="30"/>
          <w:szCs w:val="30"/>
        </w:rPr>
        <w:t>أوتو</w:t>
      </w:r>
      <w:proofErr w:type="spellEnd"/>
      <w:r>
        <w:rPr>
          <w:b/>
          <w:bCs/>
          <w:color w:val="1F6F63"/>
          <w:sz w:val="30"/>
          <w:szCs w:val="30"/>
        </w:rPr>
        <w:t xml:space="preserve"> و"القدسي": الرهبة والانجذاب</w:t>
      </w:r>
    </w:p>
    <w:p w14:paraId="2AA4BE8F" w14:textId="77777777" w:rsidR="0017232D" w:rsidRDefault="00F7279A">
      <w:pPr>
        <w:spacing w:after="200" w:line="340" w:lineRule="auto"/>
        <w:jc w:val="both"/>
        <w:rPr>
          <w:rFonts w:cs="Arial"/>
        </w:rPr>
      </w:pPr>
      <w:r>
        <w:t xml:space="preserve">يقدم رودولف </w:t>
      </w:r>
      <w:proofErr w:type="spellStart"/>
      <w:r>
        <w:t>أوتو</w:t>
      </w:r>
      <w:proofErr w:type="spellEnd"/>
      <w:r>
        <w:t>، في كتابه "القدسي" (</w:t>
      </w:r>
      <w:proofErr w:type="spellStart"/>
      <w:r>
        <w:t>Das</w:t>
      </w:r>
      <w:proofErr w:type="spellEnd"/>
      <w:r>
        <w:t xml:space="preserve"> </w:t>
      </w:r>
      <w:proofErr w:type="spellStart"/>
      <w:r>
        <w:t>Heilige</w:t>
      </w:r>
      <w:proofErr w:type="spellEnd"/>
      <w:r>
        <w:t>)، مفهوم "السرّ المرهب الجاذب" (</w:t>
      </w:r>
      <w:proofErr w:type="spellStart"/>
      <w:r>
        <w:t>mysterium</w:t>
      </w:r>
      <w:proofErr w:type="spellEnd"/>
      <w:r>
        <w:t xml:space="preserve"> </w:t>
      </w:r>
      <w:proofErr w:type="spellStart"/>
      <w:r>
        <w:t>tremendum</w:t>
      </w:r>
      <w:proofErr w:type="spellEnd"/>
      <w:r>
        <w:t xml:space="preserve"> </w:t>
      </w:r>
      <w:proofErr w:type="spellStart"/>
      <w:r>
        <w:t>et</w:t>
      </w:r>
      <w:proofErr w:type="spellEnd"/>
      <w:r>
        <w:t xml:space="preserve"> </w:t>
      </w:r>
      <w:proofErr w:type="spellStart"/>
      <w:r>
        <w:t>fascinans</w:t>
      </w:r>
      <w:proofErr w:type="spellEnd"/>
      <w:r>
        <w:t xml:space="preserve">) لوصف التجربة الدينية الأصيلة التي تجمع بين الرهبة من عظمة المتعالي والانجذاب إليه في آنٍ واحد. وتشترك هذه التجربة </w:t>
      </w:r>
      <w:proofErr w:type="spellStart"/>
      <w:r>
        <w:t>الفينومينولوجية</w:t>
      </w:r>
      <w:proofErr w:type="spellEnd"/>
      <w:r>
        <w:t xml:space="preserve"> مع وصف الزراع للعلاقة بالمرجعية المتعالية من حيث الجمع بين الخشية والطمأنينة.</w:t>
      </w:r>
    </w:p>
    <w:p w14:paraId="0D2F4C98" w14:textId="77777777" w:rsidR="0017232D" w:rsidRDefault="00F7279A">
      <w:pPr>
        <w:spacing w:after="200" w:line="340" w:lineRule="auto"/>
        <w:jc w:val="both"/>
        <w:rPr>
          <w:rFonts w:cs="Arial"/>
        </w:rPr>
      </w:pPr>
      <w:r>
        <w:t xml:space="preserve">غير أن </w:t>
      </w:r>
      <w:proofErr w:type="spellStart"/>
      <w:r>
        <w:t>أوتو</w:t>
      </w:r>
      <w:proofErr w:type="spellEnd"/>
      <w:r>
        <w:t xml:space="preserve"> يقصد ببحثه تأسيس </w:t>
      </w:r>
      <w:proofErr w:type="spellStart"/>
      <w:r>
        <w:t>فينومينولوجيا</w:t>
      </w:r>
      <w:proofErr w:type="spellEnd"/>
      <w:r>
        <w:t xml:space="preserve"> مقارنة للمقدس تصلح، من حيث المبدأ، لوصف تجربة القداسة في أي دين أو معتقد، بينما يرفض الزراع صراحة هذا التعميم: فالمرجعية المتعالية في النموذج الاستخلافي ليست "قدسيًا" عامًا قابلًا للتطبيق على أي تصور إلهي، بل هي محددة عقديًا بالتوحيد الخالص كما تقرره العقيدة الإسلامية، وهو تخصيص لا ينبغي أن يذوب داخل الإطار المقارن الأوسع الذي يقترحه </w:t>
      </w:r>
      <w:proofErr w:type="spellStart"/>
      <w:r>
        <w:t>أوتو</w:t>
      </w:r>
      <w:proofErr w:type="spellEnd"/>
      <w:r>
        <w:t xml:space="preserve"> أو </w:t>
      </w:r>
      <w:proofErr w:type="spellStart"/>
      <w:r>
        <w:t>ميرسيا</w:t>
      </w:r>
      <w:proofErr w:type="spellEnd"/>
      <w:r>
        <w:t xml:space="preserve"> </w:t>
      </w:r>
      <w:proofErr w:type="spellStart"/>
      <w:r>
        <w:t>إلياد</w:t>
      </w:r>
      <w:proofErr w:type="spellEnd"/>
      <w:r>
        <w:t xml:space="preserve"> في "المقدس والمدنس".</w:t>
      </w:r>
    </w:p>
    <w:p w14:paraId="6A9A1DA0" w14:textId="77777777" w:rsidR="0017232D" w:rsidRDefault="00F7279A">
      <w:pPr>
        <w:pStyle w:val="2"/>
        <w:bidi/>
        <w:spacing w:before="360" w:after="200"/>
        <w:jc w:val="right"/>
        <w:rPr>
          <w:rFonts w:cs="Arial"/>
        </w:rPr>
      </w:pPr>
      <w:r>
        <w:rPr>
          <w:b/>
          <w:bCs/>
          <w:color w:val="1F6F63"/>
          <w:sz w:val="30"/>
          <w:szCs w:val="30"/>
        </w:rPr>
        <w:t>5.4 الغزالي ومراتب المعرفة: من علم اليقين إلى عين اليقين</w:t>
      </w:r>
    </w:p>
    <w:p w14:paraId="356F6060" w14:textId="77777777" w:rsidR="0017232D" w:rsidRDefault="00F7279A">
      <w:pPr>
        <w:spacing w:after="200" w:line="340" w:lineRule="auto"/>
        <w:jc w:val="both"/>
        <w:rPr>
          <w:rFonts w:cs="Arial"/>
        </w:rPr>
      </w:pPr>
      <w:r>
        <w:t>يتردد صدى "المرجعية المتعالية" في تدرج الغزالي بين مراتب المعرفة الثلاث: علم اليقين (المعرفة النظرية العقلية)، وعين اليقين (المعرفة المشهودة القريبة من العيان)، وحق اليقين (المعرفة الذوقية المباشرة). وهذا التدرج يوفر للنموذج الاستخلافي سلمًا معرفيًا كلاسيكيًا لوصف كيف تنتقل العلاقة بالمرجعية المتعالية من مجرد تصديق ذهني إلى طمأنينة وجدانية راسخة، وهو بالضبط المسار الذي يفترضه التحول العلاجي في TLRT.</w:t>
      </w:r>
    </w:p>
    <w:p w14:paraId="0CD10B8F"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السادس: "أركيولوجيا الجرح" (النقد المنهجي) — من قراءة السطح إلى حفر الأعماق</w:t>
      </w:r>
    </w:p>
    <w:p w14:paraId="4AB527C5" w14:textId="77777777" w:rsidR="0017232D" w:rsidRDefault="00F7279A">
      <w:pPr>
        <w:pStyle w:val="2"/>
        <w:bidi/>
        <w:spacing w:before="360" w:after="200"/>
        <w:jc w:val="right"/>
        <w:rPr>
          <w:rFonts w:cs="Arial"/>
        </w:rPr>
      </w:pPr>
      <w:r>
        <w:rPr>
          <w:b/>
          <w:bCs/>
          <w:color w:val="1F6F63"/>
          <w:sz w:val="30"/>
          <w:szCs w:val="30"/>
        </w:rPr>
        <w:t>6.1 النقد التقليدي وحدوده</w:t>
      </w:r>
    </w:p>
    <w:p w14:paraId="22C37A99" w14:textId="77777777" w:rsidR="0017232D" w:rsidRDefault="00F7279A">
      <w:pPr>
        <w:spacing w:after="200" w:line="340" w:lineRule="auto"/>
        <w:jc w:val="both"/>
        <w:rPr>
          <w:rFonts w:cs="Arial"/>
        </w:rPr>
      </w:pPr>
      <w:r>
        <w:t>النقد في الفكر الغربي ممارسة عريقة تهدف إلى فحص الأفكار والكشف عن تناقضاتها وحدودها. لكن النقد، في كثير من الأحيان، يبقى على سطح الخطاب، يحلل المفاهيم والمقدمات دون أن ينفذ إلى الأعماق النفسية والوجودية للمتكلم.</w:t>
      </w:r>
    </w:p>
    <w:p w14:paraId="404304BE" w14:textId="77777777" w:rsidR="0017232D" w:rsidRDefault="00F7279A">
      <w:pPr>
        <w:pStyle w:val="2"/>
        <w:bidi/>
        <w:spacing w:before="360" w:after="200"/>
        <w:jc w:val="right"/>
        <w:rPr>
          <w:rFonts w:cs="Arial"/>
        </w:rPr>
      </w:pPr>
      <w:r>
        <w:rPr>
          <w:b/>
          <w:bCs/>
          <w:color w:val="1F6F63"/>
          <w:sz w:val="30"/>
          <w:szCs w:val="30"/>
        </w:rPr>
        <w:t xml:space="preserve">6.2 أركيولوجيا الجرح وحفر الدوافع </w:t>
      </w:r>
      <w:proofErr w:type="spellStart"/>
      <w:r>
        <w:rPr>
          <w:b/>
          <w:bCs/>
          <w:color w:val="1F6F63"/>
          <w:sz w:val="30"/>
          <w:szCs w:val="30"/>
        </w:rPr>
        <w:t>اللاواعية</w:t>
      </w:r>
      <w:proofErr w:type="spellEnd"/>
    </w:p>
    <w:p w14:paraId="6619B999" w14:textId="77777777" w:rsidR="0017232D" w:rsidRDefault="00F7279A">
      <w:pPr>
        <w:spacing w:after="200" w:line="340" w:lineRule="auto"/>
        <w:jc w:val="both"/>
        <w:rPr>
          <w:rFonts w:cs="Arial"/>
        </w:rPr>
      </w:pPr>
      <w:r>
        <w:t>في مقابل هذا النقد السطحي، يقدم الزراع منهجية "أركيولوجيا الجرح الخطابي" (</w:t>
      </w:r>
      <w:proofErr w:type="spellStart"/>
      <w:r>
        <w:t>Archéologie</w:t>
      </w:r>
      <w:proofErr w:type="spellEnd"/>
      <w:r>
        <w:t xml:space="preserve"> </w:t>
      </w:r>
      <w:proofErr w:type="spellStart"/>
      <w:r>
        <w:t>de</w:t>
      </w:r>
      <w:proofErr w:type="spellEnd"/>
      <w:r>
        <w:t xml:space="preserve"> </w:t>
      </w:r>
      <w:proofErr w:type="spellStart"/>
      <w:r>
        <w:t>la</w:t>
      </w:r>
      <w:proofErr w:type="spellEnd"/>
      <w:r>
        <w:t xml:space="preserve"> </w:t>
      </w:r>
      <w:proofErr w:type="spellStart"/>
      <w:r>
        <w:t>Blessure</w:t>
      </w:r>
      <w:proofErr w:type="spellEnd"/>
      <w:r>
        <w:t xml:space="preserve"> </w:t>
      </w:r>
      <w:proofErr w:type="spellStart"/>
      <w:r>
        <w:t>Discursive</w:t>
      </w:r>
      <w:proofErr w:type="spellEnd"/>
      <w:r>
        <w:t xml:space="preserve">) [1، 846، 876]، وهي منهجية تستلهم من فوكو </w:t>
      </w:r>
      <w:proofErr w:type="spellStart"/>
      <w:r>
        <w:t>وفرويد</w:t>
      </w:r>
      <w:proofErr w:type="spellEnd"/>
      <w:r>
        <w:t xml:space="preserve"> </w:t>
      </w:r>
      <w:proofErr w:type="spellStart"/>
      <w:r>
        <w:t>ونيتشه</w:t>
      </w:r>
      <w:proofErr w:type="spellEnd"/>
      <w:r>
        <w:t xml:space="preserve">، لا تكتفي بتحليل الخطاب في ذاته، بل تحفر في طبقاته الجيولوجية لتصل إلى الصدمات التأسيسية والجروح النفسية </w:t>
      </w:r>
      <w:proofErr w:type="spellStart"/>
      <w:r>
        <w:t>والتماهيات</w:t>
      </w:r>
      <w:proofErr w:type="spellEnd"/>
      <w:r>
        <w:t xml:space="preserve"> الاستعاضية التي تحرك المتكلم دون وعي منه، وتحدد اتجاه خطابه.</w:t>
      </w:r>
    </w:p>
    <w:p w14:paraId="03F214DA" w14:textId="77777777" w:rsidR="0017232D" w:rsidRDefault="00F7279A">
      <w:pPr>
        <w:pStyle w:val="2"/>
        <w:bidi/>
        <w:spacing w:before="360" w:after="200"/>
        <w:jc w:val="right"/>
        <w:rPr>
          <w:rFonts w:cs="Arial"/>
        </w:rPr>
      </w:pPr>
      <w:r>
        <w:rPr>
          <w:b/>
          <w:bCs/>
          <w:color w:val="1F6F63"/>
          <w:sz w:val="30"/>
          <w:szCs w:val="30"/>
        </w:rPr>
        <w:t xml:space="preserve">6.3 </w:t>
      </w:r>
      <w:proofErr w:type="spellStart"/>
      <w:r>
        <w:rPr>
          <w:b/>
          <w:bCs/>
          <w:color w:val="1F6F63"/>
          <w:sz w:val="30"/>
          <w:szCs w:val="30"/>
        </w:rPr>
        <w:t>ريكور</w:t>
      </w:r>
      <w:proofErr w:type="spellEnd"/>
      <w:r>
        <w:rPr>
          <w:b/>
          <w:bCs/>
          <w:color w:val="1F6F63"/>
          <w:sz w:val="30"/>
          <w:szCs w:val="30"/>
        </w:rPr>
        <w:t xml:space="preserve"> و"مدرسة الشك": الجذور الفلسفية </w:t>
      </w:r>
      <w:proofErr w:type="spellStart"/>
      <w:r>
        <w:rPr>
          <w:b/>
          <w:bCs/>
          <w:color w:val="1F6F63"/>
          <w:sz w:val="30"/>
          <w:szCs w:val="30"/>
        </w:rPr>
        <w:t>لأركيولوجيا</w:t>
      </w:r>
      <w:proofErr w:type="spellEnd"/>
      <w:r>
        <w:rPr>
          <w:b/>
          <w:bCs/>
          <w:color w:val="1F6F63"/>
          <w:sz w:val="30"/>
          <w:szCs w:val="30"/>
        </w:rPr>
        <w:t xml:space="preserve"> الجرح</w:t>
      </w:r>
    </w:p>
    <w:p w14:paraId="7916A2BE" w14:textId="77777777" w:rsidR="0017232D" w:rsidRDefault="00F7279A">
      <w:pPr>
        <w:spacing w:after="200" w:line="340" w:lineRule="auto"/>
        <w:jc w:val="both"/>
        <w:rPr>
          <w:rFonts w:cs="Arial"/>
        </w:rPr>
      </w:pPr>
      <w:r>
        <w:t xml:space="preserve">يمنح بول </w:t>
      </w:r>
      <w:proofErr w:type="spellStart"/>
      <w:r>
        <w:t>ريكور</w:t>
      </w:r>
      <w:proofErr w:type="spellEnd"/>
      <w:r>
        <w:t xml:space="preserve">، في "عن التأويل: مقال حول فرويد"، تسمية دقيقة لهذا التقليد الفكري حين يجمع ماركس </w:t>
      </w:r>
      <w:proofErr w:type="spellStart"/>
      <w:r>
        <w:t>ونيتشه</w:t>
      </w:r>
      <w:proofErr w:type="spellEnd"/>
      <w:r>
        <w:t xml:space="preserve"> </w:t>
      </w:r>
      <w:proofErr w:type="spellStart"/>
      <w:r>
        <w:t>وفرويد</w:t>
      </w:r>
      <w:proofErr w:type="spellEnd"/>
      <w:r>
        <w:t xml:space="preserve"> تحت عنوان "مدرسة الشك" (</w:t>
      </w:r>
      <w:proofErr w:type="spellStart"/>
      <w:r>
        <w:t>l'école</w:t>
      </w:r>
      <w:proofErr w:type="spellEnd"/>
      <w:r>
        <w:t xml:space="preserve"> </w:t>
      </w:r>
      <w:proofErr w:type="spellStart"/>
      <w:r>
        <w:t>du</w:t>
      </w:r>
      <w:proofErr w:type="spellEnd"/>
      <w:r>
        <w:t xml:space="preserve"> </w:t>
      </w:r>
      <w:proofErr w:type="spellStart"/>
      <w:r>
        <w:t>soupçon</w:t>
      </w:r>
      <w:proofErr w:type="spellEnd"/>
      <w:r>
        <w:t>)، بوصفهم مفكرين لا يقرأون الخطاب على أنه ما يظهر منه، بل بوصفه قناعًا يخفي وراءه مصلحة طبقية، أو إرادة قوة، أو رغبة مكبوتة. ومنهجية "أركيولوجيا الجرح" عند الزراع تستأنف هذا التقليد التأويلي بأدواته صراحة.</w:t>
      </w:r>
    </w:p>
    <w:p w14:paraId="746E5206" w14:textId="77777777" w:rsidR="0017232D" w:rsidRDefault="00F7279A">
      <w:pPr>
        <w:spacing w:after="200" w:line="340" w:lineRule="auto"/>
        <w:jc w:val="both"/>
        <w:rPr>
          <w:rFonts w:cs="Arial"/>
        </w:rPr>
      </w:pPr>
      <w:r>
        <w:t xml:space="preserve">غير أن هذا الاستئناف يحمل مفارقة تستحق التوقف عندها: فمدرسة الشك، في صورتها الكلاسيكية عند ماركس </w:t>
      </w:r>
      <w:proofErr w:type="spellStart"/>
      <w:r>
        <w:t>ونيتشه</w:t>
      </w:r>
      <w:proofErr w:type="spellEnd"/>
      <w:r>
        <w:t xml:space="preserve"> </w:t>
      </w:r>
      <w:proofErr w:type="spellStart"/>
      <w:r>
        <w:t>وفرويد</w:t>
      </w:r>
      <w:proofErr w:type="spellEnd"/>
      <w:r>
        <w:t xml:space="preserve">، وُظفت تاريخيًا في الغالب لتفكيك الخطاب الديني ذاته وكشف "جذوره" النفسية أو الطبقية </w:t>
      </w:r>
      <w:proofErr w:type="spellStart"/>
      <w:r>
        <w:t>اللاواعية</w:t>
      </w:r>
      <w:proofErr w:type="spellEnd"/>
      <w:r>
        <w:t>. واستدعاء الزراع لهذه الأداة نفسها لخدمة مشروع توحيدي يمثل انعكاسًا لوجهة توظيفها الأصلية، وهو أمر مشروع منهجيًا من حيث المبدأ، لكنه يستوجب وعيًا نقديًا بالسياق الذي نشأت فيه هذه الأداة والافتراضات الفلسفية العدمية التي كانت تحملها عند بعض روادها، وهو ما نبّه إليه نقاد من ثقل نصر حامد أبو زيد بخصوص خطورة اقتباس أدوات منهجية دون مساءلة افتراضاتها الفلسفية الخلفية.</w:t>
      </w:r>
    </w:p>
    <w:p w14:paraId="474DABE3" w14:textId="77777777" w:rsidR="0017232D" w:rsidRDefault="00F7279A">
      <w:pPr>
        <w:pStyle w:val="2"/>
        <w:bidi/>
        <w:spacing w:before="360" w:after="200"/>
        <w:jc w:val="right"/>
        <w:rPr>
          <w:rFonts w:cs="Arial"/>
        </w:rPr>
      </w:pPr>
      <w:r>
        <w:rPr>
          <w:b/>
          <w:bCs/>
          <w:color w:val="1F6F63"/>
          <w:sz w:val="30"/>
          <w:szCs w:val="30"/>
        </w:rPr>
        <w:t>6.4 حدود المنهج: خطر "التسطيح النفسي" للفكر</w:t>
      </w:r>
    </w:p>
    <w:p w14:paraId="09C7F91D" w14:textId="77777777" w:rsidR="0017232D" w:rsidRDefault="00F7279A">
      <w:pPr>
        <w:spacing w:after="200" w:line="340" w:lineRule="auto"/>
        <w:jc w:val="both"/>
        <w:rPr>
          <w:rFonts w:cs="Arial"/>
        </w:rPr>
      </w:pPr>
      <w:r>
        <w:t xml:space="preserve">من الأمانة المنهجية التنبيه إلى خطر ملازم لأي قراءة </w:t>
      </w:r>
      <w:proofErr w:type="spellStart"/>
      <w:r>
        <w:t>أركيولوجية</w:t>
      </w:r>
      <w:proofErr w:type="spellEnd"/>
      <w:r>
        <w:t xml:space="preserve"> للخطاب، وهو ما يعرف في منطق الحجاج بـ"المغالطة التكوينية" (</w:t>
      </w:r>
      <w:proofErr w:type="spellStart"/>
      <w:r>
        <w:t>Genetic</w:t>
      </w:r>
      <w:proofErr w:type="spellEnd"/>
      <w:r>
        <w:t xml:space="preserve"> </w:t>
      </w:r>
      <w:proofErr w:type="spellStart"/>
      <w:r>
        <w:t>Fallacy</w:t>
      </w:r>
      <w:proofErr w:type="spellEnd"/>
      <w:r>
        <w:t xml:space="preserve">): تفسير صحة فكرة أو بطلانها بمرجعها إلى أصلها النفسي أو التاريخي، بدل تقييمها بمعاييرها الخاصة. فردّ مشروع فكري متكامل، مهما بلغ تماسكه، إلى جرح شخصي واحد كالطلاق أو الهجر، قد يُختزل إلى تفسير أحادي يُغفل طبقات أخرى معرفية وسياقية واجتماعية شكّلت هذا المشروع. وقد سبق أن أُفردت لهذه الإشكالية بالذات دراسة نقدية مستقلة ضمن هذا المشروع تناقش حدود المشروعية المنهجية </w:t>
      </w:r>
      <w:proofErr w:type="spellStart"/>
      <w:r>
        <w:t>لأركيولوجيا</w:t>
      </w:r>
      <w:proofErr w:type="spellEnd"/>
      <w:r>
        <w:t xml:space="preserve"> الجرح حين تتجاوز التفسير التكميلي إلى الاختزال ال</w:t>
      </w:r>
      <w:r>
        <w:t>تفسيري الشامل.</w:t>
      </w:r>
    </w:p>
    <w:p w14:paraId="57AC7240"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الفصل السابع: نحو نسق معرفي موحد — النظريات الست في جدول مقارن</w:t>
      </w:r>
    </w:p>
    <w:p w14:paraId="0DA7DB3E" w14:textId="77777777" w:rsidR="0017232D" w:rsidRDefault="00F7279A">
      <w:pPr>
        <w:spacing w:after="200" w:line="340" w:lineRule="auto"/>
        <w:jc w:val="both"/>
        <w:rPr>
          <w:rFonts w:cs="Arial"/>
        </w:rPr>
      </w:pPr>
      <w:r>
        <w:t>بعد أن استعرضنا كل نظرية من النظريات الست على حدة، في حوارها مع نظيرتها الغربية المعاصرة وجذرها الإسلامي الكلاسيكي، يمكن الآن تركيب هذا العرض في نسق مقارن واحد يبرز البنية الاستدلالية الموحدة التي تجمع بين هذه النظريات الست: بنية تنطلق دائمًا من نقد اختزالي لنموذج غربي حديث، وتستعيد جذرًا كلاسيكيًا إسلاميًا كان قد أُهمل أو هُمّش، ثم تصوغ تركيبًا جديدًا يتجاوز الطرفين دون أن يلغي أيًّا منهما إلغاءً كاملًا.</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50"/>
        <w:gridCol w:w="2450"/>
        <w:gridCol w:w="2450"/>
        <w:gridCol w:w="2450"/>
      </w:tblGrid>
      <w:tr w:rsidR="0017232D" w14:paraId="065B9D01" w14:textId="77777777">
        <w:tblPrEx>
          <w:tblCellMar>
            <w:top w:w="0" w:type="dxa"/>
            <w:bottom w:w="0" w:type="dxa"/>
          </w:tblCellMar>
        </w:tblPrEx>
        <w:trPr>
          <w:tblHeader/>
        </w:trPr>
        <w:tc>
          <w:tcPr>
            <w:tcW w:w="2400" w:type="dxa"/>
            <w:shd w:val="clear" w:color="auto" w:fill="1B2A4A"/>
            <w:tcMar>
              <w:top w:w="100" w:type="dxa"/>
              <w:left w:w="100" w:type="dxa"/>
              <w:bottom w:w="100" w:type="dxa"/>
              <w:right w:w="100" w:type="dxa"/>
            </w:tcMar>
          </w:tcPr>
          <w:p w14:paraId="7B9292C4" w14:textId="77777777" w:rsidR="0017232D" w:rsidRDefault="00F7279A">
            <w:pPr>
              <w:jc w:val="right"/>
              <w:rPr>
                <w:rFonts w:cs="Arial"/>
              </w:rPr>
            </w:pPr>
            <w:r>
              <w:rPr>
                <w:b/>
                <w:bCs/>
                <w:color w:val="FFFFFF"/>
                <w:sz w:val="22"/>
                <w:szCs w:val="22"/>
              </w:rPr>
              <w:t>النظرية الاستخلافية</w:t>
            </w:r>
          </w:p>
        </w:tc>
        <w:tc>
          <w:tcPr>
            <w:tcW w:w="2400" w:type="dxa"/>
            <w:shd w:val="clear" w:color="auto" w:fill="1B2A4A"/>
            <w:tcMar>
              <w:top w:w="100" w:type="dxa"/>
              <w:left w:w="100" w:type="dxa"/>
              <w:bottom w:w="100" w:type="dxa"/>
              <w:right w:w="100" w:type="dxa"/>
            </w:tcMar>
          </w:tcPr>
          <w:p w14:paraId="411560B7" w14:textId="77777777" w:rsidR="0017232D" w:rsidRDefault="00F7279A">
            <w:pPr>
              <w:jc w:val="right"/>
              <w:rPr>
                <w:rFonts w:cs="Arial"/>
              </w:rPr>
            </w:pPr>
            <w:r>
              <w:rPr>
                <w:b/>
                <w:bCs/>
                <w:color w:val="FFFFFF"/>
                <w:sz w:val="22"/>
                <w:szCs w:val="22"/>
              </w:rPr>
              <w:t>النظير الغربي</w:t>
            </w:r>
          </w:p>
        </w:tc>
        <w:tc>
          <w:tcPr>
            <w:tcW w:w="2400" w:type="dxa"/>
            <w:shd w:val="clear" w:color="auto" w:fill="1B2A4A"/>
            <w:tcMar>
              <w:top w:w="100" w:type="dxa"/>
              <w:left w:w="100" w:type="dxa"/>
              <w:bottom w:w="100" w:type="dxa"/>
              <w:right w:w="100" w:type="dxa"/>
            </w:tcMar>
          </w:tcPr>
          <w:p w14:paraId="6C2C1B87" w14:textId="77777777" w:rsidR="0017232D" w:rsidRDefault="00F7279A">
            <w:pPr>
              <w:jc w:val="right"/>
              <w:rPr>
                <w:rFonts w:cs="Arial"/>
              </w:rPr>
            </w:pPr>
            <w:r>
              <w:rPr>
                <w:b/>
                <w:bCs/>
                <w:color w:val="FFFFFF"/>
                <w:sz w:val="22"/>
                <w:szCs w:val="22"/>
              </w:rPr>
              <w:t>الجذر الإسلامي الكلاسيكي</w:t>
            </w:r>
          </w:p>
        </w:tc>
        <w:tc>
          <w:tcPr>
            <w:tcW w:w="2400" w:type="dxa"/>
            <w:shd w:val="clear" w:color="auto" w:fill="1B2A4A"/>
            <w:tcMar>
              <w:top w:w="100" w:type="dxa"/>
              <w:left w:w="100" w:type="dxa"/>
              <w:bottom w:w="100" w:type="dxa"/>
              <w:right w:w="100" w:type="dxa"/>
            </w:tcMar>
          </w:tcPr>
          <w:p w14:paraId="7328FC15" w14:textId="77777777" w:rsidR="0017232D" w:rsidRDefault="00F7279A">
            <w:pPr>
              <w:jc w:val="right"/>
              <w:rPr>
                <w:rFonts w:cs="Arial"/>
              </w:rPr>
            </w:pPr>
            <w:r>
              <w:rPr>
                <w:b/>
                <w:bCs/>
                <w:color w:val="FFFFFF"/>
                <w:sz w:val="22"/>
                <w:szCs w:val="22"/>
              </w:rPr>
              <w:t>الإضافة الاستخلافية النوعية</w:t>
            </w:r>
          </w:p>
        </w:tc>
      </w:tr>
      <w:tr w:rsidR="0017232D" w14:paraId="72323293" w14:textId="77777777">
        <w:tblPrEx>
          <w:tblCellMar>
            <w:top w:w="0" w:type="dxa"/>
            <w:bottom w:w="0" w:type="dxa"/>
          </w:tblCellMar>
        </w:tblPrEx>
        <w:tc>
          <w:tcPr>
            <w:tcW w:w="2400" w:type="dxa"/>
            <w:shd w:val="clear" w:color="auto" w:fill="FFFFFF"/>
            <w:tcMar>
              <w:top w:w="100" w:type="dxa"/>
              <w:left w:w="100" w:type="dxa"/>
              <w:bottom w:w="100" w:type="dxa"/>
              <w:right w:w="100" w:type="dxa"/>
            </w:tcMar>
          </w:tcPr>
          <w:p w14:paraId="03A2EE15" w14:textId="77777777" w:rsidR="0017232D" w:rsidRDefault="00F7279A">
            <w:pPr>
              <w:jc w:val="right"/>
              <w:rPr>
                <w:rFonts w:cs="Arial"/>
              </w:rPr>
            </w:pPr>
            <w:r>
              <w:rPr>
                <w:sz w:val="22"/>
                <w:szCs w:val="22"/>
              </w:rPr>
              <w:t>فلسفة السيادة الأخلاقية</w:t>
            </w:r>
          </w:p>
        </w:tc>
        <w:tc>
          <w:tcPr>
            <w:tcW w:w="2400" w:type="dxa"/>
            <w:shd w:val="clear" w:color="auto" w:fill="FFFFFF"/>
            <w:tcMar>
              <w:top w:w="100" w:type="dxa"/>
              <w:left w:w="100" w:type="dxa"/>
              <w:bottom w:w="100" w:type="dxa"/>
              <w:right w:w="100" w:type="dxa"/>
            </w:tcMar>
          </w:tcPr>
          <w:p w14:paraId="1C945062" w14:textId="77777777" w:rsidR="0017232D" w:rsidRDefault="00F7279A">
            <w:pPr>
              <w:jc w:val="right"/>
              <w:rPr>
                <w:rFonts w:cs="Arial"/>
              </w:rPr>
            </w:pPr>
            <w:r>
              <w:rPr>
                <w:sz w:val="22"/>
                <w:szCs w:val="22"/>
              </w:rPr>
              <w:t xml:space="preserve">نقد </w:t>
            </w:r>
            <w:proofErr w:type="spellStart"/>
            <w:r>
              <w:rPr>
                <w:sz w:val="22"/>
                <w:szCs w:val="22"/>
              </w:rPr>
              <w:t>ماكنتاير</w:t>
            </w:r>
            <w:proofErr w:type="spellEnd"/>
            <w:r>
              <w:rPr>
                <w:sz w:val="22"/>
                <w:szCs w:val="22"/>
              </w:rPr>
              <w:t xml:space="preserve"> </w:t>
            </w:r>
            <w:proofErr w:type="spellStart"/>
            <w:r>
              <w:rPr>
                <w:sz w:val="22"/>
                <w:szCs w:val="22"/>
              </w:rPr>
              <w:t>وساندل</w:t>
            </w:r>
            <w:proofErr w:type="spellEnd"/>
            <w:r>
              <w:rPr>
                <w:sz w:val="22"/>
                <w:szCs w:val="22"/>
              </w:rPr>
              <w:t xml:space="preserve"> لليبرالية الإجرائية</w:t>
            </w:r>
          </w:p>
        </w:tc>
        <w:tc>
          <w:tcPr>
            <w:tcW w:w="2400" w:type="dxa"/>
            <w:shd w:val="clear" w:color="auto" w:fill="FFFFFF"/>
            <w:tcMar>
              <w:top w:w="100" w:type="dxa"/>
              <w:left w:w="100" w:type="dxa"/>
              <w:bottom w:w="100" w:type="dxa"/>
              <w:right w:w="100" w:type="dxa"/>
            </w:tcMar>
          </w:tcPr>
          <w:p w14:paraId="00DC6E49" w14:textId="77777777" w:rsidR="0017232D" w:rsidRDefault="00F7279A">
            <w:pPr>
              <w:jc w:val="right"/>
              <w:rPr>
                <w:rFonts w:cs="Arial"/>
              </w:rPr>
            </w:pPr>
            <w:r>
              <w:rPr>
                <w:sz w:val="22"/>
                <w:szCs w:val="22"/>
              </w:rPr>
              <w:t>الماوردي، ابن تيمية (السياسة الشرعية)</w:t>
            </w:r>
          </w:p>
        </w:tc>
        <w:tc>
          <w:tcPr>
            <w:tcW w:w="2400" w:type="dxa"/>
            <w:shd w:val="clear" w:color="auto" w:fill="FFFFFF"/>
            <w:tcMar>
              <w:top w:w="100" w:type="dxa"/>
              <w:left w:w="100" w:type="dxa"/>
              <w:bottom w:w="100" w:type="dxa"/>
              <w:right w:w="100" w:type="dxa"/>
            </w:tcMar>
          </w:tcPr>
          <w:p w14:paraId="237FA037" w14:textId="77777777" w:rsidR="0017232D" w:rsidRDefault="00F7279A">
            <w:pPr>
              <w:jc w:val="right"/>
              <w:rPr>
                <w:rFonts w:cs="Arial"/>
              </w:rPr>
            </w:pPr>
            <w:r>
              <w:rPr>
                <w:sz w:val="22"/>
                <w:szCs w:val="22"/>
              </w:rPr>
              <w:t>ربط السيادة بالوحي لا بالتقليد أو الجماعة فحسب</w:t>
            </w:r>
          </w:p>
        </w:tc>
      </w:tr>
      <w:tr w:rsidR="0017232D" w14:paraId="28B4DA36" w14:textId="77777777">
        <w:tblPrEx>
          <w:tblCellMar>
            <w:top w:w="0" w:type="dxa"/>
            <w:bottom w:w="0" w:type="dxa"/>
          </w:tblCellMar>
        </w:tblPrEx>
        <w:tc>
          <w:tcPr>
            <w:tcW w:w="2400" w:type="dxa"/>
            <w:shd w:val="clear" w:color="auto" w:fill="FFFFFF"/>
            <w:tcMar>
              <w:top w:w="100" w:type="dxa"/>
              <w:left w:w="100" w:type="dxa"/>
              <w:bottom w:w="100" w:type="dxa"/>
              <w:right w:w="100" w:type="dxa"/>
            </w:tcMar>
          </w:tcPr>
          <w:p w14:paraId="0ACB1985" w14:textId="77777777" w:rsidR="0017232D" w:rsidRDefault="00F7279A">
            <w:pPr>
              <w:jc w:val="right"/>
              <w:rPr>
                <w:rFonts w:cs="Arial"/>
              </w:rPr>
            </w:pPr>
            <w:proofErr w:type="spellStart"/>
            <w:r>
              <w:rPr>
                <w:sz w:val="22"/>
                <w:szCs w:val="22"/>
              </w:rPr>
              <w:t>الإنسانوية</w:t>
            </w:r>
            <w:proofErr w:type="spellEnd"/>
            <w:r>
              <w:rPr>
                <w:sz w:val="22"/>
                <w:szCs w:val="22"/>
              </w:rPr>
              <w:t xml:space="preserve"> الروحية</w:t>
            </w:r>
          </w:p>
        </w:tc>
        <w:tc>
          <w:tcPr>
            <w:tcW w:w="2400" w:type="dxa"/>
            <w:shd w:val="clear" w:color="auto" w:fill="FFFFFF"/>
            <w:tcMar>
              <w:top w:w="100" w:type="dxa"/>
              <w:left w:w="100" w:type="dxa"/>
              <w:bottom w:w="100" w:type="dxa"/>
              <w:right w:w="100" w:type="dxa"/>
            </w:tcMar>
          </w:tcPr>
          <w:p w14:paraId="2C9EB299" w14:textId="77777777" w:rsidR="0017232D" w:rsidRDefault="00F7279A">
            <w:pPr>
              <w:jc w:val="right"/>
              <w:rPr>
                <w:rFonts w:cs="Arial"/>
              </w:rPr>
            </w:pPr>
            <w:proofErr w:type="spellStart"/>
            <w:r>
              <w:rPr>
                <w:sz w:val="22"/>
                <w:szCs w:val="22"/>
              </w:rPr>
              <w:t>شيلر</w:t>
            </w:r>
            <w:proofErr w:type="spellEnd"/>
            <w:r>
              <w:rPr>
                <w:sz w:val="22"/>
                <w:szCs w:val="22"/>
              </w:rPr>
              <w:t xml:space="preserve"> (مكانة الإنسان)، بوبر (أنا-أنت)</w:t>
            </w:r>
          </w:p>
        </w:tc>
        <w:tc>
          <w:tcPr>
            <w:tcW w:w="2400" w:type="dxa"/>
            <w:shd w:val="clear" w:color="auto" w:fill="FFFFFF"/>
            <w:tcMar>
              <w:top w:w="100" w:type="dxa"/>
              <w:left w:w="100" w:type="dxa"/>
              <w:bottom w:w="100" w:type="dxa"/>
              <w:right w:w="100" w:type="dxa"/>
            </w:tcMar>
          </w:tcPr>
          <w:p w14:paraId="5F3662A9" w14:textId="77777777" w:rsidR="0017232D" w:rsidRDefault="00F7279A">
            <w:pPr>
              <w:jc w:val="right"/>
              <w:rPr>
                <w:rFonts w:cs="Arial"/>
              </w:rPr>
            </w:pPr>
            <w:r>
              <w:rPr>
                <w:sz w:val="22"/>
                <w:szCs w:val="22"/>
              </w:rPr>
              <w:t>الغزالي (عجائب القلب)</w:t>
            </w:r>
          </w:p>
        </w:tc>
        <w:tc>
          <w:tcPr>
            <w:tcW w:w="2400" w:type="dxa"/>
            <w:shd w:val="clear" w:color="auto" w:fill="FFFFFF"/>
            <w:tcMar>
              <w:top w:w="100" w:type="dxa"/>
              <w:left w:w="100" w:type="dxa"/>
              <w:bottom w:w="100" w:type="dxa"/>
              <w:right w:w="100" w:type="dxa"/>
            </w:tcMar>
          </w:tcPr>
          <w:p w14:paraId="4473C762" w14:textId="77777777" w:rsidR="0017232D" w:rsidRDefault="00F7279A">
            <w:pPr>
              <w:jc w:val="right"/>
              <w:rPr>
                <w:rFonts w:cs="Arial"/>
              </w:rPr>
            </w:pPr>
            <w:r>
              <w:rPr>
                <w:sz w:val="22"/>
                <w:szCs w:val="22"/>
              </w:rPr>
              <w:t>تأسيس الكرامة على النفخة الإلهية والميثاق الأزلي</w:t>
            </w:r>
          </w:p>
        </w:tc>
      </w:tr>
      <w:tr w:rsidR="0017232D" w14:paraId="3557BD6A" w14:textId="77777777">
        <w:tblPrEx>
          <w:tblCellMar>
            <w:top w:w="0" w:type="dxa"/>
            <w:bottom w:w="0" w:type="dxa"/>
          </w:tblCellMar>
        </w:tblPrEx>
        <w:tc>
          <w:tcPr>
            <w:tcW w:w="2400" w:type="dxa"/>
            <w:shd w:val="clear" w:color="auto" w:fill="FFFFFF"/>
            <w:tcMar>
              <w:top w:w="100" w:type="dxa"/>
              <w:left w:w="100" w:type="dxa"/>
              <w:bottom w:w="100" w:type="dxa"/>
              <w:right w:w="100" w:type="dxa"/>
            </w:tcMar>
          </w:tcPr>
          <w:p w14:paraId="3D241AC4" w14:textId="77777777" w:rsidR="0017232D" w:rsidRDefault="00F7279A">
            <w:pPr>
              <w:jc w:val="right"/>
              <w:rPr>
                <w:rFonts w:cs="Arial"/>
              </w:rPr>
            </w:pPr>
            <w:r>
              <w:rPr>
                <w:sz w:val="22"/>
                <w:szCs w:val="22"/>
              </w:rPr>
              <w:t>الاندماج الخالق</w:t>
            </w:r>
          </w:p>
        </w:tc>
        <w:tc>
          <w:tcPr>
            <w:tcW w:w="2400" w:type="dxa"/>
            <w:shd w:val="clear" w:color="auto" w:fill="FFFFFF"/>
            <w:tcMar>
              <w:top w:w="100" w:type="dxa"/>
              <w:left w:w="100" w:type="dxa"/>
              <w:bottom w:w="100" w:type="dxa"/>
              <w:right w:w="100" w:type="dxa"/>
            </w:tcMar>
          </w:tcPr>
          <w:p w14:paraId="2D23A02E" w14:textId="77777777" w:rsidR="0017232D" w:rsidRDefault="00F7279A">
            <w:pPr>
              <w:jc w:val="right"/>
              <w:rPr>
                <w:rFonts w:cs="Arial"/>
              </w:rPr>
            </w:pPr>
            <w:proofErr w:type="spellStart"/>
            <w:r>
              <w:rPr>
                <w:sz w:val="22"/>
                <w:szCs w:val="22"/>
              </w:rPr>
              <w:t>غادامير</w:t>
            </w:r>
            <w:proofErr w:type="spellEnd"/>
            <w:r>
              <w:rPr>
                <w:sz w:val="22"/>
                <w:szCs w:val="22"/>
              </w:rPr>
              <w:t xml:space="preserve"> (اندماج الآفاق)</w:t>
            </w:r>
          </w:p>
        </w:tc>
        <w:tc>
          <w:tcPr>
            <w:tcW w:w="2400" w:type="dxa"/>
            <w:shd w:val="clear" w:color="auto" w:fill="FFFFFF"/>
            <w:tcMar>
              <w:top w:w="100" w:type="dxa"/>
              <w:left w:w="100" w:type="dxa"/>
              <w:bottom w:w="100" w:type="dxa"/>
              <w:right w:w="100" w:type="dxa"/>
            </w:tcMar>
          </w:tcPr>
          <w:p w14:paraId="4AC4C96B" w14:textId="77777777" w:rsidR="0017232D" w:rsidRDefault="00F7279A">
            <w:pPr>
              <w:jc w:val="right"/>
              <w:rPr>
                <w:rFonts w:cs="Arial"/>
              </w:rPr>
            </w:pPr>
            <w:r>
              <w:rPr>
                <w:sz w:val="22"/>
                <w:szCs w:val="22"/>
              </w:rPr>
              <w:t>ابن خلدون (نقد العصبية)</w:t>
            </w:r>
          </w:p>
        </w:tc>
        <w:tc>
          <w:tcPr>
            <w:tcW w:w="2400" w:type="dxa"/>
            <w:shd w:val="clear" w:color="auto" w:fill="FFFFFF"/>
            <w:tcMar>
              <w:top w:w="100" w:type="dxa"/>
              <w:left w:w="100" w:type="dxa"/>
              <w:bottom w:w="100" w:type="dxa"/>
              <w:right w:w="100" w:type="dxa"/>
            </w:tcMar>
          </w:tcPr>
          <w:p w14:paraId="7A6FFD5C" w14:textId="77777777" w:rsidR="0017232D" w:rsidRDefault="00F7279A">
            <w:pPr>
              <w:jc w:val="right"/>
              <w:rPr>
                <w:rFonts w:cs="Arial"/>
              </w:rPr>
            </w:pPr>
            <w:r>
              <w:rPr>
                <w:sz w:val="22"/>
                <w:szCs w:val="22"/>
              </w:rPr>
              <w:t>توجيه الاندماج نحو غائية توحيدية ثابتة</w:t>
            </w:r>
          </w:p>
        </w:tc>
      </w:tr>
      <w:tr w:rsidR="0017232D" w14:paraId="7312C552" w14:textId="77777777">
        <w:tblPrEx>
          <w:tblCellMar>
            <w:top w:w="0" w:type="dxa"/>
            <w:bottom w:w="0" w:type="dxa"/>
          </w:tblCellMar>
        </w:tblPrEx>
        <w:tc>
          <w:tcPr>
            <w:tcW w:w="2400" w:type="dxa"/>
            <w:shd w:val="clear" w:color="auto" w:fill="FFFFFF"/>
            <w:tcMar>
              <w:top w:w="100" w:type="dxa"/>
              <w:left w:w="100" w:type="dxa"/>
              <w:bottom w:w="100" w:type="dxa"/>
              <w:right w:w="100" w:type="dxa"/>
            </w:tcMar>
          </w:tcPr>
          <w:p w14:paraId="020A6341" w14:textId="77777777" w:rsidR="0017232D" w:rsidRDefault="00F7279A">
            <w:pPr>
              <w:jc w:val="right"/>
              <w:rPr>
                <w:rFonts w:cs="Arial"/>
              </w:rPr>
            </w:pPr>
            <w:r>
              <w:rPr>
                <w:sz w:val="22"/>
                <w:szCs w:val="22"/>
              </w:rPr>
              <w:t>الكينتسوغي النفسي</w:t>
            </w:r>
          </w:p>
        </w:tc>
        <w:tc>
          <w:tcPr>
            <w:tcW w:w="2400" w:type="dxa"/>
            <w:shd w:val="clear" w:color="auto" w:fill="FFFFFF"/>
            <w:tcMar>
              <w:top w:w="100" w:type="dxa"/>
              <w:left w:w="100" w:type="dxa"/>
              <w:bottom w:w="100" w:type="dxa"/>
              <w:right w:w="100" w:type="dxa"/>
            </w:tcMar>
          </w:tcPr>
          <w:p w14:paraId="638E5CA0" w14:textId="77777777" w:rsidR="0017232D" w:rsidRDefault="00F7279A">
            <w:pPr>
              <w:jc w:val="right"/>
              <w:rPr>
                <w:rFonts w:cs="Arial"/>
              </w:rPr>
            </w:pPr>
            <w:proofErr w:type="spellStart"/>
            <w:r>
              <w:rPr>
                <w:sz w:val="22"/>
                <w:szCs w:val="22"/>
              </w:rPr>
              <w:t>تيديشي</w:t>
            </w:r>
            <w:proofErr w:type="spellEnd"/>
            <w:r>
              <w:rPr>
                <w:sz w:val="22"/>
                <w:szCs w:val="22"/>
              </w:rPr>
              <w:t xml:space="preserve"> وكالهون (النمو ما بعد الصدمة)</w:t>
            </w:r>
          </w:p>
        </w:tc>
        <w:tc>
          <w:tcPr>
            <w:tcW w:w="2400" w:type="dxa"/>
            <w:shd w:val="clear" w:color="auto" w:fill="FFFFFF"/>
            <w:tcMar>
              <w:top w:w="100" w:type="dxa"/>
              <w:left w:w="100" w:type="dxa"/>
              <w:bottom w:w="100" w:type="dxa"/>
              <w:right w:w="100" w:type="dxa"/>
            </w:tcMar>
          </w:tcPr>
          <w:p w14:paraId="67843FD0" w14:textId="77777777" w:rsidR="0017232D" w:rsidRDefault="00F7279A">
            <w:pPr>
              <w:jc w:val="right"/>
              <w:rPr>
                <w:rFonts w:cs="Arial"/>
              </w:rPr>
            </w:pPr>
            <w:r>
              <w:rPr>
                <w:sz w:val="22"/>
                <w:szCs w:val="22"/>
              </w:rPr>
              <w:t>ابن القيم (منازل التوبة)</w:t>
            </w:r>
          </w:p>
        </w:tc>
        <w:tc>
          <w:tcPr>
            <w:tcW w:w="2400" w:type="dxa"/>
            <w:shd w:val="clear" w:color="auto" w:fill="FFFFFF"/>
            <w:tcMar>
              <w:top w:w="100" w:type="dxa"/>
              <w:left w:w="100" w:type="dxa"/>
              <w:bottom w:w="100" w:type="dxa"/>
              <w:right w:w="100" w:type="dxa"/>
            </w:tcMar>
          </w:tcPr>
          <w:p w14:paraId="57910FAA" w14:textId="77777777" w:rsidR="0017232D" w:rsidRDefault="00F7279A">
            <w:pPr>
              <w:jc w:val="right"/>
              <w:rPr>
                <w:rFonts w:cs="Arial"/>
              </w:rPr>
            </w:pPr>
            <w:r>
              <w:rPr>
                <w:sz w:val="22"/>
                <w:szCs w:val="22"/>
              </w:rPr>
              <w:t>تحويل الجرح إلى رسالة ربانية لا مجرد تكيف وظيفي</w:t>
            </w:r>
          </w:p>
        </w:tc>
      </w:tr>
      <w:tr w:rsidR="0017232D" w14:paraId="39160B71" w14:textId="77777777">
        <w:tblPrEx>
          <w:tblCellMar>
            <w:top w:w="0" w:type="dxa"/>
            <w:bottom w:w="0" w:type="dxa"/>
          </w:tblCellMar>
        </w:tblPrEx>
        <w:tc>
          <w:tcPr>
            <w:tcW w:w="2400" w:type="dxa"/>
            <w:shd w:val="clear" w:color="auto" w:fill="FFFFFF"/>
            <w:tcMar>
              <w:top w:w="100" w:type="dxa"/>
              <w:left w:w="100" w:type="dxa"/>
              <w:bottom w:w="100" w:type="dxa"/>
              <w:right w:w="100" w:type="dxa"/>
            </w:tcMar>
          </w:tcPr>
          <w:p w14:paraId="3228CF74" w14:textId="77777777" w:rsidR="0017232D" w:rsidRDefault="00F7279A">
            <w:pPr>
              <w:jc w:val="right"/>
              <w:rPr>
                <w:rFonts w:cs="Arial"/>
              </w:rPr>
            </w:pPr>
            <w:r>
              <w:rPr>
                <w:sz w:val="22"/>
                <w:szCs w:val="22"/>
              </w:rPr>
              <w:t>المرجعية المتعالية</w:t>
            </w:r>
          </w:p>
        </w:tc>
        <w:tc>
          <w:tcPr>
            <w:tcW w:w="2400" w:type="dxa"/>
            <w:shd w:val="clear" w:color="auto" w:fill="FFFFFF"/>
            <w:tcMar>
              <w:top w:w="100" w:type="dxa"/>
              <w:left w:w="100" w:type="dxa"/>
              <w:bottom w:w="100" w:type="dxa"/>
              <w:right w:w="100" w:type="dxa"/>
            </w:tcMar>
          </w:tcPr>
          <w:p w14:paraId="62AB67EF" w14:textId="77777777" w:rsidR="0017232D" w:rsidRDefault="00F7279A">
            <w:pPr>
              <w:jc w:val="right"/>
              <w:rPr>
                <w:rFonts w:cs="Arial"/>
              </w:rPr>
            </w:pPr>
            <w:proofErr w:type="spellStart"/>
            <w:r>
              <w:rPr>
                <w:sz w:val="22"/>
                <w:szCs w:val="22"/>
              </w:rPr>
              <w:t>أوتو</w:t>
            </w:r>
            <w:proofErr w:type="spellEnd"/>
            <w:r>
              <w:rPr>
                <w:sz w:val="22"/>
                <w:szCs w:val="22"/>
              </w:rPr>
              <w:t xml:space="preserve"> (القدسي)، </w:t>
            </w:r>
            <w:proofErr w:type="spellStart"/>
            <w:r>
              <w:rPr>
                <w:sz w:val="22"/>
                <w:szCs w:val="22"/>
              </w:rPr>
              <w:t>إلياد</w:t>
            </w:r>
            <w:proofErr w:type="spellEnd"/>
            <w:r>
              <w:rPr>
                <w:sz w:val="22"/>
                <w:szCs w:val="22"/>
              </w:rPr>
              <w:t xml:space="preserve"> (المقدس والمدنس)</w:t>
            </w:r>
          </w:p>
        </w:tc>
        <w:tc>
          <w:tcPr>
            <w:tcW w:w="2400" w:type="dxa"/>
            <w:shd w:val="clear" w:color="auto" w:fill="FFFFFF"/>
            <w:tcMar>
              <w:top w:w="100" w:type="dxa"/>
              <w:left w:w="100" w:type="dxa"/>
              <w:bottom w:w="100" w:type="dxa"/>
              <w:right w:w="100" w:type="dxa"/>
            </w:tcMar>
          </w:tcPr>
          <w:p w14:paraId="64BF3103" w14:textId="77777777" w:rsidR="0017232D" w:rsidRDefault="00F7279A">
            <w:pPr>
              <w:jc w:val="right"/>
              <w:rPr>
                <w:rFonts w:cs="Arial"/>
              </w:rPr>
            </w:pPr>
            <w:r>
              <w:rPr>
                <w:sz w:val="22"/>
                <w:szCs w:val="22"/>
              </w:rPr>
              <w:t>الغزالي (مراتب المعرفة)</w:t>
            </w:r>
          </w:p>
        </w:tc>
        <w:tc>
          <w:tcPr>
            <w:tcW w:w="2400" w:type="dxa"/>
            <w:shd w:val="clear" w:color="auto" w:fill="FFFFFF"/>
            <w:tcMar>
              <w:top w:w="100" w:type="dxa"/>
              <w:left w:w="100" w:type="dxa"/>
              <w:bottom w:w="100" w:type="dxa"/>
              <w:right w:w="100" w:type="dxa"/>
            </w:tcMar>
          </w:tcPr>
          <w:p w14:paraId="15C81D3B" w14:textId="77777777" w:rsidR="0017232D" w:rsidRDefault="00F7279A">
            <w:pPr>
              <w:jc w:val="right"/>
              <w:rPr>
                <w:rFonts w:cs="Arial"/>
              </w:rPr>
            </w:pPr>
            <w:r>
              <w:rPr>
                <w:sz w:val="22"/>
                <w:szCs w:val="22"/>
              </w:rPr>
              <w:t>تخصيص القدسي بالتوحيد لا تعميمه على كل مقدس</w:t>
            </w:r>
          </w:p>
        </w:tc>
      </w:tr>
      <w:tr w:rsidR="0017232D" w14:paraId="29A5F749" w14:textId="77777777">
        <w:tblPrEx>
          <w:tblCellMar>
            <w:top w:w="0" w:type="dxa"/>
            <w:bottom w:w="0" w:type="dxa"/>
          </w:tblCellMar>
        </w:tblPrEx>
        <w:tc>
          <w:tcPr>
            <w:tcW w:w="2400" w:type="dxa"/>
            <w:shd w:val="clear" w:color="auto" w:fill="FFFFFF"/>
            <w:tcMar>
              <w:top w:w="100" w:type="dxa"/>
              <w:left w:w="100" w:type="dxa"/>
              <w:bottom w:w="100" w:type="dxa"/>
              <w:right w:w="100" w:type="dxa"/>
            </w:tcMar>
          </w:tcPr>
          <w:p w14:paraId="1DC1D1EF" w14:textId="77777777" w:rsidR="0017232D" w:rsidRDefault="00F7279A">
            <w:pPr>
              <w:jc w:val="right"/>
              <w:rPr>
                <w:rFonts w:cs="Arial"/>
              </w:rPr>
            </w:pPr>
            <w:r>
              <w:rPr>
                <w:sz w:val="22"/>
                <w:szCs w:val="22"/>
              </w:rPr>
              <w:t>أركيولوجيا الجرح</w:t>
            </w:r>
          </w:p>
        </w:tc>
        <w:tc>
          <w:tcPr>
            <w:tcW w:w="2400" w:type="dxa"/>
            <w:shd w:val="clear" w:color="auto" w:fill="FFFFFF"/>
            <w:tcMar>
              <w:top w:w="100" w:type="dxa"/>
              <w:left w:w="100" w:type="dxa"/>
              <w:bottom w:w="100" w:type="dxa"/>
              <w:right w:w="100" w:type="dxa"/>
            </w:tcMar>
          </w:tcPr>
          <w:p w14:paraId="2F9F762C" w14:textId="77777777" w:rsidR="0017232D" w:rsidRDefault="00F7279A">
            <w:pPr>
              <w:jc w:val="right"/>
              <w:rPr>
                <w:rFonts w:cs="Arial"/>
              </w:rPr>
            </w:pPr>
            <w:proofErr w:type="spellStart"/>
            <w:r>
              <w:rPr>
                <w:sz w:val="22"/>
                <w:szCs w:val="22"/>
              </w:rPr>
              <w:t>ريكور</w:t>
            </w:r>
            <w:proofErr w:type="spellEnd"/>
            <w:r>
              <w:rPr>
                <w:sz w:val="22"/>
                <w:szCs w:val="22"/>
              </w:rPr>
              <w:t xml:space="preserve"> (مدرسة الشك)، فوكو، فرويد</w:t>
            </w:r>
          </w:p>
        </w:tc>
        <w:tc>
          <w:tcPr>
            <w:tcW w:w="2400" w:type="dxa"/>
            <w:shd w:val="clear" w:color="auto" w:fill="FFFFFF"/>
            <w:tcMar>
              <w:top w:w="100" w:type="dxa"/>
              <w:left w:w="100" w:type="dxa"/>
              <w:bottom w:w="100" w:type="dxa"/>
              <w:right w:w="100" w:type="dxa"/>
            </w:tcMar>
          </w:tcPr>
          <w:p w14:paraId="1385403E" w14:textId="77777777" w:rsidR="0017232D" w:rsidRDefault="00F7279A">
            <w:pPr>
              <w:jc w:val="right"/>
              <w:rPr>
                <w:rFonts w:cs="Arial"/>
              </w:rPr>
            </w:pPr>
            <w:r>
              <w:rPr>
                <w:sz w:val="22"/>
                <w:szCs w:val="22"/>
              </w:rPr>
              <w:t>التراث النفسي عند ابن الجوزي وابن القيم</w:t>
            </w:r>
          </w:p>
        </w:tc>
        <w:tc>
          <w:tcPr>
            <w:tcW w:w="2400" w:type="dxa"/>
            <w:shd w:val="clear" w:color="auto" w:fill="FFFFFF"/>
            <w:tcMar>
              <w:top w:w="100" w:type="dxa"/>
              <w:left w:w="100" w:type="dxa"/>
              <w:bottom w:w="100" w:type="dxa"/>
              <w:right w:w="100" w:type="dxa"/>
            </w:tcMar>
          </w:tcPr>
          <w:p w14:paraId="79FE3E39" w14:textId="77777777" w:rsidR="0017232D" w:rsidRDefault="00F7279A">
            <w:pPr>
              <w:jc w:val="right"/>
              <w:rPr>
                <w:rFonts w:cs="Arial"/>
              </w:rPr>
            </w:pPr>
            <w:r>
              <w:rPr>
                <w:sz w:val="22"/>
                <w:szCs w:val="22"/>
              </w:rPr>
              <w:t>توظيف أدوات الشك في خدمة مشروع توحيدي لا نقضه</w:t>
            </w:r>
          </w:p>
        </w:tc>
      </w:tr>
    </w:tbl>
    <w:p w14:paraId="5F0C789F" w14:textId="77777777" w:rsidR="0017232D" w:rsidRDefault="0017232D">
      <w:pPr>
        <w:spacing w:before="300"/>
        <w:rPr>
          <w:rFonts w:cs="Arial"/>
        </w:rPr>
      </w:pPr>
    </w:p>
    <w:p w14:paraId="7C7C4213" w14:textId="77777777" w:rsidR="0017232D" w:rsidRDefault="00F7279A">
      <w:pPr>
        <w:spacing w:after="200" w:line="340" w:lineRule="auto"/>
        <w:jc w:val="both"/>
        <w:rPr>
          <w:rFonts w:cs="Arial"/>
        </w:rPr>
      </w:pPr>
      <w:r>
        <w:t>ويلاحَظ من هذا الجدول أن "الإضافة الاستخلافية النوعية" في كل نظرية من النظريات الست تتمحور حول محور واحد جامع: تخصيص الغائي والمتعالي بالتوحيد الخالص، حيث يميل النظير الغربي غالبًا إلى صيغة عامة أو نسبية أو إجرائية، ويميل الجذر الإسلامي الكلاسيكي إلى صيغة ملتزمة عقديًا لكنها تاريخية السياق، بينما يسعى التركيب الاستخلافي إلى صياغة معاصرة ملتزمة عقديًا في آنٍ واحد. وهذا المحور الجامع هو ما يمنح النظريات الست، رغم تعدد مجالاتها، طابع "</w:t>
      </w:r>
      <w:proofErr w:type="spellStart"/>
      <w:r>
        <w:t>البارادايم</w:t>
      </w:r>
      <w:proofErr w:type="spellEnd"/>
      <w:r>
        <w:t>" الواحد المتماسك.</w:t>
      </w:r>
    </w:p>
    <w:p w14:paraId="45FFDCB2"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خاتمة: الفلسفة — العمود الفقري لعلم النفس الاستخلافي</w:t>
      </w:r>
    </w:p>
    <w:p w14:paraId="03C27401" w14:textId="77777777" w:rsidR="0017232D" w:rsidRDefault="00F7279A">
      <w:pPr>
        <w:spacing w:after="200" w:line="340" w:lineRule="auto"/>
        <w:jc w:val="both"/>
        <w:rPr>
          <w:rFonts w:cs="Arial"/>
        </w:rPr>
      </w:pPr>
      <w:r>
        <w:t>في نهاية هذه الدراسة الموسعة، نخلص إلى أن الفلسفة، في مشروع عبد السلام الزراع، ليست مجرد مقدمة أو إطار نظري خارجي، بل هي في الحقيقة العمود الفقري والجهاز المناعي لعلم النفس الاستخلافي بأكمله. إنها ما يمنحه تماسكه الداخلي، ويوجه أدواته، ويحميه من الذوبان في النماذج الأخرى.</w:t>
      </w:r>
    </w:p>
    <w:p w14:paraId="55E90DF3" w14:textId="77777777" w:rsidR="0017232D" w:rsidRDefault="00F7279A">
      <w:pPr>
        <w:spacing w:after="200" w:line="340" w:lineRule="auto"/>
        <w:jc w:val="both"/>
        <w:rPr>
          <w:rFonts w:cs="Arial"/>
        </w:rPr>
      </w:pPr>
      <w:r>
        <w:t xml:space="preserve">والنظريات الست التي استعرضناها، فلسفة السيادة الأخلاقية، </w:t>
      </w:r>
      <w:proofErr w:type="spellStart"/>
      <w:r>
        <w:t>والإنسانوية</w:t>
      </w:r>
      <w:proofErr w:type="spellEnd"/>
      <w:r>
        <w:t xml:space="preserve"> الروحية، والاندماج الخالق، </w:t>
      </w:r>
      <w:proofErr w:type="spellStart"/>
      <w:r>
        <w:t>والكينتسوغي</w:t>
      </w:r>
      <w:proofErr w:type="spellEnd"/>
      <w:r>
        <w:t xml:space="preserve">، والمرجعية المتعالية، </w:t>
      </w:r>
      <w:proofErr w:type="spellStart"/>
      <w:r>
        <w:t>وأركيولوجيا</w:t>
      </w:r>
      <w:proofErr w:type="spellEnd"/>
      <w:r>
        <w:t xml:space="preserve"> الجرح، تشكل معًا </w:t>
      </w:r>
      <w:proofErr w:type="spellStart"/>
      <w:r>
        <w:t>البارادايم</w:t>
      </w:r>
      <w:proofErr w:type="spellEnd"/>
      <w:r>
        <w:t xml:space="preserve"> الاستخلافي والبديل الحقيقي للنماذج المادية والوضعية التي هيمنت على العلم والفكر لقرون.</w:t>
      </w:r>
    </w:p>
    <w:p w14:paraId="68C8F6F8" w14:textId="77777777" w:rsidR="0017232D" w:rsidRDefault="00F7279A">
      <w:pPr>
        <w:spacing w:after="200" w:line="340" w:lineRule="auto"/>
        <w:jc w:val="both"/>
        <w:rPr>
          <w:rFonts w:cs="Arial"/>
        </w:rPr>
      </w:pPr>
      <w:r>
        <w:t xml:space="preserve">غير أن هذه الدراسة الموسعة أرادت، إلى جانب العرض والتركيب، أن تفتح نافذة على الحوار النقدي الذاتي: فحضور </w:t>
      </w:r>
      <w:proofErr w:type="spellStart"/>
      <w:r>
        <w:t>ماكنتاير</w:t>
      </w:r>
      <w:proofErr w:type="spellEnd"/>
      <w:r>
        <w:t xml:space="preserve"> </w:t>
      </w:r>
      <w:proofErr w:type="spellStart"/>
      <w:r>
        <w:t>وساندل</w:t>
      </w:r>
      <w:proofErr w:type="spellEnd"/>
      <w:r>
        <w:t xml:space="preserve"> </w:t>
      </w:r>
      <w:proofErr w:type="spellStart"/>
      <w:r>
        <w:t>وشيلر</w:t>
      </w:r>
      <w:proofErr w:type="spellEnd"/>
      <w:r>
        <w:t xml:space="preserve"> وبوبر </w:t>
      </w:r>
      <w:proofErr w:type="spellStart"/>
      <w:r>
        <w:t>وغادامير</w:t>
      </w:r>
      <w:proofErr w:type="spellEnd"/>
      <w:r>
        <w:t xml:space="preserve"> وابن خلدون </w:t>
      </w:r>
      <w:proofErr w:type="spellStart"/>
      <w:r>
        <w:t>وتيديشي</w:t>
      </w:r>
      <w:proofErr w:type="spellEnd"/>
      <w:r>
        <w:t xml:space="preserve"> وابن القيم </w:t>
      </w:r>
      <w:proofErr w:type="spellStart"/>
      <w:r>
        <w:t>وأوتو</w:t>
      </w:r>
      <w:proofErr w:type="spellEnd"/>
      <w:r>
        <w:t xml:space="preserve"> والغزالي </w:t>
      </w:r>
      <w:proofErr w:type="spellStart"/>
      <w:r>
        <w:t>وريكور</w:t>
      </w:r>
      <w:proofErr w:type="spellEnd"/>
      <w:r>
        <w:t xml:space="preserve"> جنبًا إلى جنب مع الإشارات النقدية إلى إشكاليات التأويل والانتقاء والاختزال، ليس تناقضًا في المشروع، بل هو بالأحرى تطبيق عملي لمبدأ "الاندماج الخالق" ذاته على المشروع الاستخلافي وهو ينظر إلى نفسه: استيعاب نقدي، وإعادة صهر، وتوجيه نحو مزيد من النضج المنهجي.</w:t>
      </w:r>
    </w:p>
    <w:p w14:paraId="00B7842E" w14:textId="77777777" w:rsidR="0017232D" w:rsidRDefault="00F7279A">
      <w:pPr>
        <w:pBdr>
          <w:top w:val="single" w:sz="16" w:space="8" w:color="B8860B"/>
          <w:left w:val="single" w:sz="16" w:space="8" w:color="B8860B"/>
          <w:bottom w:val="single" w:sz="16" w:space="8" w:color="B8860B"/>
          <w:right w:val="single" w:sz="16" w:space="8" w:color="B8860B"/>
        </w:pBdr>
        <w:shd w:val="clear" w:color="auto" w:fill="F5EBD1"/>
        <w:spacing w:before="300" w:after="300"/>
        <w:jc w:val="center"/>
        <w:rPr>
          <w:rFonts w:cs="Arial"/>
        </w:rPr>
      </w:pPr>
      <w:r>
        <w:rPr>
          <w:b/>
          <w:bCs/>
          <w:color w:val="1B2A4A"/>
          <w:sz w:val="28"/>
          <w:szCs w:val="28"/>
        </w:rPr>
        <w:t>وَمَن يَبْتَغِ غَيْرَ الْإِسْلَامِ دِينًا فَلَن يُقْبَلَ مِنْهُ</w:t>
      </w:r>
      <w:r>
        <w:rPr>
          <w:i/>
          <w:iCs/>
          <w:color w:val="1F6F63"/>
          <w:sz w:val="24"/>
          <w:szCs w:val="24"/>
        </w:rPr>
        <w:br/>
        <w:t xml:space="preserve">  [آل عمران: 85]</w:t>
      </w:r>
    </w:p>
    <w:p w14:paraId="1B568466" w14:textId="77777777" w:rsidR="0017232D" w:rsidRDefault="00F7279A">
      <w:pPr>
        <w:rPr>
          <w:rFonts w:cs="Arial"/>
        </w:rPr>
      </w:pPr>
      <w:r>
        <w:br w:type="page"/>
      </w:r>
    </w:p>
    <w:p w14:paraId="6121EC8F" w14:textId="77777777" w:rsidR="0017232D" w:rsidRDefault="00F7279A">
      <w:pPr>
        <w:pStyle w:val="1"/>
        <w:pBdr>
          <w:bottom w:val="single" w:sz="12" w:space="6" w:color="B8860B"/>
        </w:pBdr>
        <w:bidi/>
        <w:spacing w:before="480" w:after="240"/>
        <w:jc w:val="right"/>
        <w:rPr>
          <w:rFonts w:cs="Arial"/>
        </w:rPr>
      </w:pPr>
      <w:r>
        <w:rPr>
          <w:b/>
          <w:bCs/>
          <w:color w:val="1B2A4A"/>
          <w:sz w:val="36"/>
          <w:szCs w:val="36"/>
        </w:rPr>
        <w:t>المراجع والمصادر</w:t>
      </w:r>
    </w:p>
    <w:p w14:paraId="6D7D156E" w14:textId="77777777" w:rsidR="0017232D" w:rsidRDefault="00F7279A">
      <w:pPr>
        <w:pStyle w:val="2"/>
        <w:bidi/>
        <w:spacing w:before="360" w:after="200"/>
        <w:jc w:val="right"/>
        <w:rPr>
          <w:rFonts w:cs="Arial"/>
        </w:rPr>
      </w:pPr>
      <w:r>
        <w:rPr>
          <w:b/>
          <w:bCs/>
          <w:color w:val="1F6F63"/>
          <w:sz w:val="30"/>
          <w:szCs w:val="30"/>
        </w:rPr>
        <w:t>أولاً: المصادر الأساسية (النموذج الاستخلافي)</w:t>
      </w:r>
    </w:p>
    <w:p w14:paraId="72AC1FA2" w14:textId="77777777" w:rsidR="0017232D" w:rsidRDefault="00F7279A">
      <w:pPr>
        <w:spacing w:after="140"/>
        <w:ind w:left="400" w:hanging="400"/>
        <w:jc w:val="right"/>
        <w:rPr>
          <w:rFonts w:cs="Arial"/>
        </w:rPr>
      </w:pPr>
      <w:r>
        <w:rPr>
          <w:sz w:val="24"/>
          <w:szCs w:val="24"/>
        </w:rPr>
        <w:t>1. الزراع، عبد السلام. (2026). العلاج بحرث المصالحة التحويلية (TLRT): الدليل النظري والإكلينيكي. (الطبعة التجريبية الأولى).</w:t>
      </w:r>
    </w:p>
    <w:p w14:paraId="504681A9" w14:textId="77777777" w:rsidR="0017232D" w:rsidRDefault="00F7279A">
      <w:pPr>
        <w:spacing w:after="140"/>
        <w:ind w:left="400" w:hanging="400"/>
        <w:jc w:val="right"/>
        <w:rPr>
          <w:rFonts w:cs="Arial"/>
        </w:rPr>
      </w:pPr>
      <w:r>
        <w:rPr>
          <w:sz w:val="24"/>
          <w:szCs w:val="24"/>
        </w:rPr>
        <w:t>2. الزراع، عبد السلام. (2026). الفصام الأخلاقي ومصدر الأزمات النفسية: قراءة في ضوء نظرية TLRT.</w:t>
      </w:r>
    </w:p>
    <w:p w14:paraId="3BE91B51" w14:textId="77777777" w:rsidR="0017232D" w:rsidRDefault="00F7279A">
      <w:pPr>
        <w:spacing w:after="140"/>
        <w:ind w:left="400" w:hanging="400"/>
        <w:jc w:val="right"/>
        <w:rPr>
          <w:rFonts w:cs="Arial"/>
        </w:rPr>
      </w:pPr>
      <w:r>
        <w:rPr>
          <w:sz w:val="24"/>
          <w:szCs w:val="24"/>
        </w:rPr>
        <w:t xml:space="preserve">3. الزراع، عبد السلام. (2026). </w:t>
      </w:r>
      <w:proofErr w:type="spellStart"/>
      <w:r>
        <w:rPr>
          <w:sz w:val="24"/>
          <w:szCs w:val="24"/>
        </w:rPr>
        <w:t>التمثلات</w:t>
      </w:r>
      <w:proofErr w:type="spellEnd"/>
      <w:r>
        <w:rPr>
          <w:sz w:val="24"/>
          <w:szCs w:val="24"/>
        </w:rPr>
        <w:t xml:space="preserve"> الداخلية للإله: من نظرية </w:t>
      </w:r>
      <w:proofErr w:type="spellStart"/>
      <w:r>
        <w:rPr>
          <w:sz w:val="24"/>
          <w:szCs w:val="24"/>
        </w:rPr>
        <w:t>ريزوتو</w:t>
      </w:r>
      <w:proofErr w:type="spellEnd"/>
      <w:r>
        <w:rPr>
          <w:sz w:val="24"/>
          <w:szCs w:val="24"/>
        </w:rPr>
        <w:t xml:space="preserve"> إلى إعادة بناء صورة الله في TLRT.</w:t>
      </w:r>
    </w:p>
    <w:p w14:paraId="78C9D3FB" w14:textId="77777777" w:rsidR="0017232D" w:rsidRDefault="00F7279A">
      <w:pPr>
        <w:spacing w:after="140"/>
        <w:ind w:left="400" w:hanging="400"/>
        <w:jc w:val="right"/>
        <w:rPr>
          <w:rFonts w:cs="Arial"/>
        </w:rPr>
      </w:pPr>
      <w:r>
        <w:rPr>
          <w:sz w:val="24"/>
          <w:szCs w:val="24"/>
        </w:rPr>
        <w:t>4. الزراع، عبد السلام. (2026). أركيولوجيا الجرح الخطابي: فتحي بن سلامة والبنية الثقافية العربية. تونس: قصور الساف.</w:t>
      </w:r>
    </w:p>
    <w:p w14:paraId="71D6310D" w14:textId="77777777" w:rsidR="0017232D" w:rsidRDefault="00F7279A">
      <w:pPr>
        <w:spacing w:after="140"/>
        <w:ind w:left="400" w:hanging="400"/>
        <w:jc w:val="right"/>
        <w:rPr>
          <w:rFonts w:cs="Arial"/>
        </w:rPr>
      </w:pPr>
      <w:r>
        <w:rPr>
          <w:sz w:val="24"/>
          <w:szCs w:val="24"/>
        </w:rPr>
        <w:t>5. الزراع، عبد السلام. (2026). من "الفاقة الأصلية" إلى "سكينة المحبة": نحو نظرية استخلافية للحب.</w:t>
      </w:r>
    </w:p>
    <w:p w14:paraId="4124BD14" w14:textId="77777777" w:rsidR="0017232D" w:rsidRDefault="00F7279A">
      <w:pPr>
        <w:spacing w:after="140"/>
        <w:ind w:left="400" w:hanging="400"/>
        <w:jc w:val="right"/>
        <w:rPr>
          <w:rFonts w:cs="Arial"/>
        </w:rPr>
      </w:pPr>
      <w:r>
        <w:rPr>
          <w:sz w:val="24"/>
          <w:szCs w:val="24"/>
        </w:rPr>
        <w:t>6. الزراع، عبد السلام. (2026). من "النفخة الإلهية" إلى "الشوق الوجودي": نحو نظرية استخلافية للروح.</w:t>
      </w:r>
    </w:p>
    <w:p w14:paraId="39767DC2" w14:textId="77777777" w:rsidR="0017232D" w:rsidRDefault="00F7279A">
      <w:pPr>
        <w:pStyle w:val="2"/>
        <w:bidi/>
        <w:spacing w:before="360" w:after="200"/>
        <w:jc w:val="right"/>
        <w:rPr>
          <w:rFonts w:cs="Arial"/>
        </w:rPr>
      </w:pPr>
      <w:r>
        <w:rPr>
          <w:b/>
          <w:bCs/>
          <w:color w:val="1F6F63"/>
          <w:sz w:val="30"/>
          <w:szCs w:val="30"/>
        </w:rPr>
        <w:t>ثانياً: مراجع في الفلسفة الغربية والحداثة</w:t>
      </w:r>
    </w:p>
    <w:p w14:paraId="11C35EFC" w14:textId="77777777" w:rsidR="0017232D" w:rsidRDefault="00F7279A">
      <w:pPr>
        <w:spacing w:after="140"/>
        <w:ind w:left="400" w:hanging="400"/>
        <w:jc w:val="right"/>
        <w:rPr>
          <w:rFonts w:cs="Arial"/>
        </w:rPr>
      </w:pPr>
      <w:r>
        <w:rPr>
          <w:sz w:val="24"/>
          <w:szCs w:val="24"/>
        </w:rPr>
        <w:t xml:space="preserve">7. </w:t>
      </w:r>
      <w:proofErr w:type="spellStart"/>
      <w:r>
        <w:rPr>
          <w:sz w:val="24"/>
          <w:szCs w:val="24"/>
        </w:rPr>
        <w:t>Descartes</w:t>
      </w:r>
      <w:proofErr w:type="spellEnd"/>
      <w:r>
        <w:rPr>
          <w:sz w:val="24"/>
          <w:szCs w:val="24"/>
        </w:rPr>
        <w:t xml:space="preserve">, R. (1641). </w:t>
      </w:r>
      <w:proofErr w:type="spellStart"/>
      <w:r>
        <w:rPr>
          <w:sz w:val="24"/>
          <w:szCs w:val="24"/>
        </w:rPr>
        <w:t>Meditations</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First</w:t>
      </w:r>
      <w:proofErr w:type="spellEnd"/>
      <w:r>
        <w:rPr>
          <w:sz w:val="24"/>
          <w:szCs w:val="24"/>
        </w:rPr>
        <w:t xml:space="preserve"> </w:t>
      </w:r>
      <w:proofErr w:type="spellStart"/>
      <w:r>
        <w:rPr>
          <w:sz w:val="24"/>
          <w:szCs w:val="24"/>
        </w:rPr>
        <w:t>Philosophy</w:t>
      </w:r>
      <w:proofErr w:type="spellEnd"/>
      <w:r>
        <w:rPr>
          <w:sz w:val="24"/>
          <w:szCs w:val="24"/>
        </w:rPr>
        <w:t xml:space="preserve">. (J. </w:t>
      </w:r>
      <w:proofErr w:type="spellStart"/>
      <w:r>
        <w:rPr>
          <w:sz w:val="24"/>
          <w:szCs w:val="24"/>
        </w:rPr>
        <w:t>Cottingham</w:t>
      </w:r>
      <w:proofErr w:type="spellEnd"/>
      <w:r>
        <w:rPr>
          <w:sz w:val="24"/>
          <w:szCs w:val="24"/>
        </w:rPr>
        <w:t xml:space="preserve">, </w:t>
      </w:r>
      <w:proofErr w:type="spellStart"/>
      <w:r>
        <w:rPr>
          <w:sz w:val="24"/>
          <w:szCs w:val="24"/>
        </w:rPr>
        <w:t>Trans</w:t>
      </w:r>
      <w:proofErr w:type="spellEnd"/>
      <w:r>
        <w:rPr>
          <w:sz w:val="24"/>
          <w:szCs w:val="24"/>
        </w:rPr>
        <w:t xml:space="preserve">.). </w:t>
      </w:r>
      <w:proofErr w:type="spellStart"/>
      <w:r>
        <w:rPr>
          <w:sz w:val="24"/>
          <w:szCs w:val="24"/>
        </w:rPr>
        <w:t>Cambridge</w:t>
      </w:r>
      <w:proofErr w:type="spellEnd"/>
      <w:r>
        <w:rPr>
          <w:sz w:val="24"/>
          <w:szCs w:val="24"/>
        </w:rPr>
        <w:t xml:space="preserve">: </w:t>
      </w:r>
      <w:proofErr w:type="spellStart"/>
      <w:r>
        <w:rPr>
          <w:sz w:val="24"/>
          <w:szCs w:val="24"/>
        </w:rPr>
        <w:t>Cambridge</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Press</w:t>
      </w:r>
      <w:proofErr w:type="spellEnd"/>
      <w:r>
        <w:rPr>
          <w:sz w:val="24"/>
          <w:szCs w:val="24"/>
        </w:rPr>
        <w:t>.</w:t>
      </w:r>
    </w:p>
    <w:p w14:paraId="0F1FA56B" w14:textId="77777777" w:rsidR="0017232D" w:rsidRDefault="00F7279A">
      <w:pPr>
        <w:spacing w:after="140"/>
        <w:ind w:left="400" w:hanging="400"/>
        <w:jc w:val="right"/>
        <w:rPr>
          <w:rFonts w:cs="Arial"/>
        </w:rPr>
      </w:pPr>
      <w:r>
        <w:rPr>
          <w:sz w:val="24"/>
          <w:szCs w:val="24"/>
        </w:rPr>
        <w:t xml:space="preserve">8. </w:t>
      </w:r>
      <w:proofErr w:type="spellStart"/>
      <w:r>
        <w:rPr>
          <w:sz w:val="24"/>
          <w:szCs w:val="24"/>
        </w:rPr>
        <w:t>Kant</w:t>
      </w:r>
      <w:proofErr w:type="spellEnd"/>
      <w:r>
        <w:rPr>
          <w:sz w:val="24"/>
          <w:szCs w:val="24"/>
        </w:rPr>
        <w:t xml:space="preserve">, I. (1788). </w:t>
      </w:r>
      <w:proofErr w:type="spellStart"/>
      <w:r>
        <w:rPr>
          <w:sz w:val="24"/>
          <w:szCs w:val="24"/>
        </w:rPr>
        <w:t>Critique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Practical</w:t>
      </w:r>
      <w:proofErr w:type="spellEnd"/>
      <w:r>
        <w:rPr>
          <w:sz w:val="24"/>
          <w:szCs w:val="24"/>
        </w:rPr>
        <w:t xml:space="preserve"> </w:t>
      </w:r>
      <w:proofErr w:type="spellStart"/>
      <w:r>
        <w:rPr>
          <w:sz w:val="24"/>
          <w:szCs w:val="24"/>
        </w:rPr>
        <w:t>Reason</w:t>
      </w:r>
      <w:proofErr w:type="spellEnd"/>
      <w:r>
        <w:rPr>
          <w:sz w:val="24"/>
          <w:szCs w:val="24"/>
        </w:rPr>
        <w:t xml:space="preserve">. (M. </w:t>
      </w:r>
      <w:proofErr w:type="spellStart"/>
      <w:r>
        <w:rPr>
          <w:sz w:val="24"/>
          <w:szCs w:val="24"/>
        </w:rPr>
        <w:t>Gregor</w:t>
      </w:r>
      <w:proofErr w:type="spellEnd"/>
      <w:r>
        <w:rPr>
          <w:sz w:val="24"/>
          <w:szCs w:val="24"/>
        </w:rPr>
        <w:t xml:space="preserve">, </w:t>
      </w:r>
      <w:proofErr w:type="spellStart"/>
      <w:r>
        <w:rPr>
          <w:sz w:val="24"/>
          <w:szCs w:val="24"/>
        </w:rPr>
        <w:t>Trans</w:t>
      </w:r>
      <w:proofErr w:type="spellEnd"/>
      <w:r>
        <w:rPr>
          <w:sz w:val="24"/>
          <w:szCs w:val="24"/>
        </w:rPr>
        <w:t xml:space="preserve">.). </w:t>
      </w:r>
      <w:proofErr w:type="spellStart"/>
      <w:r>
        <w:rPr>
          <w:sz w:val="24"/>
          <w:szCs w:val="24"/>
        </w:rPr>
        <w:t>Cambridge</w:t>
      </w:r>
      <w:proofErr w:type="spellEnd"/>
      <w:r>
        <w:rPr>
          <w:sz w:val="24"/>
          <w:szCs w:val="24"/>
        </w:rPr>
        <w:t xml:space="preserve">: </w:t>
      </w:r>
      <w:proofErr w:type="spellStart"/>
      <w:r>
        <w:rPr>
          <w:sz w:val="24"/>
          <w:szCs w:val="24"/>
        </w:rPr>
        <w:t>Cambridge</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Press</w:t>
      </w:r>
      <w:proofErr w:type="spellEnd"/>
      <w:r>
        <w:rPr>
          <w:sz w:val="24"/>
          <w:szCs w:val="24"/>
        </w:rPr>
        <w:t>.</w:t>
      </w:r>
    </w:p>
    <w:p w14:paraId="4C19B25E" w14:textId="77777777" w:rsidR="0017232D" w:rsidRDefault="00F7279A">
      <w:pPr>
        <w:spacing w:after="140"/>
        <w:ind w:left="400" w:hanging="400"/>
        <w:jc w:val="right"/>
        <w:rPr>
          <w:rFonts w:cs="Arial"/>
        </w:rPr>
      </w:pPr>
      <w:r>
        <w:rPr>
          <w:sz w:val="24"/>
          <w:szCs w:val="24"/>
        </w:rPr>
        <w:t xml:space="preserve">9. </w:t>
      </w:r>
      <w:proofErr w:type="spellStart"/>
      <w:r>
        <w:rPr>
          <w:sz w:val="24"/>
          <w:szCs w:val="24"/>
        </w:rPr>
        <w:t>Nietzsche</w:t>
      </w:r>
      <w:proofErr w:type="spellEnd"/>
      <w:r>
        <w:rPr>
          <w:sz w:val="24"/>
          <w:szCs w:val="24"/>
        </w:rPr>
        <w:t xml:space="preserve">, F. (1882). </w:t>
      </w:r>
      <w:proofErr w:type="spellStart"/>
      <w:r>
        <w:rPr>
          <w:sz w:val="24"/>
          <w:szCs w:val="24"/>
        </w:rPr>
        <w:t>Le</w:t>
      </w:r>
      <w:proofErr w:type="spellEnd"/>
      <w:r>
        <w:rPr>
          <w:sz w:val="24"/>
          <w:szCs w:val="24"/>
        </w:rPr>
        <w:t xml:space="preserve"> </w:t>
      </w:r>
      <w:proofErr w:type="spellStart"/>
      <w:r>
        <w:rPr>
          <w:sz w:val="24"/>
          <w:szCs w:val="24"/>
        </w:rPr>
        <w:t>Gai</w:t>
      </w:r>
      <w:proofErr w:type="spellEnd"/>
      <w:r>
        <w:rPr>
          <w:sz w:val="24"/>
          <w:szCs w:val="24"/>
        </w:rPr>
        <w:t xml:space="preserve"> </w:t>
      </w:r>
      <w:proofErr w:type="spellStart"/>
      <w:r>
        <w:rPr>
          <w:sz w:val="24"/>
          <w:szCs w:val="24"/>
        </w:rPr>
        <w:t>Savoir</w:t>
      </w:r>
      <w:proofErr w:type="spellEnd"/>
      <w:r>
        <w:rPr>
          <w:sz w:val="24"/>
          <w:szCs w:val="24"/>
        </w:rPr>
        <w:t xml:space="preserve">. </w:t>
      </w:r>
      <w:proofErr w:type="spellStart"/>
      <w:r>
        <w:rPr>
          <w:sz w:val="24"/>
          <w:szCs w:val="24"/>
        </w:rPr>
        <w:t>Paris</w:t>
      </w:r>
      <w:proofErr w:type="spellEnd"/>
      <w:r>
        <w:rPr>
          <w:sz w:val="24"/>
          <w:szCs w:val="24"/>
        </w:rPr>
        <w:t xml:space="preserve">: </w:t>
      </w:r>
      <w:proofErr w:type="spellStart"/>
      <w:r>
        <w:rPr>
          <w:sz w:val="24"/>
          <w:szCs w:val="24"/>
        </w:rPr>
        <w:t>Gallimard</w:t>
      </w:r>
      <w:proofErr w:type="spellEnd"/>
      <w:r>
        <w:rPr>
          <w:sz w:val="24"/>
          <w:szCs w:val="24"/>
        </w:rPr>
        <w:t>.</w:t>
      </w:r>
    </w:p>
    <w:p w14:paraId="10DC9858" w14:textId="77777777" w:rsidR="0017232D" w:rsidRDefault="00F7279A">
      <w:pPr>
        <w:spacing w:after="140"/>
        <w:ind w:left="400" w:hanging="400"/>
        <w:jc w:val="right"/>
        <w:rPr>
          <w:rFonts w:cs="Arial"/>
        </w:rPr>
      </w:pPr>
      <w:r>
        <w:rPr>
          <w:sz w:val="24"/>
          <w:szCs w:val="24"/>
        </w:rPr>
        <w:t xml:space="preserve">10. </w:t>
      </w:r>
      <w:proofErr w:type="spellStart"/>
      <w:r>
        <w:rPr>
          <w:sz w:val="24"/>
          <w:szCs w:val="24"/>
        </w:rPr>
        <w:t>Sartre</w:t>
      </w:r>
      <w:proofErr w:type="spellEnd"/>
      <w:r>
        <w:rPr>
          <w:sz w:val="24"/>
          <w:szCs w:val="24"/>
        </w:rPr>
        <w:t xml:space="preserve">, J.-P. (1943). </w:t>
      </w:r>
      <w:proofErr w:type="spellStart"/>
      <w:r>
        <w:rPr>
          <w:sz w:val="24"/>
          <w:szCs w:val="24"/>
        </w:rPr>
        <w:t>L'être</w:t>
      </w:r>
      <w:proofErr w:type="spellEnd"/>
      <w:r>
        <w:rPr>
          <w:sz w:val="24"/>
          <w:szCs w:val="24"/>
        </w:rPr>
        <w:t xml:space="preserve"> </w:t>
      </w:r>
      <w:proofErr w:type="spellStart"/>
      <w:r>
        <w:rPr>
          <w:sz w:val="24"/>
          <w:szCs w:val="24"/>
        </w:rPr>
        <w:t>et</w:t>
      </w:r>
      <w:proofErr w:type="spellEnd"/>
      <w:r>
        <w:rPr>
          <w:sz w:val="24"/>
          <w:szCs w:val="24"/>
        </w:rPr>
        <w:t xml:space="preserve"> </w:t>
      </w:r>
      <w:proofErr w:type="spellStart"/>
      <w:r>
        <w:rPr>
          <w:sz w:val="24"/>
          <w:szCs w:val="24"/>
        </w:rPr>
        <w:t>le</w:t>
      </w:r>
      <w:proofErr w:type="spellEnd"/>
      <w:r>
        <w:rPr>
          <w:sz w:val="24"/>
          <w:szCs w:val="24"/>
        </w:rPr>
        <w:t xml:space="preserve"> </w:t>
      </w:r>
      <w:proofErr w:type="spellStart"/>
      <w:r>
        <w:rPr>
          <w:sz w:val="24"/>
          <w:szCs w:val="24"/>
        </w:rPr>
        <w:t>néant</w:t>
      </w:r>
      <w:proofErr w:type="spellEnd"/>
      <w:r>
        <w:rPr>
          <w:sz w:val="24"/>
          <w:szCs w:val="24"/>
        </w:rPr>
        <w:t xml:space="preserve">. </w:t>
      </w:r>
      <w:proofErr w:type="spellStart"/>
      <w:r>
        <w:rPr>
          <w:sz w:val="24"/>
          <w:szCs w:val="24"/>
        </w:rPr>
        <w:t>Paris</w:t>
      </w:r>
      <w:proofErr w:type="spellEnd"/>
      <w:r>
        <w:rPr>
          <w:sz w:val="24"/>
          <w:szCs w:val="24"/>
        </w:rPr>
        <w:t xml:space="preserve">: </w:t>
      </w:r>
      <w:proofErr w:type="spellStart"/>
      <w:r>
        <w:rPr>
          <w:sz w:val="24"/>
          <w:szCs w:val="24"/>
        </w:rPr>
        <w:t>Gallimard</w:t>
      </w:r>
      <w:proofErr w:type="spellEnd"/>
      <w:r>
        <w:rPr>
          <w:sz w:val="24"/>
          <w:szCs w:val="24"/>
        </w:rPr>
        <w:t>.</w:t>
      </w:r>
    </w:p>
    <w:p w14:paraId="79CD136D" w14:textId="77777777" w:rsidR="0017232D" w:rsidRDefault="00F7279A">
      <w:pPr>
        <w:spacing w:after="140"/>
        <w:ind w:left="400" w:hanging="400"/>
        <w:jc w:val="right"/>
        <w:rPr>
          <w:rFonts w:cs="Arial"/>
        </w:rPr>
      </w:pPr>
      <w:r>
        <w:rPr>
          <w:sz w:val="24"/>
          <w:szCs w:val="24"/>
        </w:rPr>
        <w:t xml:space="preserve">11. </w:t>
      </w:r>
      <w:proofErr w:type="spellStart"/>
      <w:r>
        <w:rPr>
          <w:sz w:val="24"/>
          <w:szCs w:val="24"/>
        </w:rPr>
        <w:t>Heidegger</w:t>
      </w:r>
      <w:proofErr w:type="spellEnd"/>
      <w:r>
        <w:rPr>
          <w:sz w:val="24"/>
          <w:szCs w:val="24"/>
        </w:rPr>
        <w:t xml:space="preserve">, M. (1927). </w:t>
      </w:r>
      <w:proofErr w:type="spellStart"/>
      <w:r>
        <w:rPr>
          <w:sz w:val="24"/>
          <w:szCs w:val="24"/>
        </w:rPr>
        <w:t>Being</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Time</w:t>
      </w:r>
      <w:proofErr w:type="spellEnd"/>
      <w:r>
        <w:rPr>
          <w:sz w:val="24"/>
          <w:szCs w:val="24"/>
        </w:rPr>
        <w:t xml:space="preserve">. (J. </w:t>
      </w:r>
      <w:proofErr w:type="spellStart"/>
      <w:r>
        <w:rPr>
          <w:sz w:val="24"/>
          <w:szCs w:val="24"/>
        </w:rPr>
        <w:t>Macquarrie</w:t>
      </w:r>
      <w:proofErr w:type="spellEnd"/>
      <w:r>
        <w:rPr>
          <w:sz w:val="24"/>
          <w:szCs w:val="24"/>
        </w:rPr>
        <w:t xml:space="preserve"> &amp; E. </w:t>
      </w:r>
      <w:proofErr w:type="spellStart"/>
      <w:r>
        <w:rPr>
          <w:sz w:val="24"/>
          <w:szCs w:val="24"/>
        </w:rPr>
        <w:t>Robinson</w:t>
      </w:r>
      <w:proofErr w:type="spellEnd"/>
      <w:r>
        <w:rPr>
          <w:sz w:val="24"/>
          <w:szCs w:val="24"/>
        </w:rPr>
        <w:t xml:space="preserve">, </w:t>
      </w:r>
      <w:proofErr w:type="spellStart"/>
      <w:r>
        <w:rPr>
          <w:sz w:val="24"/>
          <w:szCs w:val="24"/>
        </w:rPr>
        <w:t>Trans</w:t>
      </w:r>
      <w:proofErr w:type="spellEnd"/>
      <w:r>
        <w:rPr>
          <w:sz w:val="24"/>
          <w:szCs w:val="24"/>
        </w:rPr>
        <w:t xml:space="preserve">.). </w:t>
      </w:r>
      <w:proofErr w:type="spellStart"/>
      <w:r>
        <w:rPr>
          <w:sz w:val="24"/>
          <w:szCs w:val="24"/>
        </w:rPr>
        <w:t>New</w:t>
      </w:r>
      <w:proofErr w:type="spellEnd"/>
      <w:r>
        <w:rPr>
          <w:sz w:val="24"/>
          <w:szCs w:val="24"/>
        </w:rPr>
        <w:t xml:space="preserve"> </w:t>
      </w:r>
      <w:proofErr w:type="spellStart"/>
      <w:r>
        <w:rPr>
          <w:sz w:val="24"/>
          <w:szCs w:val="24"/>
        </w:rPr>
        <w:t>York</w:t>
      </w:r>
      <w:proofErr w:type="spellEnd"/>
      <w:r>
        <w:rPr>
          <w:sz w:val="24"/>
          <w:szCs w:val="24"/>
        </w:rPr>
        <w:t xml:space="preserve">: </w:t>
      </w:r>
      <w:proofErr w:type="spellStart"/>
      <w:r>
        <w:rPr>
          <w:sz w:val="24"/>
          <w:szCs w:val="24"/>
        </w:rPr>
        <w:t>Harper</w:t>
      </w:r>
      <w:proofErr w:type="spellEnd"/>
      <w:r>
        <w:rPr>
          <w:sz w:val="24"/>
          <w:szCs w:val="24"/>
        </w:rPr>
        <w:t xml:space="preserve"> &amp; </w:t>
      </w:r>
      <w:proofErr w:type="spellStart"/>
      <w:r>
        <w:rPr>
          <w:sz w:val="24"/>
          <w:szCs w:val="24"/>
        </w:rPr>
        <w:t>Row</w:t>
      </w:r>
      <w:proofErr w:type="spellEnd"/>
      <w:r>
        <w:rPr>
          <w:sz w:val="24"/>
          <w:szCs w:val="24"/>
        </w:rPr>
        <w:t>.</w:t>
      </w:r>
    </w:p>
    <w:p w14:paraId="4B6F23EC" w14:textId="77777777" w:rsidR="0017232D" w:rsidRDefault="00F7279A">
      <w:pPr>
        <w:spacing w:after="140"/>
        <w:ind w:left="400" w:hanging="400"/>
        <w:jc w:val="right"/>
        <w:rPr>
          <w:rFonts w:cs="Arial"/>
        </w:rPr>
      </w:pPr>
      <w:r>
        <w:rPr>
          <w:sz w:val="24"/>
          <w:szCs w:val="24"/>
        </w:rPr>
        <w:t xml:space="preserve">12. </w:t>
      </w:r>
      <w:proofErr w:type="spellStart"/>
      <w:r>
        <w:rPr>
          <w:sz w:val="24"/>
          <w:szCs w:val="24"/>
        </w:rPr>
        <w:t>MacIntyre</w:t>
      </w:r>
      <w:proofErr w:type="spellEnd"/>
      <w:r>
        <w:rPr>
          <w:sz w:val="24"/>
          <w:szCs w:val="24"/>
        </w:rPr>
        <w:t xml:space="preserve">, A. (1981). </w:t>
      </w:r>
      <w:proofErr w:type="spellStart"/>
      <w:r>
        <w:rPr>
          <w:sz w:val="24"/>
          <w:szCs w:val="24"/>
        </w:rPr>
        <w:t>After</w:t>
      </w:r>
      <w:proofErr w:type="spellEnd"/>
      <w:r>
        <w:rPr>
          <w:sz w:val="24"/>
          <w:szCs w:val="24"/>
        </w:rPr>
        <w:t xml:space="preserve"> </w:t>
      </w:r>
      <w:proofErr w:type="spellStart"/>
      <w:r>
        <w:rPr>
          <w:sz w:val="24"/>
          <w:szCs w:val="24"/>
        </w:rPr>
        <w:t>Virtue</w:t>
      </w:r>
      <w:proofErr w:type="spellEnd"/>
      <w:r>
        <w:rPr>
          <w:sz w:val="24"/>
          <w:szCs w:val="24"/>
        </w:rPr>
        <w:t xml:space="preserve">: A </w:t>
      </w:r>
      <w:proofErr w:type="spellStart"/>
      <w:r>
        <w:rPr>
          <w:sz w:val="24"/>
          <w:szCs w:val="24"/>
        </w:rPr>
        <w:t>Study</w:t>
      </w:r>
      <w:proofErr w:type="spellEnd"/>
      <w:r>
        <w:rPr>
          <w:sz w:val="24"/>
          <w:szCs w:val="24"/>
        </w:rPr>
        <w:t xml:space="preserve"> </w:t>
      </w:r>
      <w:proofErr w:type="spellStart"/>
      <w:r>
        <w:rPr>
          <w:sz w:val="24"/>
          <w:szCs w:val="24"/>
        </w:rPr>
        <w:t>in</w:t>
      </w:r>
      <w:proofErr w:type="spellEnd"/>
      <w:r>
        <w:rPr>
          <w:sz w:val="24"/>
          <w:szCs w:val="24"/>
        </w:rPr>
        <w:t xml:space="preserve"> </w:t>
      </w:r>
      <w:proofErr w:type="spellStart"/>
      <w:r>
        <w:rPr>
          <w:sz w:val="24"/>
          <w:szCs w:val="24"/>
        </w:rPr>
        <w:t>Moral</w:t>
      </w:r>
      <w:proofErr w:type="spellEnd"/>
      <w:r>
        <w:rPr>
          <w:sz w:val="24"/>
          <w:szCs w:val="24"/>
        </w:rPr>
        <w:t xml:space="preserve"> </w:t>
      </w:r>
      <w:proofErr w:type="spellStart"/>
      <w:r>
        <w:rPr>
          <w:sz w:val="24"/>
          <w:szCs w:val="24"/>
        </w:rPr>
        <w:t>Theory</w:t>
      </w:r>
      <w:proofErr w:type="spellEnd"/>
      <w:r>
        <w:rPr>
          <w:sz w:val="24"/>
          <w:szCs w:val="24"/>
        </w:rPr>
        <w:t xml:space="preserve">. </w:t>
      </w:r>
      <w:proofErr w:type="spellStart"/>
      <w:r>
        <w:rPr>
          <w:sz w:val="24"/>
          <w:szCs w:val="24"/>
        </w:rPr>
        <w:t>Notre</w:t>
      </w:r>
      <w:proofErr w:type="spellEnd"/>
      <w:r>
        <w:rPr>
          <w:sz w:val="24"/>
          <w:szCs w:val="24"/>
        </w:rPr>
        <w:t xml:space="preserve"> </w:t>
      </w:r>
      <w:proofErr w:type="spellStart"/>
      <w:r>
        <w:rPr>
          <w:sz w:val="24"/>
          <w:szCs w:val="24"/>
        </w:rPr>
        <w:t>Dame</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Notre</w:t>
      </w:r>
      <w:proofErr w:type="spellEnd"/>
      <w:r>
        <w:rPr>
          <w:sz w:val="24"/>
          <w:szCs w:val="24"/>
        </w:rPr>
        <w:t xml:space="preserve"> </w:t>
      </w:r>
      <w:proofErr w:type="spellStart"/>
      <w:r>
        <w:rPr>
          <w:sz w:val="24"/>
          <w:szCs w:val="24"/>
        </w:rPr>
        <w:t>Dame</w:t>
      </w:r>
      <w:proofErr w:type="spellEnd"/>
      <w:r>
        <w:rPr>
          <w:sz w:val="24"/>
          <w:szCs w:val="24"/>
        </w:rPr>
        <w:t xml:space="preserve"> </w:t>
      </w:r>
      <w:proofErr w:type="spellStart"/>
      <w:r>
        <w:rPr>
          <w:sz w:val="24"/>
          <w:szCs w:val="24"/>
        </w:rPr>
        <w:t>Press</w:t>
      </w:r>
      <w:proofErr w:type="spellEnd"/>
      <w:r>
        <w:rPr>
          <w:sz w:val="24"/>
          <w:szCs w:val="24"/>
        </w:rPr>
        <w:t>.</w:t>
      </w:r>
    </w:p>
    <w:p w14:paraId="01C20129" w14:textId="77777777" w:rsidR="0017232D" w:rsidRDefault="00F7279A">
      <w:pPr>
        <w:spacing w:after="140"/>
        <w:ind w:left="400" w:hanging="400"/>
        <w:jc w:val="right"/>
        <w:rPr>
          <w:rFonts w:cs="Arial"/>
        </w:rPr>
      </w:pPr>
      <w:r>
        <w:rPr>
          <w:sz w:val="24"/>
          <w:szCs w:val="24"/>
        </w:rPr>
        <w:t xml:space="preserve">13. </w:t>
      </w:r>
      <w:proofErr w:type="spellStart"/>
      <w:r>
        <w:rPr>
          <w:sz w:val="24"/>
          <w:szCs w:val="24"/>
        </w:rPr>
        <w:t>Sandel</w:t>
      </w:r>
      <w:proofErr w:type="spellEnd"/>
      <w:r>
        <w:rPr>
          <w:sz w:val="24"/>
          <w:szCs w:val="24"/>
        </w:rPr>
        <w:t xml:space="preserve">, M. (1982). </w:t>
      </w:r>
      <w:proofErr w:type="spellStart"/>
      <w:r>
        <w:rPr>
          <w:sz w:val="24"/>
          <w:szCs w:val="24"/>
        </w:rPr>
        <w:t>Liberalism</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Limits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Justice</w:t>
      </w:r>
      <w:proofErr w:type="spellEnd"/>
      <w:r>
        <w:rPr>
          <w:sz w:val="24"/>
          <w:szCs w:val="24"/>
        </w:rPr>
        <w:t xml:space="preserve">. </w:t>
      </w:r>
      <w:proofErr w:type="spellStart"/>
      <w:r>
        <w:rPr>
          <w:sz w:val="24"/>
          <w:szCs w:val="24"/>
        </w:rPr>
        <w:t>Cambridge</w:t>
      </w:r>
      <w:proofErr w:type="spellEnd"/>
      <w:r>
        <w:rPr>
          <w:sz w:val="24"/>
          <w:szCs w:val="24"/>
        </w:rPr>
        <w:t xml:space="preserve">: </w:t>
      </w:r>
      <w:proofErr w:type="spellStart"/>
      <w:r>
        <w:rPr>
          <w:sz w:val="24"/>
          <w:szCs w:val="24"/>
        </w:rPr>
        <w:t>Cambridge</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Press</w:t>
      </w:r>
      <w:proofErr w:type="spellEnd"/>
      <w:r>
        <w:rPr>
          <w:sz w:val="24"/>
          <w:szCs w:val="24"/>
        </w:rPr>
        <w:t>.</w:t>
      </w:r>
    </w:p>
    <w:p w14:paraId="0AB32F01" w14:textId="77777777" w:rsidR="0017232D" w:rsidRDefault="00F7279A">
      <w:pPr>
        <w:spacing w:after="140"/>
        <w:ind w:left="400" w:hanging="400"/>
        <w:jc w:val="right"/>
        <w:rPr>
          <w:rFonts w:cs="Arial"/>
        </w:rPr>
      </w:pPr>
      <w:r>
        <w:rPr>
          <w:sz w:val="24"/>
          <w:szCs w:val="24"/>
        </w:rPr>
        <w:t xml:space="preserve">14. </w:t>
      </w:r>
      <w:proofErr w:type="spellStart"/>
      <w:r>
        <w:rPr>
          <w:sz w:val="24"/>
          <w:szCs w:val="24"/>
        </w:rPr>
        <w:t>Scheler</w:t>
      </w:r>
      <w:proofErr w:type="spellEnd"/>
      <w:r>
        <w:rPr>
          <w:sz w:val="24"/>
          <w:szCs w:val="24"/>
        </w:rPr>
        <w:t xml:space="preserve">, M. (1928). </w:t>
      </w:r>
      <w:proofErr w:type="spellStart"/>
      <w:r>
        <w:rPr>
          <w:sz w:val="24"/>
          <w:szCs w:val="24"/>
        </w:rPr>
        <w:t>Die</w:t>
      </w:r>
      <w:proofErr w:type="spellEnd"/>
      <w:r>
        <w:rPr>
          <w:sz w:val="24"/>
          <w:szCs w:val="24"/>
        </w:rPr>
        <w:t xml:space="preserve"> </w:t>
      </w:r>
      <w:proofErr w:type="spellStart"/>
      <w:r>
        <w:rPr>
          <w:sz w:val="24"/>
          <w:szCs w:val="24"/>
        </w:rPr>
        <w:t>Stellung</w:t>
      </w:r>
      <w:proofErr w:type="spellEnd"/>
      <w:r>
        <w:rPr>
          <w:sz w:val="24"/>
          <w:szCs w:val="24"/>
        </w:rPr>
        <w:t xml:space="preserve"> </w:t>
      </w:r>
      <w:proofErr w:type="spellStart"/>
      <w:r>
        <w:rPr>
          <w:sz w:val="24"/>
          <w:szCs w:val="24"/>
        </w:rPr>
        <w:t>des</w:t>
      </w:r>
      <w:proofErr w:type="spellEnd"/>
      <w:r>
        <w:rPr>
          <w:sz w:val="24"/>
          <w:szCs w:val="24"/>
        </w:rPr>
        <w:t xml:space="preserve"> </w:t>
      </w:r>
      <w:proofErr w:type="spellStart"/>
      <w:r>
        <w:rPr>
          <w:sz w:val="24"/>
          <w:szCs w:val="24"/>
        </w:rPr>
        <w:t>Menschen</w:t>
      </w:r>
      <w:proofErr w:type="spellEnd"/>
      <w:r>
        <w:rPr>
          <w:sz w:val="24"/>
          <w:szCs w:val="24"/>
        </w:rPr>
        <w:t xml:space="preserve"> </w:t>
      </w:r>
      <w:proofErr w:type="spellStart"/>
      <w:r>
        <w:rPr>
          <w:sz w:val="24"/>
          <w:szCs w:val="24"/>
        </w:rPr>
        <w:t>im</w:t>
      </w:r>
      <w:proofErr w:type="spellEnd"/>
      <w:r>
        <w:rPr>
          <w:sz w:val="24"/>
          <w:szCs w:val="24"/>
        </w:rPr>
        <w:t xml:space="preserve"> </w:t>
      </w:r>
      <w:proofErr w:type="spellStart"/>
      <w:r>
        <w:rPr>
          <w:sz w:val="24"/>
          <w:szCs w:val="24"/>
        </w:rPr>
        <w:t>Kosmos</w:t>
      </w:r>
      <w:proofErr w:type="spellEnd"/>
      <w:r>
        <w:rPr>
          <w:sz w:val="24"/>
          <w:szCs w:val="24"/>
        </w:rPr>
        <w:t xml:space="preserve">. </w:t>
      </w:r>
      <w:proofErr w:type="spellStart"/>
      <w:r>
        <w:rPr>
          <w:sz w:val="24"/>
          <w:szCs w:val="24"/>
        </w:rPr>
        <w:t>Darmstadt</w:t>
      </w:r>
      <w:proofErr w:type="spellEnd"/>
      <w:r>
        <w:rPr>
          <w:sz w:val="24"/>
          <w:szCs w:val="24"/>
        </w:rPr>
        <w:t xml:space="preserve">: </w:t>
      </w:r>
      <w:proofErr w:type="spellStart"/>
      <w:r>
        <w:rPr>
          <w:sz w:val="24"/>
          <w:szCs w:val="24"/>
        </w:rPr>
        <w:t>Reichl</w:t>
      </w:r>
      <w:proofErr w:type="spellEnd"/>
      <w:r>
        <w:rPr>
          <w:sz w:val="24"/>
          <w:szCs w:val="24"/>
        </w:rPr>
        <w:t>.</w:t>
      </w:r>
    </w:p>
    <w:p w14:paraId="171EFA2E" w14:textId="77777777" w:rsidR="0017232D" w:rsidRDefault="00F7279A">
      <w:pPr>
        <w:spacing w:after="140"/>
        <w:ind w:left="400" w:hanging="400"/>
        <w:jc w:val="right"/>
        <w:rPr>
          <w:rFonts w:cs="Arial"/>
        </w:rPr>
      </w:pPr>
      <w:r>
        <w:rPr>
          <w:sz w:val="24"/>
          <w:szCs w:val="24"/>
        </w:rPr>
        <w:t xml:space="preserve">15. </w:t>
      </w:r>
      <w:proofErr w:type="spellStart"/>
      <w:r>
        <w:rPr>
          <w:sz w:val="24"/>
          <w:szCs w:val="24"/>
        </w:rPr>
        <w:t>Buber</w:t>
      </w:r>
      <w:proofErr w:type="spellEnd"/>
      <w:r>
        <w:rPr>
          <w:sz w:val="24"/>
          <w:szCs w:val="24"/>
        </w:rPr>
        <w:t xml:space="preserve">, M. (1923). </w:t>
      </w:r>
      <w:proofErr w:type="spellStart"/>
      <w:r>
        <w:rPr>
          <w:sz w:val="24"/>
          <w:szCs w:val="24"/>
        </w:rPr>
        <w:t>Ich</w:t>
      </w:r>
      <w:proofErr w:type="spellEnd"/>
      <w:r>
        <w:rPr>
          <w:sz w:val="24"/>
          <w:szCs w:val="24"/>
        </w:rPr>
        <w:t xml:space="preserve"> </w:t>
      </w:r>
      <w:proofErr w:type="spellStart"/>
      <w:r>
        <w:rPr>
          <w:sz w:val="24"/>
          <w:szCs w:val="24"/>
        </w:rPr>
        <w:t>und</w:t>
      </w:r>
      <w:proofErr w:type="spellEnd"/>
      <w:r>
        <w:rPr>
          <w:sz w:val="24"/>
          <w:szCs w:val="24"/>
        </w:rPr>
        <w:t xml:space="preserve"> </w:t>
      </w:r>
      <w:proofErr w:type="spellStart"/>
      <w:r>
        <w:rPr>
          <w:sz w:val="24"/>
          <w:szCs w:val="24"/>
        </w:rPr>
        <w:t>Du</w:t>
      </w:r>
      <w:proofErr w:type="spellEnd"/>
      <w:r>
        <w:rPr>
          <w:sz w:val="24"/>
          <w:szCs w:val="24"/>
        </w:rPr>
        <w:t xml:space="preserve">. </w:t>
      </w:r>
      <w:proofErr w:type="spellStart"/>
      <w:r>
        <w:rPr>
          <w:sz w:val="24"/>
          <w:szCs w:val="24"/>
        </w:rPr>
        <w:t>Leipzig</w:t>
      </w:r>
      <w:proofErr w:type="spellEnd"/>
      <w:r>
        <w:rPr>
          <w:sz w:val="24"/>
          <w:szCs w:val="24"/>
        </w:rPr>
        <w:t xml:space="preserve">: </w:t>
      </w:r>
      <w:proofErr w:type="spellStart"/>
      <w:r>
        <w:rPr>
          <w:sz w:val="24"/>
          <w:szCs w:val="24"/>
        </w:rPr>
        <w:t>Insel</w:t>
      </w:r>
      <w:proofErr w:type="spellEnd"/>
      <w:r>
        <w:rPr>
          <w:sz w:val="24"/>
          <w:szCs w:val="24"/>
        </w:rPr>
        <w:t xml:space="preserve"> </w:t>
      </w:r>
      <w:proofErr w:type="spellStart"/>
      <w:r>
        <w:rPr>
          <w:sz w:val="24"/>
          <w:szCs w:val="24"/>
        </w:rPr>
        <w:t>Verlag</w:t>
      </w:r>
      <w:proofErr w:type="spellEnd"/>
      <w:r>
        <w:rPr>
          <w:sz w:val="24"/>
          <w:szCs w:val="24"/>
        </w:rPr>
        <w:t>.</w:t>
      </w:r>
    </w:p>
    <w:p w14:paraId="1A7085C1" w14:textId="77777777" w:rsidR="0017232D" w:rsidRDefault="00F7279A">
      <w:pPr>
        <w:spacing w:after="140"/>
        <w:ind w:left="400" w:hanging="400"/>
        <w:jc w:val="right"/>
        <w:rPr>
          <w:rFonts w:cs="Arial"/>
        </w:rPr>
      </w:pPr>
      <w:r>
        <w:rPr>
          <w:sz w:val="24"/>
          <w:szCs w:val="24"/>
        </w:rPr>
        <w:t xml:space="preserve">16. </w:t>
      </w:r>
      <w:proofErr w:type="spellStart"/>
      <w:r>
        <w:rPr>
          <w:sz w:val="24"/>
          <w:szCs w:val="24"/>
        </w:rPr>
        <w:t>Gadamer</w:t>
      </w:r>
      <w:proofErr w:type="spellEnd"/>
      <w:r>
        <w:rPr>
          <w:sz w:val="24"/>
          <w:szCs w:val="24"/>
        </w:rPr>
        <w:t xml:space="preserve">, H.-G. (1960). </w:t>
      </w:r>
      <w:proofErr w:type="spellStart"/>
      <w:r>
        <w:rPr>
          <w:sz w:val="24"/>
          <w:szCs w:val="24"/>
        </w:rPr>
        <w:t>Wahrheit</w:t>
      </w:r>
      <w:proofErr w:type="spellEnd"/>
      <w:r>
        <w:rPr>
          <w:sz w:val="24"/>
          <w:szCs w:val="24"/>
        </w:rPr>
        <w:t xml:space="preserve"> </w:t>
      </w:r>
      <w:proofErr w:type="spellStart"/>
      <w:r>
        <w:rPr>
          <w:sz w:val="24"/>
          <w:szCs w:val="24"/>
        </w:rPr>
        <w:t>und</w:t>
      </w:r>
      <w:proofErr w:type="spellEnd"/>
      <w:r>
        <w:rPr>
          <w:sz w:val="24"/>
          <w:szCs w:val="24"/>
        </w:rPr>
        <w:t xml:space="preserve"> </w:t>
      </w:r>
      <w:proofErr w:type="spellStart"/>
      <w:r>
        <w:rPr>
          <w:sz w:val="24"/>
          <w:szCs w:val="24"/>
        </w:rPr>
        <w:t>Methode</w:t>
      </w:r>
      <w:proofErr w:type="spellEnd"/>
      <w:r>
        <w:rPr>
          <w:sz w:val="24"/>
          <w:szCs w:val="24"/>
        </w:rPr>
        <w:t xml:space="preserve">. </w:t>
      </w:r>
      <w:proofErr w:type="spellStart"/>
      <w:r>
        <w:rPr>
          <w:sz w:val="24"/>
          <w:szCs w:val="24"/>
        </w:rPr>
        <w:t>Tübingen</w:t>
      </w:r>
      <w:proofErr w:type="spellEnd"/>
      <w:r>
        <w:rPr>
          <w:sz w:val="24"/>
          <w:szCs w:val="24"/>
        </w:rPr>
        <w:t xml:space="preserve">: </w:t>
      </w:r>
      <w:proofErr w:type="spellStart"/>
      <w:r>
        <w:rPr>
          <w:sz w:val="24"/>
          <w:szCs w:val="24"/>
        </w:rPr>
        <w:t>Mohr</w:t>
      </w:r>
      <w:proofErr w:type="spellEnd"/>
      <w:r>
        <w:rPr>
          <w:sz w:val="24"/>
          <w:szCs w:val="24"/>
        </w:rPr>
        <w:t xml:space="preserve"> </w:t>
      </w:r>
      <w:proofErr w:type="spellStart"/>
      <w:r>
        <w:rPr>
          <w:sz w:val="24"/>
          <w:szCs w:val="24"/>
        </w:rPr>
        <w:t>Siebeck</w:t>
      </w:r>
      <w:proofErr w:type="spellEnd"/>
      <w:r>
        <w:rPr>
          <w:sz w:val="24"/>
          <w:szCs w:val="24"/>
        </w:rPr>
        <w:t>.</w:t>
      </w:r>
    </w:p>
    <w:p w14:paraId="69C7F98A" w14:textId="77777777" w:rsidR="0017232D" w:rsidRDefault="00F7279A">
      <w:pPr>
        <w:spacing w:after="140"/>
        <w:ind w:left="400" w:hanging="400"/>
        <w:jc w:val="right"/>
        <w:rPr>
          <w:rFonts w:cs="Arial"/>
        </w:rPr>
      </w:pPr>
      <w:r>
        <w:rPr>
          <w:sz w:val="24"/>
          <w:szCs w:val="24"/>
        </w:rPr>
        <w:t xml:space="preserve">17. </w:t>
      </w:r>
      <w:proofErr w:type="spellStart"/>
      <w:r>
        <w:rPr>
          <w:sz w:val="24"/>
          <w:szCs w:val="24"/>
        </w:rPr>
        <w:t>Ricoeur</w:t>
      </w:r>
      <w:proofErr w:type="spellEnd"/>
      <w:r>
        <w:rPr>
          <w:sz w:val="24"/>
          <w:szCs w:val="24"/>
        </w:rPr>
        <w:t xml:space="preserve">, P. (1965). </w:t>
      </w:r>
      <w:proofErr w:type="spellStart"/>
      <w:r>
        <w:rPr>
          <w:sz w:val="24"/>
          <w:szCs w:val="24"/>
        </w:rPr>
        <w:t>De</w:t>
      </w:r>
      <w:proofErr w:type="spellEnd"/>
      <w:r>
        <w:rPr>
          <w:sz w:val="24"/>
          <w:szCs w:val="24"/>
        </w:rPr>
        <w:t xml:space="preserve"> </w:t>
      </w:r>
      <w:proofErr w:type="spellStart"/>
      <w:r>
        <w:rPr>
          <w:sz w:val="24"/>
          <w:szCs w:val="24"/>
        </w:rPr>
        <w:t>l'interprétation</w:t>
      </w:r>
      <w:proofErr w:type="spellEnd"/>
      <w:r>
        <w:rPr>
          <w:sz w:val="24"/>
          <w:szCs w:val="24"/>
        </w:rPr>
        <w:t xml:space="preserve">: </w:t>
      </w:r>
      <w:proofErr w:type="spellStart"/>
      <w:r>
        <w:rPr>
          <w:sz w:val="24"/>
          <w:szCs w:val="24"/>
        </w:rPr>
        <w:t>Essai</w:t>
      </w:r>
      <w:proofErr w:type="spellEnd"/>
      <w:r>
        <w:rPr>
          <w:sz w:val="24"/>
          <w:szCs w:val="24"/>
        </w:rPr>
        <w:t xml:space="preserve"> </w:t>
      </w:r>
      <w:proofErr w:type="spellStart"/>
      <w:r>
        <w:rPr>
          <w:sz w:val="24"/>
          <w:szCs w:val="24"/>
        </w:rPr>
        <w:t>sur</w:t>
      </w:r>
      <w:proofErr w:type="spellEnd"/>
      <w:r>
        <w:rPr>
          <w:sz w:val="24"/>
          <w:szCs w:val="24"/>
        </w:rPr>
        <w:t xml:space="preserve"> </w:t>
      </w:r>
      <w:proofErr w:type="spellStart"/>
      <w:r>
        <w:rPr>
          <w:sz w:val="24"/>
          <w:szCs w:val="24"/>
        </w:rPr>
        <w:t>Freud</w:t>
      </w:r>
      <w:proofErr w:type="spellEnd"/>
      <w:r>
        <w:rPr>
          <w:sz w:val="24"/>
          <w:szCs w:val="24"/>
        </w:rPr>
        <w:t xml:space="preserve">. </w:t>
      </w:r>
      <w:proofErr w:type="spellStart"/>
      <w:r>
        <w:rPr>
          <w:sz w:val="24"/>
          <w:szCs w:val="24"/>
        </w:rPr>
        <w:t>Paris</w:t>
      </w:r>
      <w:proofErr w:type="spellEnd"/>
      <w:r>
        <w:rPr>
          <w:sz w:val="24"/>
          <w:szCs w:val="24"/>
        </w:rPr>
        <w:t xml:space="preserve">: </w:t>
      </w:r>
      <w:proofErr w:type="spellStart"/>
      <w:r>
        <w:rPr>
          <w:sz w:val="24"/>
          <w:szCs w:val="24"/>
        </w:rPr>
        <w:t>Seuil</w:t>
      </w:r>
      <w:proofErr w:type="spellEnd"/>
      <w:r>
        <w:rPr>
          <w:sz w:val="24"/>
          <w:szCs w:val="24"/>
        </w:rPr>
        <w:t>.</w:t>
      </w:r>
    </w:p>
    <w:p w14:paraId="37BD2313" w14:textId="77777777" w:rsidR="0017232D" w:rsidRDefault="00F7279A">
      <w:pPr>
        <w:spacing w:after="140"/>
        <w:ind w:left="400" w:hanging="400"/>
        <w:jc w:val="right"/>
        <w:rPr>
          <w:rFonts w:cs="Arial"/>
        </w:rPr>
      </w:pPr>
      <w:r>
        <w:rPr>
          <w:sz w:val="24"/>
          <w:szCs w:val="24"/>
        </w:rPr>
        <w:t xml:space="preserve">18. </w:t>
      </w:r>
      <w:proofErr w:type="spellStart"/>
      <w:r>
        <w:rPr>
          <w:sz w:val="24"/>
          <w:szCs w:val="24"/>
        </w:rPr>
        <w:t>Otto</w:t>
      </w:r>
      <w:proofErr w:type="spellEnd"/>
      <w:r>
        <w:rPr>
          <w:sz w:val="24"/>
          <w:szCs w:val="24"/>
        </w:rPr>
        <w:t xml:space="preserve">, R. (1917). </w:t>
      </w:r>
      <w:proofErr w:type="spellStart"/>
      <w:r>
        <w:rPr>
          <w:sz w:val="24"/>
          <w:szCs w:val="24"/>
        </w:rPr>
        <w:t>Das</w:t>
      </w:r>
      <w:proofErr w:type="spellEnd"/>
      <w:r>
        <w:rPr>
          <w:sz w:val="24"/>
          <w:szCs w:val="24"/>
        </w:rPr>
        <w:t xml:space="preserve"> </w:t>
      </w:r>
      <w:proofErr w:type="spellStart"/>
      <w:r>
        <w:rPr>
          <w:sz w:val="24"/>
          <w:szCs w:val="24"/>
        </w:rPr>
        <w:t>Heilige</w:t>
      </w:r>
      <w:proofErr w:type="spellEnd"/>
      <w:r>
        <w:rPr>
          <w:sz w:val="24"/>
          <w:szCs w:val="24"/>
        </w:rPr>
        <w:t xml:space="preserve">. </w:t>
      </w:r>
      <w:proofErr w:type="spellStart"/>
      <w:r>
        <w:rPr>
          <w:sz w:val="24"/>
          <w:szCs w:val="24"/>
        </w:rPr>
        <w:t>Breslau</w:t>
      </w:r>
      <w:proofErr w:type="spellEnd"/>
      <w:r>
        <w:rPr>
          <w:sz w:val="24"/>
          <w:szCs w:val="24"/>
        </w:rPr>
        <w:t xml:space="preserve">: </w:t>
      </w:r>
      <w:proofErr w:type="spellStart"/>
      <w:r>
        <w:rPr>
          <w:sz w:val="24"/>
          <w:szCs w:val="24"/>
        </w:rPr>
        <w:t>Trewendt</w:t>
      </w:r>
      <w:proofErr w:type="spellEnd"/>
      <w:r>
        <w:rPr>
          <w:sz w:val="24"/>
          <w:szCs w:val="24"/>
        </w:rPr>
        <w:t xml:space="preserve"> &amp; </w:t>
      </w:r>
      <w:proofErr w:type="spellStart"/>
      <w:r>
        <w:rPr>
          <w:sz w:val="24"/>
          <w:szCs w:val="24"/>
        </w:rPr>
        <w:t>Granier</w:t>
      </w:r>
      <w:proofErr w:type="spellEnd"/>
      <w:r>
        <w:rPr>
          <w:sz w:val="24"/>
          <w:szCs w:val="24"/>
        </w:rPr>
        <w:t>.</w:t>
      </w:r>
    </w:p>
    <w:p w14:paraId="6DF75C67" w14:textId="77777777" w:rsidR="0017232D" w:rsidRDefault="00F7279A">
      <w:pPr>
        <w:spacing w:after="140"/>
        <w:ind w:left="400" w:hanging="400"/>
        <w:jc w:val="right"/>
        <w:rPr>
          <w:rFonts w:cs="Arial"/>
        </w:rPr>
      </w:pPr>
      <w:r>
        <w:rPr>
          <w:sz w:val="24"/>
          <w:szCs w:val="24"/>
        </w:rPr>
        <w:t xml:space="preserve">19. </w:t>
      </w:r>
      <w:proofErr w:type="spellStart"/>
      <w:r>
        <w:rPr>
          <w:sz w:val="24"/>
          <w:szCs w:val="24"/>
        </w:rPr>
        <w:t>Eliade</w:t>
      </w:r>
      <w:proofErr w:type="spellEnd"/>
      <w:r>
        <w:rPr>
          <w:sz w:val="24"/>
          <w:szCs w:val="24"/>
        </w:rPr>
        <w:t xml:space="preserve">, M. (1957). </w:t>
      </w:r>
      <w:proofErr w:type="spellStart"/>
      <w:r>
        <w:rPr>
          <w:sz w:val="24"/>
          <w:szCs w:val="24"/>
        </w:rPr>
        <w:t>The</w:t>
      </w:r>
      <w:proofErr w:type="spellEnd"/>
      <w:r>
        <w:rPr>
          <w:sz w:val="24"/>
          <w:szCs w:val="24"/>
        </w:rPr>
        <w:t xml:space="preserve"> </w:t>
      </w:r>
      <w:proofErr w:type="spellStart"/>
      <w:r>
        <w:rPr>
          <w:sz w:val="24"/>
          <w:szCs w:val="24"/>
        </w:rPr>
        <w:t>Sacred</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Profane</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Nature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Religion</w:t>
      </w:r>
      <w:proofErr w:type="spellEnd"/>
      <w:r>
        <w:rPr>
          <w:sz w:val="24"/>
          <w:szCs w:val="24"/>
        </w:rPr>
        <w:t xml:space="preserve">. </w:t>
      </w:r>
      <w:proofErr w:type="spellStart"/>
      <w:r>
        <w:rPr>
          <w:sz w:val="24"/>
          <w:szCs w:val="24"/>
        </w:rPr>
        <w:t>New</w:t>
      </w:r>
      <w:proofErr w:type="spellEnd"/>
      <w:r>
        <w:rPr>
          <w:sz w:val="24"/>
          <w:szCs w:val="24"/>
        </w:rPr>
        <w:t xml:space="preserve"> </w:t>
      </w:r>
      <w:proofErr w:type="spellStart"/>
      <w:r>
        <w:rPr>
          <w:sz w:val="24"/>
          <w:szCs w:val="24"/>
        </w:rPr>
        <w:t>York</w:t>
      </w:r>
      <w:proofErr w:type="spellEnd"/>
      <w:r>
        <w:rPr>
          <w:sz w:val="24"/>
          <w:szCs w:val="24"/>
        </w:rPr>
        <w:t xml:space="preserve">: </w:t>
      </w:r>
      <w:proofErr w:type="spellStart"/>
      <w:r>
        <w:rPr>
          <w:sz w:val="24"/>
          <w:szCs w:val="24"/>
        </w:rPr>
        <w:t>Harcourt</w:t>
      </w:r>
      <w:proofErr w:type="spellEnd"/>
      <w:r>
        <w:rPr>
          <w:sz w:val="24"/>
          <w:szCs w:val="24"/>
        </w:rPr>
        <w:t>.</w:t>
      </w:r>
    </w:p>
    <w:p w14:paraId="45A0C6B7" w14:textId="77777777" w:rsidR="0017232D" w:rsidRDefault="00F7279A">
      <w:pPr>
        <w:spacing w:after="140"/>
        <w:ind w:left="400" w:hanging="400"/>
        <w:jc w:val="right"/>
        <w:rPr>
          <w:rFonts w:cs="Arial"/>
        </w:rPr>
      </w:pPr>
      <w:r>
        <w:rPr>
          <w:sz w:val="24"/>
          <w:szCs w:val="24"/>
        </w:rPr>
        <w:t xml:space="preserve">20. </w:t>
      </w:r>
      <w:proofErr w:type="spellStart"/>
      <w:r>
        <w:rPr>
          <w:sz w:val="24"/>
          <w:szCs w:val="24"/>
        </w:rPr>
        <w:t>Tedeschi</w:t>
      </w:r>
      <w:proofErr w:type="spellEnd"/>
      <w:r>
        <w:rPr>
          <w:sz w:val="24"/>
          <w:szCs w:val="24"/>
        </w:rPr>
        <w:t xml:space="preserve">, R. G., &amp; </w:t>
      </w:r>
      <w:proofErr w:type="spellStart"/>
      <w:r>
        <w:rPr>
          <w:sz w:val="24"/>
          <w:szCs w:val="24"/>
        </w:rPr>
        <w:t>Calhoun</w:t>
      </w:r>
      <w:proofErr w:type="spellEnd"/>
      <w:r>
        <w:rPr>
          <w:sz w:val="24"/>
          <w:szCs w:val="24"/>
        </w:rPr>
        <w:t xml:space="preserve">, L. G. (1996). </w:t>
      </w:r>
      <w:proofErr w:type="spellStart"/>
      <w:r>
        <w:rPr>
          <w:sz w:val="24"/>
          <w:szCs w:val="24"/>
        </w:rPr>
        <w:t>The</w:t>
      </w:r>
      <w:proofErr w:type="spellEnd"/>
      <w:r>
        <w:rPr>
          <w:sz w:val="24"/>
          <w:szCs w:val="24"/>
        </w:rPr>
        <w:t xml:space="preserve"> </w:t>
      </w:r>
      <w:proofErr w:type="spellStart"/>
      <w:r>
        <w:rPr>
          <w:sz w:val="24"/>
          <w:szCs w:val="24"/>
        </w:rPr>
        <w:t>Posttraumatic</w:t>
      </w:r>
      <w:proofErr w:type="spellEnd"/>
      <w:r>
        <w:rPr>
          <w:sz w:val="24"/>
          <w:szCs w:val="24"/>
        </w:rPr>
        <w:t xml:space="preserve"> </w:t>
      </w:r>
      <w:proofErr w:type="spellStart"/>
      <w:r>
        <w:rPr>
          <w:sz w:val="24"/>
          <w:szCs w:val="24"/>
        </w:rPr>
        <w:t>Growth</w:t>
      </w:r>
      <w:proofErr w:type="spellEnd"/>
      <w:r>
        <w:rPr>
          <w:sz w:val="24"/>
          <w:szCs w:val="24"/>
        </w:rPr>
        <w:t xml:space="preserve"> </w:t>
      </w:r>
      <w:proofErr w:type="spellStart"/>
      <w:r>
        <w:rPr>
          <w:sz w:val="24"/>
          <w:szCs w:val="24"/>
        </w:rPr>
        <w:t>Inventory</w:t>
      </w:r>
      <w:proofErr w:type="spellEnd"/>
      <w:r>
        <w:rPr>
          <w:sz w:val="24"/>
          <w:szCs w:val="24"/>
        </w:rPr>
        <w:t xml:space="preserve">. </w:t>
      </w:r>
      <w:proofErr w:type="spellStart"/>
      <w:r>
        <w:rPr>
          <w:sz w:val="24"/>
          <w:szCs w:val="24"/>
        </w:rPr>
        <w:t>Journal</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Traumatic</w:t>
      </w:r>
      <w:proofErr w:type="spellEnd"/>
      <w:r>
        <w:rPr>
          <w:sz w:val="24"/>
          <w:szCs w:val="24"/>
        </w:rPr>
        <w:t xml:space="preserve"> </w:t>
      </w:r>
      <w:proofErr w:type="spellStart"/>
      <w:r>
        <w:rPr>
          <w:sz w:val="24"/>
          <w:szCs w:val="24"/>
        </w:rPr>
        <w:t>Stress</w:t>
      </w:r>
      <w:proofErr w:type="spellEnd"/>
      <w:r>
        <w:rPr>
          <w:sz w:val="24"/>
          <w:szCs w:val="24"/>
        </w:rPr>
        <w:t>, 9(3), 455-471.</w:t>
      </w:r>
    </w:p>
    <w:p w14:paraId="43F43884" w14:textId="77777777" w:rsidR="0017232D" w:rsidRDefault="00F7279A">
      <w:pPr>
        <w:spacing w:after="140"/>
        <w:ind w:left="400" w:hanging="400"/>
        <w:jc w:val="right"/>
        <w:rPr>
          <w:rFonts w:cs="Arial"/>
        </w:rPr>
      </w:pPr>
      <w:r>
        <w:rPr>
          <w:sz w:val="24"/>
          <w:szCs w:val="24"/>
        </w:rPr>
        <w:t xml:space="preserve">21. </w:t>
      </w:r>
      <w:proofErr w:type="spellStart"/>
      <w:r>
        <w:rPr>
          <w:sz w:val="24"/>
          <w:szCs w:val="24"/>
        </w:rPr>
        <w:t>Frankl</w:t>
      </w:r>
      <w:proofErr w:type="spellEnd"/>
      <w:r>
        <w:rPr>
          <w:sz w:val="24"/>
          <w:szCs w:val="24"/>
        </w:rPr>
        <w:t xml:space="preserve">, V. (1946). </w:t>
      </w:r>
      <w:proofErr w:type="spellStart"/>
      <w:r>
        <w:rPr>
          <w:sz w:val="24"/>
          <w:szCs w:val="24"/>
        </w:rPr>
        <w:t>Man's</w:t>
      </w:r>
      <w:proofErr w:type="spellEnd"/>
      <w:r>
        <w:rPr>
          <w:sz w:val="24"/>
          <w:szCs w:val="24"/>
        </w:rPr>
        <w:t xml:space="preserve"> </w:t>
      </w:r>
      <w:proofErr w:type="spellStart"/>
      <w:r>
        <w:rPr>
          <w:sz w:val="24"/>
          <w:szCs w:val="24"/>
        </w:rPr>
        <w:t>Search</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Meaning</w:t>
      </w:r>
      <w:proofErr w:type="spellEnd"/>
      <w:r>
        <w:rPr>
          <w:sz w:val="24"/>
          <w:szCs w:val="24"/>
        </w:rPr>
        <w:t xml:space="preserve">. </w:t>
      </w:r>
      <w:proofErr w:type="spellStart"/>
      <w:r>
        <w:rPr>
          <w:sz w:val="24"/>
          <w:szCs w:val="24"/>
        </w:rPr>
        <w:t>Vienna</w:t>
      </w:r>
      <w:proofErr w:type="spellEnd"/>
      <w:r>
        <w:rPr>
          <w:sz w:val="24"/>
          <w:szCs w:val="24"/>
        </w:rPr>
        <w:t xml:space="preserve">: </w:t>
      </w:r>
      <w:proofErr w:type="spellStart"/>
      <w:r>
        <w:rPr>
          <w:sz w:val="24"/>
          <w:szCs w:val="24"/>
        </w:rPr>
        <w:t>Verlag</w:t>
      </w:r>
      <w:proofErr w:type="spellEnd"/>
      <w:r>
        <w:rPr>
          <w:sz w:val="24"/>
          <w:szCs w:val="24"/>
        </w:rPr>
        <w:t xml:space="preserve"> </w:t>
      </w:r>
      <w:proofErr w:type="spellStart"/>
      <w:r>
        <w:rPr>
          <w:sz w:val="24"/>
          <w:szCs w:val="24"/>
        </w:rPr>
        <w:t>für</w:t>
      </w:r>
      <w:proofErr w:type="spellEnd"/>
      <w:r>
        <w:rPr>
          <w:sz w:val="24"/>
          <w:szCs w:val="24"/>
        </w:rPr>
        <w:t xml:space="preserve"> </w:t>
      </w:r>
      <w:proofErr w:type="spellStart"/>
      <w:r>
        <w:rPr>
          <w:sz w:val="24"/>
          <w:szCs w:val="24"/>
        </w:rPr>
        <w:t>Jugend</w:t>
      </w:r>
      <w:proofErr w:type="spellEnd"/>
      <w:r>
        <w:rPr>
          <w:sz w:val="24"/>
          <w:szCs w:val="24"/>
        </w:rPr>
        <w:t xml:space="preserve"> </w:t>
      </w:r>
      <w:proofErr w:type="spellStart"/>
      <w:r>
        <w:rPr>
          <w:sz w:val="24"/>
          <w:szCs w:val="24"/>
        </w:rPr>
        <w:t>und</w:t>
      </w:r>
      <w:proofErr w:type="spellEnd"/>
      <w:r>
        <w:rPr>
          <w:sz w:val="24"/>
          <w:szCs w:val="24"/>
        </w:rPr>
        <w:t xml:space="preserve"> </w:t>
      </w:r>
      <w:proofErr w:type="spellStart"/>
      <w:r>
        <w:rPr>
          <w:sz w:val="24"/>
          <w:szCs w:val="24"/>
        </w:rPr>
        <w:t>Volk</w:t>
      </w:r>
      <w:proofErr w:type="spellEnd"/>
      <w:r>
        <w:rPr>
          <w:sz w:val="24"/>
          <w:szCs w:val="24"/>
        </w:rPr>
        <w:t>.</w:t>
      </w:r>
    </w:p>
    <w:p w14:paraId="0B28F839" w14:textId="77777777" w:rsidR="0017232D" w:rsidRDefault="00F7279A">
      <w:pPr>
        <w:pStyle w:val="2"/>
        <w:bidi/>
        <w:spacing w:before="360" w:after="200"/>
        <w:jc w:val="right"/>
        <w:rPr>
          <w:rFonts w:cs="Arial"/>
        </w:rPr>
      </w:pPr>
      <w:r>
        <w:rPr>
          <w:b/>
          <w:bCs/>
          <w:color w:val="1F6F63"/>
          <w:sz w:val="30"/>
          <w:szCs w:val="30"/>
        </w:rPr>
        <w:t>ثالثاً: مراجع في فلسفة العلم وعلم الاجتماع النقدي</w:t>
      </w:r>
    </w:p>
    <w:p w14:paraId="3DC75522" w14:textId="77777777" w:rsidR="0017232D" w:rsidRDefault="00F7279A">
      <w:pPr>
        <w:spacing w:after="140"/>
        <w:ind w:left="400" w:hanging="400"/>
        <w:jc w:val="right"/>
        <w:rPr>
          <w:rFonts w:cs="Arial"/>
        </w:rPr>
      </w:pPr>
      <w:r>
        <w:rPr>
          <w:sz w:val="24"/>
          <w:szCs w:val="24"/>
        </w:rPr>
        <w:t xml:space="preserve">22. </w:t>
      </w:r>
      <w:proofErr w:type="spellStart"/>
      <w:r>
        <w:rPr>
          <w:sz w:val="24"/>
          <w:szCs w:val="24"/>
        </w:rPr>
        <w:t>Kuhn</w:t>
      </w:r>
      <w:proofErr w:type="spellEnd"/>
      <w:r>
        <w:rPr>
          <w:sz w:val="24"/>
          <w:szCs w:val="24"/>
        </w:rPr>
        <w:t xml:space="preserve">, T. S. (1962). </w:t>
      </w:r>
      <w:proofErr w:type="spellStart"/>
      <w:r>
        <w:rPr>
          <w:sz w:val="24"/>
          <w:szCs w:val="24"/>
        </w:rPr>
        <w:t>The</w:t>
      </w:r>
      <w:proofErr w:type="spellEnd"/>
      <w:r>
        <w:rPr>
          <w:sz w:val="24"/>
          <w:szCs w:val="24"/>
        </w:rPr>
        <w:t xml:space="preserve"> </w:t>
      </w:r>
      <w:proofErr w:type="spellStart"/>
      <w:r>
        <w:rPr>
          <w:sz w:val="24"/>
          <w:szCs w:val="24"/>
        </w:rPr>
        <w:t>Structure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Scientific</w:t>
      </w:r>
      <w:proofErr w:type="spellEnd"/>
      <w:r>
        <w:rPr>
          <w:sz w:val="24"/>
          <w:szCs w:val="24"/>
        </w:rPr>
        <w:t xml:space="preserve"> </w:t>
      </w:r>
      <w:proofErr w:type="spellStart"/>
      <w:r>
        <w:rPr>
          <w:sz w:val="24"/>
          <w:szCs w:val="24"/>
        </w:rPr>
        <w:t>Revolutions</w:t>
      </w:r>
      <w:proofErr w:type="spellEnd"/>
      <w:r>
        <w:rPr>
          <w:sz w:val="24"/>
          <w:szCs w:val="24"/>
        </w:rPr>
        <w:t xml:space="preserve">. </w:t>
      </w:r>
      <w:proofErr w:type="spellStart"/>
      <w:r>
        <w:rPr>
          <w:sz w:val="24"/>
          <w:szCs w:val="24"/>
        </w:rPr>
        <w:t>Chicago</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Chicago</w:t>
      </w:r>
      <w:proofErr w:type="spellEnd"/>
      <w:r>
        <w:rPr>
          <w:sz w:val="24"/>
          <w:szCs w:val="24"/>
        </w:rPr>
        <w:t xml:space="preserve"> </w:t>
      </w:r>
      <w:proofErr w:type="spellStart"/>
      <w:r>
        <w:rPr>
          <w:sz w:val="24"/>
          <w:szCs w:val="24"/>
        </w:rPr>
        <w:t>Press</w:t>
      </w:r>
      <w:proofErr w:type="spellEnd"/>
      <w:r>
        <w:rPr>
          <w:sz w:val="24"/>
          <w:szCs w:val="24"/>
        </w:rPr>
        <w:t>.</w:t>
      </w:r>
    </w:p>
    <w:p w14:paraId="2319DC8F" w14:textId="77777777" w:rsidR="0017232D" w:rsidRDefault="00F7279A">
      <w:pPr>
        <w:spacing w:after="140"/>
        <w:ind w:left="400" w:hanging="400"/>
        <w:jc w:val="right"/>
        <w:rPr>
          <w:rFonts w:cs="Arial"/>
        </w:rPr>
      </w:pPr>
      <w:r>
        <w:rPr>
          <w:sz w:val="24"/>
          <w:szCs w:val="24"/>
        </w:rPr>
        <w:t xml:space="preserve">23. </w:t>
      </w:r>
      <w:proofErr w:type="spellStart"/>
      <w:r>
        <w:rPr>
          <w:sz w:val="24"/>
          <w:szCs w:val="24"/>
        </w:rPr>
        <w:t>Foucault</w:t>
      </w:r>
      <w:proofErr w:type="spellEnd"/>
      <w:r>
        <w:rPr>
          <w:sz w:val="24"/>
          <w:szCs w:val="24"/>
        </w:rPr>
        <w:t xml:space="preserve">, M. (1969). </w:t>
      </w:r>
      <w:proofErr w:type="spellStart"/>
      <w:r>
        <w:rPr>
          <w:sz w:val="24"/>
          <w:szCs w:val="24"/>
        </w:rPr>
        <w:t>L'Archéologie</w:t>
      </w:r>
      <w:proofErr w:type="spellEnd"/>
      <w:r>
        <w:rPr>
          <w:sz w:val="24"/>
          <w:szCs w:val="24"/>
        </w:rPr>
        <w:t xml:space="preserve"> </w:t>
      </w:r>
      <w:proofErr w:type="spellStart"/>
      <w:r>
        <w:rPr>
          <w:sz w:val="24"/>
          <w:szCs w:val="24"/>
        </w:rPr>
        <w:t>du</w:t>
      </w:r>
      <w:proofErr w:type="spellEnd"/>
      <w:r>
        <w:rPr>
          <w:sz w:val="24"/>
          <w:szCs w:val="24"/>
        </w:rPr>
        <w:t xml:space="preserve"> </w:t>
      </w:r>
      <w:proofErr w:type="spellStart"/>
      <w:r>
        <w:rPr>
          <w:sz w:val="24"/>
          <w:szCs w:val="24"/>
        </w:rPr>
        <w:t>savoir</w:t>
      </w:r>
      <w:proofErr w:type="spellEnd"/>
      <w:r>
        <w:rPr>
          <w:sz w:val="24"/>
          <w:szCs w:val="24"/>
        </w:rPr>
        <w:t xml:space="preserve">. </w:t>
      </w:r>
      <w:proofErr w:type="spellStart"/>
      <w:r>
        <w:rPr>
          <w:sz w:val="24"/>
          <w:szCs w:val="24"/>
        </w:rPr>
        <w:t>Paris</w:t>
      </w:r>
      <w:proofErr w:type="spellEnd"/>
      <w:r>
        <w:rPr>
          <w:sz w:val="24"/>
          <w:szCs w:val="24"/>
        </w:rPr>
        <w:t xml:space="preserve">: </w:t>
      </w:r>
      <w:proofErr w:type="spellStart"/>
      <w:r>
        <w:rPr>
          <w:sz w:val="24"/>
          <w:szCs w:val="24"/>
        </w:rPr>
        <w:t>Gallimard</w:t>
      </w:r>
      <w:proofErr w:type="spellEnd"/>
      <w:r>
        <w:rPr>
          <w:sz w:val="24"/>
          <w:szCs w:val="24"/>
        </w:rPr>
        <w:t>.</w:t>
      </w:r>
    </w:p>
    <w:p w14:paraId="322F204F" w14:textId="77777777" w:rsidR="0017232D" w:rsidRDefault="00F7279A">
      <w:pPr>
        <w:spacing w:after="140"/>
        <w:ind w:left="400" w:hanging="400"/>
        <w:jc w:val="right"/>
        <w:rPr>
          <w:rFonts w:cs="Arial"/>
        </w:rPr>
      </w:pPr>
      <w:r>
        <w:rPr>
          <w:sz w:val="24"/>
          <w:szCs w:val="24"/>
        </w:rPr>
        <w:t xml:space="preserve">24. </w:t>
      </w:r>
      <w:proofErr w:type="spellStart"/>
      <w:r>
        <w:rPr>
          <w:sz w:val="24"/>
          <w:szCs w:val="24"/>
        </w:rPr>
        <w:t>Zuboff</w:t>
      </w:r>
      <w:proofErr w:type="spellEnd"/>
      <w:r>
        <w:rPr>
          <w:sz w:val="24"/>
          <w:szCs w:val="24"/>
        </w:rPr>
        <w:t xml:space="preserve">, S. (2019). </w:t>
      </w:r>
      <w:proofErr w:type="spellStart"/>
      <w:r>
        <w:rPr>
          <w:sz w:val="24"/>
          <w:szCs w:val="24"/>
        </w:rPr>
        <w:t>The</w:t>
      </w:r>
      <w:proofErr w:type="spellEnd"/>
      <w:r>
        <w:rPr>
          <w:sz w:val="24"/>
          <w:szCs w:val="24"/>
        </w:rPr>
        <w:t xml:space="preserve"> </w:t>
      </w:r>
      <w:proofErr w:type="spellStart"/>
      <w:r>
        <w:rPr>
          <w:sz w:val="24"/>
          <w:szCs w:val="24"/>
        </w:rPr>
        <w:t>Age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Surveillance</w:t>
      </w:r>
      <w:proofErr w:type="spellEnd"/>
      <w:r>
        <w:rPr>
          <w:sz w:val="24"/>
          <w:szCs w:val="24"/>
        </w:rPr>
        <w:t xml:space="preserve"> </w:t>
      </w:r>
      <w:proofErr w:type="spellStart"/>
      <w:r>
        <w:rPr>
          <w:sz w:val="24"/>
          <w:szCs w:val="24"/>
        </w:rPr>
        <w:t>Capitalism</w:t>
      </w:r>
      <w:proofErr w:type="spellEnd"/>
      <w:r>
        <w:rPr>
          <w:sz w:val="24"/>
          <w:szCs w:val="24"/>
        </w:rPr>
        <w:t xml:space="preserve">. </w:t>
      </w:r>
      <w:proofErr w:type="spellStart"/>
      <w:r>
        <w:rPr>
          <w:sz w:val="24"/>
          <w:szCs w:val="24"/>
        </w:rPr>
        <w:t>New</w:t>
      </w:r>
      <w:proofErr w:type="spellEnd"/>
      <w:r>
        <w:rPr>
          <w:sz w:val="24"/>
          <w:szCs w:val="24"/>
        </w:rPr>
        <w:t xml:space="preserve"> </w:t>
      </w:r>
      <w:proofErr w:type="spellStart"/>
      <w:r>
        <w:rPr>
          <w:sz w:val="24"/>
          <w:szCs w:val="24"/>
        </w:rPr>
        <w:t>York</w:t>
      </w:r>
      <w:proofErr w:type="spellEnd"/>
      <w:r>
        <w:rPr>
          <w:sz w:val="24"/>
          <w:szCs w:val="24"/>
        </w:rPr>
        <w:t xml:space="preserve">: </w:t>
      </w:r>
      <w:proofErr w:type="spellStart"/>
      <w:r>
        <w:rPr>
          <w:sz w:val="24"/>
          <w:szCs w:val="24"/>
        </w:rPr>
        <w:t>PublicAffairs</w:t>
      </w:r>
      <w:proofErr w:type="spellEnd"/>
      <w:r>
        <w:rPr>
          <w:sz w:val="24"/>
          <w:szCs w:val="24"/>
        </w:rPr>
        <w:t>.</w:t>
      </w:r>
    </w:p>
    <w:p w14:paraId="54F73FAE" w14:textId="77777777" w:rsidR="0017232D" w:rsidRDefault="00F7279A">
      <w:pPr>
        <w:spacing w:after="140"/>
        <w:ind w:left="400" w:hanging="400"/>
        <w:jc w:val="right"/>
        <w:rPr>
          <w:rFonts w:cs="Arial"/>
        </w:rPr>
      </w:pPr>
      <w:r>
        <w:rPr>
          <w:sz w:val="24"/>
          <w:szCs w:val="24"/>
        </w:rPr>
        <w:t>25. الجابري، محمد عابد. (1991). التراث والحداثة: دراسات ومناقشات. بيروت: مركز دراسات الوحدة العربية.</w:t>
      </w:r>
    </w:p>
    <w:p w14:paraId="2C52CCE8" w14:textId="77777777" w:rsidR="0017232D" w:rsidRDefault="00F7279A">
      <w:pPr>
        <w:spacing w:after="140"/>
        <w:ind w:left="400" w:hanging="400"/>
        <w:jc w:val="right"/>
        <w:rPr>
          <w:rFonts w:cs="Arial"/>
        </w:rPr>
      </w:pPr>
      <w:r>
        <w:rPr>
          <w:sz w:val="24"/>
          <w:szCs w:val="24"/>
        </w:rPr>
        <w:t>26. أبو زيد، نصر حامد. (1992). إشكاليات القراءة وآليات التأويل. القاهرة: المركز الثقافي العربي.</w:t>
      </w:r>
    </w:p>
    <w:p w14:paraId="7F8B99D3" w14:textId="77777777" w:rsidR="0017232D" w:rsidRDefault="00F7279A">
      <w:pPr>
        <w:pStyle w:val="2"/>
        <w:bidi/>
        <w:spacing w:before="360" w:after="200"/>
        <w:jc w:val="right"/>
        <w:rPr>
          <w:rFonts w:cs="Arial"/>
        </w:rPr>
      </w:pPr>
      <w:r>
        <w:rPr>
          <w:b/>
          <w:bCs/>
          <w:color w:val="1F6F63"/>
          <w:sz w:val="30"/>
          <w:szCs w:val="30"/>
        </w:rPr>
        <w:t>رابعاً: مراجع في التراث الإسلامي والتصوف</w:t>
      </w:r>
    </w:p>
    <w:p w14:paraId="299920AD" w14:textId="77777777" w:rsidR="0017232D" w:rsidRDefault="00F7279A">
      <w:pPr>
        <w:spacing w:after="140"/>
        <w:ind w:left="400" w:hanging="400"/>
        <w:jc w:val="right"/>
        <w:rPr>
          <w:rFonts w:cs="Arial"/>
        </w:rPr>
      </w:pPr>
      <w:r>
        <w:rPr>
          <w:sz w:val="24"/>
          <w:szCs w:val="24"/>
        </w:rPr>
        <w:t>27. القرآن الكريم.</w:t>
      </w:r>
    </w:p>
    <w:p w14:paraId="72874B69" w14:textId="77777777" w:rsidR="0017232D" w:rsidRDefault="00F7279A">
      <w:pPr>
        <w:spacing w:after="140"/>
        <w:ind w:left="400" w:hanging="400"/>
        <w:jc w:val="right"/>
        <w:rPr>
          <w:rFonts w:cs="Arial"/>
        </w:rPr>
      </w:pPr>
      <w:r>
        <w:rPr>
          <w:sz w:val="24"/>
          <w:szCs w:val="24"/>
        </w:rPr>
        <w:t>28. الغزالي، أبو حامد. (د.ت.). إحياء علوم الدين. بيروت: دار المعرفة.</w:t>
      </w:r>
    </w:p>
    <w:p w14:paraId="4B64EEAF" w14:textId="77777777" w:rsidR="0017232D" w:rsidRDefault="00F7279A">
      <w:pPr>
        <w:spacing w:after="140"/>
        <w:ind w:left="400" w:hanging="400"/>
        <w:jc w:val="right"/>
        <w:rPr>
          <w:rFonts w:cs="Arial"/>
        </w:rPr>
      </w:pPr>
      <w:r>
        <w:rPr>
          <w:sz w:val="24"/>
          <w:szCs w:val="24"/>
        </w:rPr>
        <w:t>29. ابن القيم الجوزية. (د.ت.). مدارج السالكين بين منازل إياك نعبد وإياك نستعين. تحقيق: محمد حامد الفقي. بيروت: دار الكتاب العربي.</w:t>
      </w:r>
    </w:p>
    <w:p w14:paraId="7A258CDB" w14:textId="77777777" w:rsidR="0017232D" w:rsidRDefault="00F7279A">
      <w:pPr>
        <w:spacing w:after="140"/>
        <w:ind w:left="400" w:hanging="400"/>
        <w:jc w:val="right"/>
        <w:rPr>
          <w:rFonts w:cs="Arial"/>
        </w:rPr>
      </w:pPr>
      <w:r>
        <w:rPr>
          <w:sz w:val="24"/>
          <w:szCs w:val="24"/>
        </w:rPr>
        <w:t>30. الماوردي، أبو الحسن. (د.ت.). الأحكام السلطانية والولايات الدينية. القاهرة: دار الحديث.</w:t>
      </w:r>
    </w:p>
    <w:p w14:paraId="0D99B33C" w14:textId="77777777" w:rsidR="0017232D" w:rsidRDefault="00F7279A">
      <w:pPr>
        <w:spacing w:after="140"/>
        <w:ind w:left="400" w:hanging="400"/>
        <w:jc w:val="right"/>
        <w:rPr>
          <w:rFonts w:cs="Arial"/>
        </w:rPr>
      </w:pPr>
      <w:r>
        <w:rPr>
          <w:sz w:val="24"/>
          <w:szCs w:val="24"/>
        </w:rPr>
        <w:t>31. ابن تيمية، تقي الدين. (د.ت.). السياسة الشرعية في إصلاح الراعي والرعية. القاهرة: دار الكتب العلمية.</w:t>
      </w:r>
    </w:p>
    <w:p w14:paraId="5C7DBA12" w14:textId="77777777" w:rsidR="0017232D" w:rsidRDefault="00F7279A">
      <w:pPr>
        <w:spacing w:after="140"/>
        <w:ind w:left="400" w:hanging="400"/>
        <w:jc w:val="right"/>
        <w:rPr>
          <w:rFonts w:cs="Arial"/>
        </w:rPr>
      </w:pPr>
      <w:r>
        <w:rPr>
          <w:sz w:val="24"/>
          <w:szCs w:val="24"/>
        </w:rPr>
        <w:t>32. ابن خلدون، عبد الرحمن. (د.ت.). المقدمة. بيروت: دار الفكر.</w:t>
      </w:r>
    </w:p>
    <w:sectPr w:rsidR="0017232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E302B"/>
    <w:multiLevelType w:val="hybridMultilevel"/>
    <w:tmpl w:val="FFFFFFFF"/>
    <w:lvl w:ilvl="0" w:tplc="2DF2F9AA">
      <w:start w:val="1"/>
      <w:numFmt w:val="bullet"/>
      <w:lvlText w:val="●"/>
      <w:lvlJc w:val="left"/>
      <w:pPr>
        <w:ind w:left="720" w:hanging="360"/>
      </w:pPr>
    </w:lvl>
    <w:lvl w:ilvl="1" w:tplc="974E378A">
      <w:start w:val="1"/>
      <w:numFmt w:val="bullet"/>
      <w:lvlText w:val="○"/>
      <w:lvlJc w:val="left"/>
      <w:pPr>
        <w:ind w:left="1440" w:hanging="360"/>
      </w:pPr>
    </w:lvl>
    <w:lvl w:ilvl="2" w:tplc="03BA6020">
      <w:start w:val="1"/>
      <w:numFmt w:val="bullet"/>
      <w:lvlText w:val="■"/>
      <w:lvlJc w:val="left"/>
      <w:pPr>
        <w:ind w:left="2160" w:hanging="360"/>
      </w:pPr>
    </w:lvl>
    <w:lvl w:ilvl="3" w:tplc="17E87AE2">
      <w:start w:val="1"/>
      <w:numFmt w:val="bullet"/>
      <w:lvlText w:val="●"/>
      <w:lvlJc w:val="left"/>
      <w:pPr>
        <w:ind w:left="2880" w:hanging="360"/>
      </w:pPr>
    </w:lvl>
    <w:lvl w:ilvl="4" w:tplc="C2C23F7C">
      <w:start w:val="1"/>
      <w:numFmt w:val="bullet"/>
      <w:lvlText w:val="○"/>
      <w:lvlJc w:val="left"/>
      <w:pPr>
        <w:ind w:left="3600" w:hanging="360"/>
      </w:pPr>
    </w:lvl>
    <w:lvl w:ilvl="5" w:tplc="F5FC66B8">
      <w:start w:val="1"/>
      <w:numFmt w:val="bullet"/>
      <w:lvlText w:val="■"/>
      <w:lvlJc w:val="left"/>
      <w:pPr>
        <w:ind w:left="4320" w:hanging="360"/>
      </w:pPr>
    </w:lvl>
    <w:lvl w:ilvl="6" w:tplc="F5FEC1D2">
      <w:start w:val="1"/>
      <w:numFmt w:val="bullet"/>
      <w:lvlText w:val="●"/>
      <w:lvlJc w:val="left"/>
      <w:pPr>
        <w:ind w:left="5040" w:hanging="360"/>
      </w:pPr>
    </w:lvl>
    <w:lvl w:ilvl="7" w:tplc="2B82A0F4">
      <w:start w:val="1"/>
      <w:numFmt w:val="bullet"/>
      <w:lvlText w:val="●"/>
      <w:lvlJc w:val="left"/>
      <w:pPr>
        <w:ind w:left="5760" w:hanging="360"/>
      </w:pPr>
    </w:lvl>
    <w:lvl w:ilvl="8" w:tplc="3D5656EA">
      <w:start w:val="1"/>
      <w:numFmt w:val="bullet"/>
      <w:lvlText w:val="●"/>
      <w:lvlJc w:val="left"/>
      <w:pPr>
        <w:ind w:left="6480" w:hanging="360"/>
      </w:pPr>
    </w:lvl>
  </w:abstractNum>
  <w:num w:numId="1" w16cid:durableId="4899037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32D"/>
    <w:rsid w:val="0017232D"/>
    <w:rsid w:val="004D53BF"/>
    <w:rsid w:val="00F727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2F01AB5"/>
  <w15:docId w15:val="{58E8FBBC-894A-5E44-9312-75A9F346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2B2B2B"/>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3482</Words>
  <Characters>19853</Characters>
  <Application>Microsoft Office Word</Application>
  <DocSecurity>0</DocSecurity>
  <Lines>165</Lines>
  <Paragraphs>46</Paragraphs>
  <ScaleCrop>false</ScaleCrop>
  <Company/>
  <LinksUpToDate>false</LinksUpToDate>
  <CharactersWithSpaces>23289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2026-07-18T21:48:00Z</dcterms:created>
  <dcterms:modified xsi:type="dcterms:W3CDTF">2026-07-18T21:48:00Z</dcterms:modified>
</cp:coreProperties>
</file>