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 w:after="300"/>
      </w:pPr>
    </w:p>
    <w:p>
      <w:pPr>
        <w:bidi/>
        <w:spacing w:before="80" w:after="60"/>
        <w:jc w:val="center"/>
      </w:pPr>
      <w:r>
        <w:rPr>
          <w:rFonts w:ascii="Arial" w:cs="Arial" w:eastAsia="Arial" w:hAnsi="Arial"/>
          <w:b/>
          <w:bCs/>
          <w:color w:val="8B6914"/>
          <w:sz w:val="26"/>
          <w:szCs w:val="26"/>
        </w:rPr>
        <w:t xml:space="preserve">الجزء الأول — المقدمة</w:t>
      </w:r>
    </w:p>
    <w:p>
      <w:pPr>
        <w:bidi/>
        <w:spacing w:before="60" w:after="60"/>
        <w:jc w:val="center"/>
      </w:pPr>
      <w:r>
        <w:rPr>
          <w:rFonts w:ascii="Arial" w:cs="Arial" w:eastAsia="Arial" w:hAnsi="Arial"/>
          <w:color w:val="666666"/>
          <w:sz w:val="32"/>
          <w:szCs w:val="32"/>
        </w:rPr>
        <w:t xml:space="preserve">الفصل السادس</w:t>
      </w:r>
    </w:p>
    <w:p>
      <w:pPr>
        <w:bidi/>
        <w:spacing w:before="60" w:after="60"/>
        <w:jc w:val="center"/>
      </w:pPr>
      <w:r>
        <w:rPr>
          <w:rFonts w:ascii="Arial" w:cs="Arial" w:eastAsia="Arial" w:hAnsi="Arial"/>
          <w:b/>
          <w:bCs/>
          <w:color w:val="1A3C5E"/>
          <w:sz w:val="52"/>
          <w:szCs w:val="52"/>
        </w:rPr>
        <w:t xml:space="preserve">الاستخلاف الرقمي الواعي</w:t>
      </w:r>
    </w:p>
    <w:p>
      <w:pPr>
        <w:bidi/>
        <w:spacing w:before="60" w:after="60"/>
        <w:jc w:val="center"/>
      </w:pPr>
      <w:r>
        <w:rPr>
          <w:rFonts w:ascii="Arial" w:cs="Arial" w:eastAsia="Arial" w:hAnsi="Arial"/>
          <w:b/>
          <w:bCs/>
          <w:color w:val="2E6DA4"/>
          <w:sz w:val="30"/>
          <w:szCs w:val="30"/>
        </w:rPr>
        <w:t xml:space="preserve">نموذج متكامل للخليفة المسؤول في العصر الرقمي</w:t>
      </w:r>
    </w:p>
    <w:p>
      <w:pPr>
        <w:pBdr>
          <w:bottom w:val="single" w:color="B8860B" w:sz="8" w:space="1"/>
        </w:pBdr>
        <w:spacing w:before="60" w:after="400"/>
        <w:jc w:val="center"/>
      </w:pPr>
      <w:r>
        <w:rPr>
          <w:rFonts w:ascii="Arial" w:cs="Arial" w:eastAsia="Arial" w:hAnsi="Arial"/>
          <w:color w:val="8B6914"/>
          <w:sz w:val="22"/>
          <w:szCs w:val="22"/>
        </w:rPr>
        <w:t xml:space="preserve">تركيب نظري وعملي يجمع مفهوم الاستخلاف بالواقع الرقمي المعاصر في رؤية متماسكة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وَإِذْ قَالَ رَبُّكَ لِلْمَلَائِكَةِ إِنِّي جَاعِلٌ فِي الْأَرْضِ خَلِيفَةً</w:t>
      </w:r>
      <w:r>
        <w:rPr>
          <w:rFonts w:ascii="Arial" w:cs="Arial" w:eastAsia="Arial" w:hAnsi="Arial"/>
          <w:color w:val="8B6914"/>
          <w:sz w:val="20"/>
          <w:szCs w:val="20"/>
        </w:rPr>
        <w:br/>
        <w:t xml:space="preserve">
— البقرة: ٣٠</w:t>
      </w:r>
    </w:p>
    <w:p>
      <w:pPr>
        <w:spacing w:before="100" w:after="100"/>
      </w:pPr>
    </w:p>
    <w:p>
      <w:pPr>
        <w:bidi/>
        <w:spacing w:before="150" w:after="170" w:line="400"/>
        <w:ind w:firstLine="720"/>
      </w:pPr>
      <w:r>
        <w:rPr>
          <w:rFonts w:ascii="Arial" w:cs="Arial" w:eastAsia="Arial" w:hAnsi="Arial"/>
          <w:b w:val="false"/>
          <w:bCs w:val="false"/>
          <w:color w:val="1A1A1A"/>
          <w:sz w:val="24"/>
          <w:szCs w:val="24"/>
        </w:rPr>
        <w:t xml:space="preserve">منذ الآية الأولى التي تُعلن استخلاف الإنسان في الأرض، والقرآن يضع أمامه سؤالاً لم يتوقف عن طرحه عبر العصور: كيف تكون خليفةً؟ في كل عصر يأتي هذا السؤال بثوب جديد. في عصر الزراعة كان السؤال: كيف تعمّر الأرض؟ في عصر الصناعة: كيف تُسخّر الطاقة؟ وفي عصرنا هذا — عصر الخوارزمية والبيانات والانتباه المُخطوف — السؤال هو: كيف تبقى خليفةً وأنت مُحاط بمنظومة صُمِّمت لتحويلك إلى مستهلك؟</w:t>
      </w:r>
    </w:p>
    <w:p>
      <w:pPr>
        <w:bidi/>
        <w:spacing w:before="150" w:after="170" w:line="400"/>
        <w:ind w:firstLine="720"/>
      </w:pPr>
      <w:r>
        <w:rPr>
          <w:rFonts w:ascii="Arial" w:cs="Arial" w:eastAsia="Arial" w:hAnsi="Arial"/>
          <w:b w:val="false"/>
          <w:bCs w:val="false"/>
          <w:color w:val="1A1A1A"/>
          <w:sz w:val="24"/>
          <w:szCs w:val="24"/>
        </w:rPr>
        <w:t xml:space="preserve">هذا الفصل السادس هو الفصل التركيبي في هذه الأطروحة — يجمع كل ما سبق في نموذج متكامل: الاستخلاف الرقمي الواعي. نموذج لا يرفض التكنولوجيا ولا يستسلم لها — بل يُعيد تعريف العلاقة بينهما على أساس الغاية الوجودية التي خُلق الإنسان من أجلها.</w:t>
      </w:r>
    </w:p>
    <w:p>
      <w:pPr>
        <w:spacing w:before="80" w:after="8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١ — تعريف الاستخلاف الرقمي الواعي</w:t>
      </w:r>
    </w:p>
    <w:p>
      <w:pPr>
        <w:bidi/>
        <w:spacing w:before="320" w:after="160"/>
        <w:jc w:val="right"/>
      </w:pPr>
      <w:r>
        <w:rPr>
          <w:rFonts w:ascii="Arial" w:cs="Arial" w:eastAsia="Arial" w:hAnsi="Arial"/>
          <w:b/>
          <w:bCs/>
          <w:color w:val="2E6DA4"/>
          <w:sz w:val="30"/>
          <w:szCs w:val="30"/>
        </w:rPr>
        <w:t xml:space="preserve">١-١ من هو الخليفة في العصر الرقمي؟</w:t>
      </w:r>
    </w:p>
    <w:p>
      <w:pPr>
        <w:bidi/>
        <w:spacing w:before="150" w:after="170" w:line="400"/>
        <w:ind w:firstLine="720"/>
      </w:pPr>
      <w:r>
        <w:rPr>
          <w:rFonts w:ascii="Arial" w:cs="Arial" w:eastAsia="Arial" w:hAnsi="Arial"/>
          <w:b w:val="false"/>
          <w:bCs w:val="false"/>
          <w:color w:val="1A1A1A"/>
          <w:sz w:val="24"/>
          <w:szCs w:val="24"/>
        </w:rPr>
        <w:t xml:space="preserve">الخليفة في المفهوم القرآني ليس ملكاً يحكم ولا راهباً يعتزل — بل هو إنسان يُعمّر الأرض بوعي ومسؤولية، واضعاً كل ما وُهب من قدرات في خدمة الغاية التي خُلق من أجلها. وهذا التعريف قابل للتطبيق في كل زمان ومكان، بما في ذلك الفضاء الرقمي.</w:t>
      </w:r>
    </w:p>
    <w:p>
      <w:pPr>
        <w:bidi/>
        <w:spacing w:before="150" w:after="170" w:line="400"/>
        <w:ind w:firstLine="720"/>
      </w:pPr>
      <w:r>
        <w:rPr>
          <w:rFonts w:ascii="Arial" w:cs="Arial" w:eastAsia="Arial" w:hAnsi="Arial"/>
          <w:b w:val="false"/>
          <w:bCs w:val="false"/>
          <w:color w:val="1A1A1A"/>
          <w:sz w:val="24"/>
          <w:szCs w:val="24"/>
        </w:rPr>
        <w:t xml:space="preserve">الخليفة الرقمي الواعي ليس من يرفض الهاتف الذكي أو يُحرّم التواصل الاجتماعي — بل هو من يستخدم التكنولوجيا بنية استخلافية واضحة: يُنتج أكثر مما يستهلك، ويمنح أكثر مما يأخذ، ويُحضر وعيه في الفضاء الرقمي كما يُحضره في الفضاء الحقيقي.</w:t>
      </w:r>
    </w:p>
    <w:p>
      <w:pPr>
        <w:pBdr>
          <w:top w:val="single" w:color="2E6DA4" w:sz="2"/>
          <w:bottom w:val="single" w:color="2E6DA4" w:sz="2"/>
          <w:left w:val="single" w:color="2E6DA4" w:sz="14"/>
          <w:right w:val="single" w:color="2E6DA4" w:sz="14"/>
        </w:pBdr>
        <w:shd w:fill="EBF3FB" w:val="clear"/>
        <w:bidi/>
        <w:spacing w:before="200" w:after="160"/>
      </w:pPr>
      <w:r>
        <w:rPr>
          <w:rFonts w:ascii="Arial" w:cs="Arial" w:eastAsia="Arial" w:hAnsi="Arial"/>
          <w:color w:val="1A3C5E"/>
          <w:sz w:val="22"/>
          <w:szCs w:val="22"/>
        </w:rPr>
        <w:t xml:space="preserve">الاستخلاف الرقمي الواعي = استخدام التكنولوجيا في خدمة الغاية الوجودية، بأدوات التزكية القرآنية، مع وعي كامل بآليات الاستهداف الخوارزمي.</w:t>
      </w:r>
    </w:p>
    <w:p>
      <w:pPr>
        <w:bidi/>
        <w:spacing w:before="320" w:after="160"/>
        <w:jc w:val="right"/>
      </w:pPr>
      <w:r>
        <w:rPr>
          <w:rFonts w:ascii="Arial" w:cs="Arial" w:eastAsia="Arial" w:hAnsi="Arial"/>
          <w:b/>
          <w:bCs/>
          <w:color w:val="2E6DA4"/>
          <w:sz w:val="30"/>
          <w:szCs w:val="30"/>
        </w:rPr>
        <w:t xml:space="preserve">١-٢ الفرق بين ثلاثة مواقف من التكنولوجيا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600"/>
        <w:gridCol w:w="2300"/>
        <w:gridCol w:w="2026"/>
      </w:tblGrid>
      <w:tr>
        <w:tc>
          <w:tcPr>
            <w:tcW w:type="dxa" w:w="21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الموقف</w:t>
            </w:r>
          </w:p>
        </w:tc>
        <w:tc>
          <w:tcPr>
            <w:tcW w:type="dxa" w:w="26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التعريف</w:t>
            </w:r>
          </w:p>
        </w:tc>
        <w:tc>
          <w:tcPr>
            <w:tcW w:type="dxa" w:w="23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الإشكالية</w:t>
            </w:r>
          </w:p>
        </w:tc>
        <w:tc>
          <w:tcPr>
            <w:tcW w:type="dxa" w:w="20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الموقف القرآني منه</w:t>
            </w:r>
          </w:p>
        </w:tc>
      </w:tr>
      <w:tr>
        <w:tc>
          <w:tcPr>
            <w:tcW w:type="dxa" w:w="21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الاستسلام الرقمي</w:t>
            </w:r>
          </w:p>
        </w:tc>
        <w:tc>
          <w:tcPr>
            <w:tcW w:type="dxa" w:w="2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الانجراف الكامل مع الخوارزمية بلا وعي</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الأمارة تُهيمن واللوامة تخمد</w:t>
            </w:r>
          </w:p>
        </w:tc>
        <w:tc>
          <w:tcPr>
            <w:tcW w:type="dxa" w:w="20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مذموم — يُفقد الاستخلاف</w:t>
            </w:r>
          </w:p>
        </w:tc>
      </w:tr>
      <w:tr>
        <w:tc>
          <w:tcPr>
            <w:tcW w:type="dxa" w:w="21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الرفض الرقمي</w:t>
            </w:r>
          </w:p>
        </w:tc>
        <w:tc>
          <w:tcPr>
            <w:tcW w:type="dxa" w:w="26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الانقطاع الكامل عن التكنولوجيا</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تعطيل أداة يمكن توظيفها</w:t>
            </w:r>
          </w:p>
        </w:tc>
        <w:tc>
          <w:tcPr>
            <w:tcW w:type="dxa" w:w="20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غير مطلوب — يُعطّل الاستخلاف</w:t>
            </w:r>
          </w:p>
        </w:tc>
      </w:tr>
      <w:tr>
        <w:tc>
          <w:tcPr>
            <w:tcW w:type="dxa" w:w="21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الاستخلاف الرقمي</w:t>
            </w:r>
          </w:p>
        </w:tc>
        <w:tc>
          <w:tcPr>
            <w:tcW w:type="dxa" w:w="2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الاستخدام الواعي بنية وحدود وغاية</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يحتاج تدريباً وانضباطاً مستمرين</w:t>
            </w:r>
          </w:p>
        </w:tc>
        <w:tc>
          <w:tcPr>
            <w:tcW w:type="dxa" w:w="20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مطلوب — يُكمل الاستخلاف</w:t>
            </w:r>
          </w:p>
        </w:tc>
      </w:tr>
    </w:tbl>
    <w:p>
      <w:pPr>
        <w:spacing w:before="120" w:after="120"/>
      </w:pPr>
    </w:p>
    <w:p>
      <w:pPr>
        <w:bidi/>
        <w:spacing w:before="320" w:after="160"/>
        <w:jc w:val="right"/>
      </w:pPr>
      <w:r>
        <w:rPr>
          <w:rFonts w:ascii="Arial" w:cs="Arial" w:eastAsia="Arial" w:hAnsi="Arial"/>
          <w:b/>
          <w:bCs/>
          <w:color w:val="2E6DA4"/>
          <w:sz w:val="30"/>
          <w:szCs w:val="30"/>
        </w:rPr>
        <w:t xml:space="preserve">١-٣ الأساس النظري: لماذا الاستخلاف لا الزهد؟</w:t>
      </w:r>
    </w:p>
    <w:p>
      <w:pPr>
        <w:bidi/>
        <w:spacing w:before="150" w:after="170" w:line="400"/>
        <w:ind w:firstLine="720"/>
      </w:pPr>
      <w:r>
        <w:rPr>
          <w:rFonts w:ascii="Arial" w:cs="Arial" w:eastAsia="Arial" w:hAnsi="Arial"/>
          <w:b w:val="false"/>
          <w:bCs w:val="false"/>
          <w:color w:val="1A1A1A"/>
          <w:sz w:val="24"/>
          <w:szCs w:val="24"/>
        </w:rPr>
        <w:t xml:space="preserve">قد يتساءل البعض: لماذا لا يكون الجواب الأمثل هو الابتعاد الكامل عن الفضاء الرقمي؟ ثمة ثلاثة أسباب تجعل الاستخلاف الرقمي أكثر انسجاماً مع الرؤية القرآنية من الزهد الرقمي المطلق:</w:t>
      </w:r>
    </w:p>
    <w:p>
      <w:pPr>
        <w:bidi/>
        <w:spacing w:before="150" w:after="170" w:line="400"/>
        <w:ind w:firstLine="720"/>
      </w:pPr>
      <w:r>
        <w:rPr>
          <w:rFonts w:ascii="Arial" w:cs="Arial" w:eastAsia="Arial" w:hAnsi="Arial"/>
          <w:b/>
          <w:bCs/>
          <w:color w:val="1A1A1A"/>
          <w:sz w:val="24"/>
          <w:szCs w:val="24"/>
        </w:rPr>
        <w:t xml:space="preserve">السبب الأول — الشمولية:</w:t>
      </w:r>
      <w:r>
        <w:rPr>
          <w:rFonts w:ascii="Arial" w:cs="Arial" w:eastAsia="Arial" w:hAnsi="Arial"/>
          <w:color w:val="1A1A1A"/>
          <w:sz w:val="24"/>
          <w:szCs w:val="24"/>
        </w:rPr>
        <w:t xml:space="preserve">  الإسلام دين شامل لكل مناحي الحياة. والفضاء الرقمي اليوم جزء جوهري من الحياة البشرية — فيه التعليم والعمل والدعوة والتواصل الأسري. الغياب عنه ليس نقاءً بل تقصيراً في المشاركة.</w:t>
      </w:r>
    </w:p>
    <w:p>
      <w:pPr>
        <w:bidi/>
        <w:spacing w:before="150" w:after="170" w:line="400"/>
        <w:ind w:firstLine="720"/>
      </w:pPr>
      <w:r>
        <w:rPr>
          <w:rFonts w:ascii="Arial" w:cs="Arial" w:eastAsia="Arial" w:hAnsi="Arial"/>
          <w:b/>
          <w:bCs/>
          <w:color w:val="1A1A1A"/>
          <w:sz w:val="24"/>
          <w:szCs w:val="24"/>
        </w:rPr>
        <w:t xml:space="preserve">السبب الثاني — الشهادة:</w:t>
      </w:r>
      <w:r>
        <w:rPr>
          <w:rFonts w:ascii="Arial" w:cs="Arial" w:eastAsia="Arial" w:hAnsi="Arial"/>
          <w:color w:val="1A1A1A"/>
          <w:sz w:val="24"/>
          <w:szCs w:val="24"/>
        </w:rPr>
        <w:t xml:space="preserve">  الإسلام يُكلّف المسلم أن يكون شاهداً على الناس — وهذه الشهادة اليوم تمر جزئياً عبر الفضاء الرقمي. الغياب عن هذا الفضاء قد يعني غياب الصوت القرآني عن ساحة يملؤها غيره.</w:t>
      </w:r>
    </w:p>
    <w:p>
      <w:pPr>
        <w:bidi/>
        <w:spacing w:before="150" w:after="170" w:line="400"/>
        <w:ind w:firstLine="720"/>
      </w:pPr>
      <w:r>
        <w:rPr>
          <w:rFonts w:ascii="Arial" w:cs="Arial" w:eastAsia="Arial" w:hAnsi="Arial"/>
          <w:b/>
          <w:bCs/>
          <w:color w:val="1A1A1A"/>
          <w:sz w:val="24"/>
          <w:szCs w:val="24"/>
        </w:rPr>
        <w:t xml:space="preserve">السبب الثالث — التزكية في المواجهة:</w:t>
      </w:r>
      <w:r>
        <w:rPr>
          <w:rFonts w:ascii="Arial" w:cs="Arial" w:eastAsia="Arial" w:hAnsi="Arial"/>
          <w:color w:val="1A1A1A"/>
          <w:sz w:val="24"/>
          <w:szCs w:val="24"/>
        </w:rPr>
        <w:t xml:space="preserve">  النفس لا تُزكَّى في الفراغ بل في المواجهة. والإنسان الذي يتعلم كيف يُحضر وعيه الاستخلافي في الفضاء الرقمي يبلغ من التزكية ما لا يبلغه من يهرب منه.</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٢ — أبعاد الاستخلاف الرقمي الواعي</w:t>
      </w:r>
    </w:p>
    <w:p>
      <w:pPr>
        <w:bidi/>
        <w:spacing w:before="320" w:after="160"/>
        <w:jc w:val="right"/>
      </w:pPr>
      <w:r>
        <w:rPr>
          <w:rFonts w:ascii="Arial" w:cs="Arial" w:eastAsia="Arial" w:hAnsi="Arial"/>
          <w:b/>
          <w:bCs/>
          <w:color w:val="2E6DA4"/>
          <w:sz w:val="30"/>
          <w:szCs w:val="30"/>
        </w:rPr>
        <w:t xml:space="preserve">٢-١ البُعد الأول: النية — تحويل العادة إلى عبادة</w:t>
      </w:r>
    </w:p>
    <w:p>
      <w:pPr>
        <w:bidi/>
        <w:spacing w:before="150" w:after="170" w:line="400"/>
        <w:ind w:firstLine="720"/>
      </w:pPr>
      <w:r>
        <w:rPr>
          <w:rFonts w:ascii="Arial" w:cs="Arial" w:eastAsia="Arial" w:hAnsi="Arial"/>
          <w:b w:val="false"/>
          <w:bCs w:val="false"/>
          <w:color w:val="1A1A1A"/>
          <w:sz w:val="24"/>
          <w:szCs w:val="24"/>
        </w:rPr>
        <w:t xml:space="preserve">أعمق ما يُقدّمه الإسلام في مواجهة الأزمة الرقمية هو مفهوم النية. فالنية تُحوّل الفعل من حركة آلية إلى فعل واعٍ، ومن عادة إلى عبادة، ومن استهلاك إلى استخلاف. وهذا التحول لا يتطلب تغيير السلوك بل تغيير الوعي المرافق له.</w:t>
      </w:r>
    </w:p>
    <w:p>
      <w:pPr>
        <w:pBdr>
          <w:right w:val="single" w:color="2E6DA4" w:sz="20" w:space="6"/>
        </w:pBdr>
        <w:bidi/>
        <w:spacing w:before="220" w:after="160"/>
        <w:ind w:left="500" w:right="900"/>
      </w:pPr>
      <w:r>
        <w:rPr>
          <w:rFonts w:ascii="Arial" w:cs="Arial" w:eastAsia="Arial" w:hAnsi="Arial"/>
          <w:color w:val="2A2A2A"/>
          <w:sz w:val="23"/>
          <w:szCs w:val="23"/>
        </w:rPr>
        <w:t xml:space="preserve">"إِنَّمَا الأَعمَالُ بِالنِّيَّاتِ وَإِنَّمَا لِكُلِّ امرِئٍ مَا نَوَى"</w:t>
      </w:r>
      <w:r>
        <w:rPr>
          <w:rFonts w:ascii="Arial" w:cs="Arial" w:eastAsia="Arial" w:hAnsi="Arial"/>
          <w:color w:val="555555"/>
          <w:sz w:val="20"/>
          <w:szCs w:val="20"/>
        </w:rPr>
        <w:br/>
        <w:t xml:space="preserve">
— صحيح البخاري، كتاب بدء الوحي، ص. حديث ١</w:t>
      </w:r>
    </w:p>
    <w:p>
      <w:pPr>
        <w:bidi/>
        <w:spacing w:before="150" w:after="170" w:line="400"/>
        <w:ind w:firstLine="720"/>
      </w:pPr>
      <w:r>
        <w:rPr>
          <w:rFonts w:ascii="Arial" w:cs="Arial" w:eastAsia="Arial" w:hAnsi="Arial"/>
          <w:b w:val="false"/>
          <w:bCs w:val="false"/>
          <w:color w:val="1A1A1A"/>
          <w:sz w:val="24"/>
          <w:szCs w:val="24"/>
        </w:rPr>
        <w:t xml:space="preserve">هذا الحديث النبوي — أول حديث في صحيح البخاري — يُعلن مبدأً وجودياً شاملاً: قيمة الفعل بقصده لا بشكله. وتطبيقه الرقمي يعني أن نفس الفعل — قراءة مقال، مشاركة منشور، التواصل مع شخص — يمكن أن يكون استهلاكاً أمارياً أو عبادةً استخلافية بحسب النية التي تسبقه.</w:t>
      </w:r>
    </w:p>
    <w:p>
      <w:pPr>
        <w:bidi/>
        <w:spacing w:before="220" w:after="110"/>
        <w:jc w:val="right"/>
      </w:pPr>
      <w:r>
        <w:rPr>
          <w:rFonts w:ascii="Arial" w:cs="Arial" w:eastAsia="Arial" w:hAnsi="Arial"/>
          <w:b/>
          <w:bCs/>
          <w:color w:val="4A8FC1"/>
          <w:sz w:val="26"/>
          <w:szCs w:val="26"/>
        </w:rPr>
        <w:t xml:space="preserve">تطبيق عملي: سؤال النية الرقمية</w:t>
      </w:r>
    </w:p>
    <w:p>
      <w:pPr>
        <w:bidi/>
        <w:spacing w:before="150" w:after="170" w:line="400"/>
        <w:ind w:firstLine="720"/>
      </w:pPr>
      <w:r>
        <w:rPr>
          <w:rFonts w:ascii="Arial" w:cs="Arial" w:eastAsia="Arial" w:hAnsi="Arial"/>
          <w:b w:val="false"/>
          <w:bCs w:val="false"/>
          <w:color w:val="1A1A1A"/>
          <w:sz w:val="24"/>
          <w:szCs w:val="24"/>
        </w:rPr>
        <w:t xml:space="preserve">قبل فتح أي تطبيق أو منصة، وقفة قصيرة جداً — ثلاثون ثانية — لسؤال النفس:</w:t>
      </w:r>
    </w:p>
    <w:p>
      <w:pPr>
        <w:bidi/>
        <w:spacing w:before="80" w:after="40" w:line="400"/>
        <w:ind w:firstLine="720"/>
      </w:pPr>
      <w:r>
        <w:rPr>
          <w:rFonts w:ascii="Arial" w:cs="Arial" w:eastAsia="Arial" w:hAnsi="Arial"/>
          <w:color w:val="1A1A1A"/>
          <w:sz w:val="24"/>
          <w:szCs w:val="24"/>
        </w:rPr>
        <w:t xml:space="preserve">• لماذا أفتح هذا الآن؟</w:t>
      </w:r>
    </w:p>
    <w:p>
      <w:pPr>
        <w:bidi/>
        <w:spacing w:before="40" w:after="40" w:line="400"/>
        <w:ind w:firstLine="720"/>
      </w:pPr>
      <w:r>
        <w:rPr>
          <w:rFonts w:ascii="Arial" w:cs="Arial" w:eastAsia="Arial" w:hAnsi="Arial"/>
          <w:color w:val="1A1A1A"/>
          <w:sz w:val="24"/>
          <w:szCs w:val="24"/>
        </w:rPr>
        <w:t xml:space="preserve">• ماذا أريد تحقيقه في هذه الجلسة؟</w:t>
      </w:r>
    </w:p>
    <w:p>
      <w:pPr>
        <w:bidi/>
        <w:spacing w:before="40" w:after="80" w:line="400"/>
        <w:ind w:firstLine="720"/>
      </w:pPr>
      <w:r>
        <w:rPr>
          <w:rFonts w:ascii="Arial" w:cs="Arial" w:eastAsia="Arial" w:hAnsi="Arial"/>
          <w:color w:val="1A1A1A"/>
          <w:sz w:val="24"/>
          <w:szCs w:val="24"/>
        </w:rPr>
        <w:t xml:space="preserve">• هل هذا في خدمة استخلافي أم في خدمة الخوارزمية؟</w:t>
      </w:r>
    </w:p>
    <w:p>
      <w:pPr>
        <w:bidi/>
        <w:spacing w:before="150" w:after="170" w:line="400"/>
        <w:ind w:firstLine="720"/>
      </w:pPr>
      <w:r>
        <w:rPr>
          <w:rFonts w:ascii="Arial" w:cs="Arial" w:eastAsia="Arial" w:hAnsi="Arial"/>
          <w:b w:val="false"/>
          <w:bCs w:val="false"/>
          <w:color w:val="1A1A1A"/>
          <w:sz w:val="24"/>
          <w:szCs w:val="24"/>
        </w:rPr>
        <w:t xml:space="preserve">هذا السؤال الثلاثي يُفعّل اللوامة قبل بداية الجلسة لا بعدها — وهذا هو الاستباق الذي يجعل الاستخلاف ممكناً.</w:t>
      </w:r>
    </w:p>
    <w:p>
      <w:pPr>
        <w:bidi/>
        <w:spacing w:before="320" w:after="160"/>
        <w:jc w:val="right"/>
      </w:pPr>
      <w:r>
        <w:rPr>
          <w:rFonts w:ascii="Arial" w:cs="Arial" w:eastAsia="Arial" w:hAnsi="Arial"/>
          <w:b/>
          <w:bCs/>
          <w:color w:val="2E6DA4"/>
          <w:sz w:val="30"/>
          <w:szCs w:val="30"/>
        </w:rPr>
        <w:t xml:space="preserve">٢-٢ البُعد الثاني: الإنتاج — من المستهلك إلى المنتج</w:t>
      </w:r>
    </w:p>
    <w:p>
      <w:pPr>
        <w:bidi/>
        <w:spacing w:before="150" w:after="170" w:line="400"/>
        <w:ind w:firstLine="720"/>
      </w:pPr>
      <w:r>
        <w:rPr>
          <w:rFonts w:ascii="Arial" w:cs="Arial" w:eastAsia="Arial" w:hAnsi="Arial"/>
          <w:b w:val="false"/>
          <w:bCs w:val="false"/>
          <w:color w:val="1A1A1A"/>
          <w:sz w:val="24"/>
          <w:szCs w:val="24"/>
        </w:rPr>
        <w:t xml:space="preserve">الخوارزمية تُصمَّم لتحويل الإنسان إلى مستهلك سلبي — يتلقى المحتوى ويُعيد نشره ويُعطي إعجاباته وانتباهه. أما الخليفة المسؤول فهو بطبيعته مُنتِج — يُضيف إلى الوجود ولا يكتفي باستهلاكه.</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وَقُلِ اعْمَلُوا فَسَيَرَى اللَّهُ عَمَلَكُمْ وَرَسُولُهُ وَالْمُؤْمِنُونَ</w:t>
      </w:r>
      <w:r>
        <w:rPr>
          <w:rFonts w:ascii="Arial" w:cs="Arial" w:eastAsia="Arial" w:hAnsi="Arial"/>
          <w:color w:val="8B6914"/>
          <w:sz w:val="20"/>
          <w:szCs w:val="20"/>
        </w:rPr>
        <w:br/>
        <w:t xml:space="preserve">
— التوبة: ١٠٥</w:t>
      </w:r>
    </w:p>
    <w:p>
      <w:pPr>
        <w:bidi/>
        <w:spacing w:before="150" w:after="170" w:line="400"/>
        <w:ind w:firstLine="720"/>
      </w:pPr>
      <w:r>
        <w:rPr>
          <w:rFonts w:ascii="Arial" w:cs="Arial" w:eastAsia="Arial" w:hAnsi="Arial"/>
          <w:b w:val="false"/>
          <w:bCs w:val="false"/>
          <w:color w:val="1A1A1A"/>
          <w:sz w:val="24"/>
          <w:szCs w:val="24"/>
        </w:rPr>
        <w:t xml:space="preserve">'اعملوا' — الأمر بالعمل الإيجابي الفاعل. والعمل في الفضاء الرقمي اليوم يعني: إنتاج محتوى يُنفع، تعليم يُضيء، تواصل يبني، دعوة بالحكمة والموعظة الحسنة. الخليفة الرقمي لا يكتفي بالاستهلاك — بل يُساهم في تشكيل الفضاء الذي يعيش فيه.</w:t>
      </w:r>
    </w:p>
    <w:p>
      <w:pPr>
        <w:pBdr>
          <w:left w:val="single" w:color="2E6DA4" w:sz="20" w:space="6"/>
        </w:pBdr>
        <w:spacing w:before="200" w:after="160"/>
        <w:ind w:left="800" w:right="200"/>
        <w:jc w:val="left"/>
      </w:pPr>
      <w:r>
        <w:rPr>
          <w:rFonts w:ascii="Arial" w:cs="Arial" w:eastAsia="Arial" w:hAnsi="Arial"/>
          <w:color w:val="2A2A2A"/>
          <w:sz w:val="22"/>
          <w:szCs w:val="22"/>
        </w:rPr>
        <w:t xml:space="preserve">« Dans l'économie de l'attention, le créateur est libre et le consommateur est la marchandise. Produire du contenu de valeur est un acte de résistance contre la logique extractiviste des plateformes. »</w:t>
      </w:r>
      <w:r>
        <w:rPr>
          <w:rFonts w:ascii="Arial" w:cs="Arial" w:eastAsia="Arial" w:hAnsi="Arial"/>
          <w:color w:val="666666"/>
          <w:sz w:val="19"/>
          <w:szCs w:val="19"/>
        </w:rPr>
        <w:br/>
        <w:t xml:space="preserve">
— Douglas Rushkoff — Programme or Be Programmed: Ten Commands for a Digital Age (2010), OR Books, New York, p. 17</w:t>
      </w:r>
    </w:p>
    <w:p>
      <w:pPr>
        <w:bidi/>
        <w:spacing w:before="150" w:after="170" w:line="400"/>
        <w:ind w:firstLine="720"/>
      </w:pPr>
      <w:r>
        <w:rPr>
          <w:rFonts w:ascii="Arial" w:cs="Arial" w:eastAsia="Arial" w:hAnsi="Arial"/>
          <w:b w:val="false"/>
          <w:bCs w:val="false"/>
          <w:color w:val="1A1A1A"/>
          <w:sz w:val="24"/>
          <w:szCs w:val="24"/>
        </w:rPr>
        <w:t xml:space="preserve">ما يُقدّمه روشكوف من منظور إعلامي نقدي يتوافق تماماً مع المفهوم القرآني للاستخلاف: الإنتاج مقاومة للاستهلاك، والعطاء مقاومة للأخذ. والخليفة المسؤول في الفضاء الرقمي يُنتج ما يُعمّر لا ما يُدمّر.</w:t>
      </w:r>
    </w:p>
    <w:p>
      <w:pPr>
        <w:bidi/>
        <w:spacing w:before="320" w:after="160"/>
        <w:jc w:val="right"/>
      </w:pPr>
      <w:r>
        <w:rPr>
          <w:rFonts w:ascii="Arial" w:cs="Arial" w:eastAsia="Arial" w:hAnsi="Arial"/>
          <w:b/>
          <w:bCs/>
          <w:color w:val="2E6DA4"/>
          <w:sz w:val="30"/>
          <w:szCs w:val="30"/>
        </w:rPr>
        <w:t xml:space="preserve">٢-٣ البُعد الثالث: الأمانة — المسؤولية عن التأثير</w:t>
      </w:r>
    </w:p>
    <w:p>
      <w:pPr>
        <w:bidi/>
        <w:spacing w:before="150" w:after="170" w:line="400"/>
        <w:ind w:firstLine="720"/>
      </w:pPr>
      <w:r>
        <w:rPr>
          <w:rFonts w:ascii="Arial" w:cs="Arial" w:eastAsia="Arial" w:hAnsi="Arial"/>
          <w:b w:val="false"/>
          <w:bCs w:val="false"/>
          <w:color w:val="1A1A1A"/>
          <w:sz w:val="24"/>
          <w:szCs w:val="24"/>
        </w:rPr>
        <w:t xml:space="preserve">الاستخلاف مسؤولية لا مجرد حق. وهذا يعني أن الخليفة الرقمي يحمل أمانة ما ينشره وما يُشارك وما يُضخّم. كل منشور يُعيد نشره إعلان عن قيمة، وكل محتوى يُشاركه تأييد لرسالة، وكل انخراط في نقاش ترسيخ لموقف — سواء أدرك ذلك أم لم يُدرك.</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مَّا يَلْفِظُ مِن قَوْلٍ إِلَّا لَدَيْهِ رَقِيبٌ عَتِيدٌ</w:t>
      </w:r>
      <w:r>
        <w:rPr>
          <w:rFonts w:ascii="Arial" w:cs="Arial" w:eastAsia="Arial" w:hAnsi="Arial"/>
          <w:color w:val="8B6914"/>
          <w:sz w:val="20"/>
          <w:szCs w:val="20"/>
        </w:rPr>
        <w:br/>
        <w:t xml:space="preserve">
— ق: ١٨</w:t>
      </w:r>
    </w:p>
    <w:p>
      <w:pPr>
        <w:bidi/>
        <w:spacing w:before="150" w:after="170" w:line="400"/>
        <w:ind w:firstLine="720"/>
      </w:pPr>
      <w:r>
        <w:rPr>
          <w:rFonts w:ascii="Arial" w:cs="Arial" w:eastAsia="Arial" w:hAnsi="Arial"/>
          <w:b w:val="false"/>
          <w:bCs w:val="false"/>
          <w:color w:val="1A1A1A"/>
          <w:sz w:val="24"/>
          <w:szCs w:val="24"/>
        </w:rPr>
        <w:t xml:space="preserve">'ما يلفظ من قول' — والتعليق الرقمي والمنشور والإعجاب كلها أقوال في سجل الأمانة. والخليفة المسؤول في الفضاء الرقمي يُدرك هذه المسؤولية ويُصمّم تصرفاته بناءً عليها لا بناءً على ما تُقترحه الخوارزمية.</w:t>
      </w:r>
    </w:p>
    <w:p>
      <w:pPr>
        <w:bidi/>
        <w:spacing w:before="320" w:after="160"/>
        <w:jc w:val="right"/>
      </w:pPr>
      <w:r>
        <w:rPr>
          <w:rFonts w:ascii="Arial" w:cs="Arial" w:eastAsia="Arial" w:hAnsi="Arial"/>
          <w:b/>
          <w:bCs/>
          <w:color w:val="2E6DA4"/>
          <w:sz w:val="30"/>
          <w:szCs w:val="30"/>
        </w:rPr>
        <w:t xml:space="preserve">٢-٤ البُعد الرابع: العدالة — مقاومة الانقسام</w:t>
      </w:r>
    </w:p>
    <w:p>
      <w:pPr>
        <w:bidi/>
        <w:spacing w:before="150" w:after="170" w:line="400"/>
        <w:ind w:firstLine="720"/>
      </w:pPr>
      <w:r>
        <w:rPr>
          <w:rFonts w:ascii="Arial" w:cs="Arial" w:eastAsia="Arial" w:hAnsi="Arial"/>
          <w:b w:val="false"/>
          <w:bCs w:val="false"/>
          <w:color w:val="1A1A1A"/>
          <w:sz w:val="24"/>
          <w:szCs w:val="24"/>
        </w:rPr>
        <w:t xml:space="preserve">من أخطر ما تصنعه الخوارزمية اجتماعياً أنها تُعمّق الانقسام — لأن المحتوى المثير للغضب والانقسام يحظى بانخراط أعلى فتُوسّع الخوارزمية توزيعه تلقائياً. وهذا يعني أن الفضاء الرقمي المتروك لمنطقه الخوارزمي يسير نحو التطرف والاحتراب.</w:t>
      </w:r>
    </w:p>
    <w:p>
      <w:pPr>
        <w:bidi/>
        <w:spacing w:before="150" w:after="170" w:line="400"/>
        <w:ind w:firstLine="720"/>
      </w:pPr>
      <w:r>
        <w:rPr>
          <w:rFonts w:ascii="Arial" w:cs="Arial" w:eastAsia="Arial" w:hAnsi="Arial"/>
          <w:b w:val="false"/>
          <w:bCs w:val="false"/>
          <w:color w:val="1A1A1A"/>
          <w:sz w:val="24"/>
          <w:szCs w:val="24"/>
        </w:rPr>
        <w:t xml:space="preserve">الخليفة المسؤول يُقاوم هذا المنطق بمنطق العدل القرآني — يُؤكد ما يجمع، يمتنع عن نشر ما يُفرّق دون حاجة حقيقية، ويُقدّم شهادة الحق حتى حين تكون ضد مصلحته أو قبيلته:</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يَا أَيُّهَا الَّذِينَ آمَنُوا كُونُوا قَوَّامِينَ بِالْقِسْطِ شُهَدَاءَ لِلَّهِ وَلَوْ عَلَىٰ أَنفُسِكُمْ</w:t>
      </w:r>
      <w:r>
        <w:rPr>
          <w:rFonts w:ascii="Arial" w:cs="Arial" w:eastAsia="Arial" w:hAnsi="Arial"/>
          <w:color w:val="8B6914"/>
          <w:sz w:val="20"/>
          <w:szCs w:val="20"/>
        </w:rPr>
        <w:br/>
        <w:t xml:space="preserve">
— النساء: ١٣٥</w:t>
      </w:r>
    </w:p>
    <w:p>
      <w:pPr>
        <w:bidi/>
        <w:spacing w:before="150" w:after="170" w:line="400"/>
        <w:ind w:firstLine="720"/>
      </w:pPr>
      <w:r>
        <w:rPr>
          <w:rFonts w:ascii="Arial" w:cs="Arial" w:eastAsia="Arial" w:hAnsi="Arial"/>
          <w:b w:val="false"/>
          <w:bCs w:val="false"/>
          <w:color w:val="1A1A1A"/>
          <w:sz w:val="24"/>
          <w:szCs w:val="24"/>
        </w:rPr>
        <w:t xml:space="preserve">'قوّامين بالقسط' — صيغة المبالغة والمداومة: لا يكتفي بالعدل مرةً بل يُقيمه باستمرار، ولا يُطبّقه انتقائياً بل حتى على نفسه. وهذا الموقف في الفضاء الرقمي يعني رفض الانجراف مع حشود الغضب والانقسام مهما كانت مغرية.</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٣ — نموذج الخليفة الرقمي: الصورة الكاملة</w:t>
      </w:r>
    </w:p>
    <w:p>
      <w:pPr>
        <w:bidi/>
        <w:spacing w:before="320" w:after="160"/>
        <w:jc w:val="right"/>
      </w:pPr>
      <w:r>
        <w:rPr>
          <w:rFonts w:ascii="Arial" w:cs="Arial" w:eastAsia="Arial" w:hAnsi="Arial"/>
          <w:b/>
          <w:bCs/>
          <w:color w:val="2E6DA4"/>
          <w:sz w:val="30"/>
          <w:szCs w:val="30"/>
        </w:rPr>
        <w:t xml:space="preserve">٣-١ ثمانية سمات الخليفة الرقمي الواعي</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400"/>
        <w:gridCol w:w="2000"/>
        <w:gridCol w:w="2726"/>
      </w:tblGrid>
      <w:tr>
        <w:tc>
          <w:tcPr>
            <w:tcW w:type="dxa" w:w="19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السمة</w:t>
            </w:r>
          </w:p>
        </w:tc>
        <w:tc>
          <w:tcPr>
            <w:tcW w:type="dxa" w:w="24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التعريف</w:t>
            </w:r>
          </w:p>
        </w:tc>
        <w:tc>
          <w:tcPr>
            <w:tcW w:type="dxa" w:w="20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الضلع المُقوَّى</w:t>
            </w:r>
          </w:p>
        </w:tc>
        <w:tc>
          <w:tcPr>
            <w:tcW w:type="dxa" w:w="27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الممارسة الرقمية</w:t>
            </w:r>
          </w:p>
        </w:tc>
      </w:tr>
      <w:tr>
        <w:tc>
          <w:tcPr>
            <w:tcW w:type="dxa" w:w="19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الحضور الواعي</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يُحضر وعيه الكامل في كل جلسة رقمية</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اللوامة فاعلة</w:t>
            </w:r>
          </w:p>
        </w:tc>
        <w:tc>
          <w:tcPr>
            <w:tcW w:type="dxa" w:w="27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سؤال النية قبل كل جلسة</w:t>
            </w:r>
          </w:p>
        </w:tc>
      </w:tr>
      <w:tr>
        <w:tc>
          <w:tcPr>
            <w:tcW w:type="dxa" w:w="19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الإنتاجية الهادفة</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يُنتج محتوى يُنفع أكثر مما يستهلك</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الاستخلاف فاعل</w:t>
            </w:r>
          </w:p>
        </w:tc>
        <w:tc>
          <w:tcPr>
            <w:tcW w:type="dxa" w:w="27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نسبة إنتاج/استهلاك 1:3 على الأقل</w:t>
            </w:r>
          </w:p>
        </w:tc>
      </w:tr>
      <w:tr>
        <w:tc>
          <w:tcPr>
            <w:tcW w:type="dxa" w:w="19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الأمانة الرقمية</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يُدرك مسؤوليته عن كل ما ينشر</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اللوامة تُحاسب</w:t>
            </w:r>
          </w:p>
        </w:tc>
        <w:tc>
          <w:tcPr>
            <w:tcW w:type="dxa" w:w="27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تحقق قبل النشر — توقف قبل الإعجاب</w:t>
            </w:r>
          </w:p>
        </w:tc>
      </w:tr>
      <w:tr>
        <w:tc>
          <w:tcPr>
            <w:tcW w:type="dxa" w:w="19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العدالة الرقمية</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يُقاوم منطق الانقسام والغضب</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تُوجّه</w:t>
            </w:r>
          </w:p>
        </w:tc>
        <w:tc>
          <w:tcPr>
            <w:tcW w:type="dxa" w:w="27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رفض نشر المحتوى الاستفزازي</w:t>
            </w:r>
          </w:p>
        </w:tc>
      </w:tr>
      <w:tr>
        <w:tc>
          <w:tcPr>
            <w:tcW w:type="dxa" w:w="19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الحدود الواعية</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يُحدد حدود استخدامه بنية وانضباط</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المجاهدة فاعلة</w:t>
            </w:r>
          </w:p>
        </w:tc>
        <w:tc>
          <w:tcPr>
            <w:tcW w:type="dxa" w:w="27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تحديد أوقات وأهداف كل جلسة</w:t>
            </w:r>
          </w:p>
        </w:tc>
      </w:tr>
      <w:tr>
        <w:tc>
          <w:tcPr>
            <w:tcW w:type="dxa" w:w="19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التحرر من الإعجاب</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لا يُقيّم نفسه بعدد الإعجابات</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المطمئنة مرجعية</w:t>
            </w:r>
          </w:p>
        </w:tc>
        <w:tc>
          <w:tcPr>
            <w:tcW w:type="dxa" w:w="27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يستمد قيمته من المرجعية المتعالية</w:t>
            </w:r>
          </w:p>
        </w:tc>
      </w:tr>
      <w:tr>
        <w:tc>
          <w:tcPr>
            <w:tcW w:type="dxa" w:w="19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التجديد المستمر</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يُراجع علاقته بالرقمي دورياً</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التوبة مستمرة</w:t>
            </w:r>
          </w:p>
        </w:tc>
        <w:tc>
          <w:tcPr>
            <w:tcW w:type="dxa" w:w="27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محاسبة أسبوعية شاملة للاستخدام</w:t>
            </w:r>
          </w:p>
        </w:tc>
      </w:tr>
      <w:tr>
        <w:tc>
          <w:tcPr>
            <w:tcW w:type="dxa" w:w="19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الشهادة الرقمية</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يُمثّل القيم القرآنية في الفضاء الرقمي</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الاستخلاف شامل</w:t>
            </w:r>
          </w:p>
        </w:tc>
        <w:tc>
          <w:tcPr>
            <w:tcW w:type="dxa" w:w="27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يُقدّم نموذجاً للاستخدام المسؤول</w:t>
            </w:r>
          </w:p>
        </w:tc>
      </w:tr>
    </w:tbl>
    <w:p>
      <w:pPr>
        <w:spacing w:before="120" w:after="120"/>
      </w:pPr>
    </w:p>
    <w:p>
      <w:pPr>
        <w:bidi/>
        <w:spacing w:before="320" w:after="160"/>
        <w:jc w:val="right"/>
      </w:pPr>
      <w:r>
        <w:rPr>
          <w:rFonts w:ascii="Arial" w:cs="Arial" w:eastAsia="Arial" w:hAnsi="Arial"/>
          <w:b/>
          <w:bCs/>
          <w:color w:val="2E6DA4"/>
          <w:sz w:val="30"/>
          <w:szCs w:val="30"/>
        </w:rPr>
        <w:t xml:space="preserve">٣-٢ الخليفة الرقمي والهرم النفسي: التكامل التام</w:t>
      </w:r>
    </w:p>
    <w:p>
      <w:pPr>
        <w:bidi/>
        <w:spacing w:before="150" w:after="170" w:line="400"/>
        <w:ind w:firstLine="720"/>
      </w:pPr>
      <w:r>
        <w:rPr>
          <w:rFonts w:ascii="Arial" w:cs="Arial" w:eastAsia="Arial" w:hAnsi="Arial"/>
          <w:b w:val="false"/>
          <w:bCs w:val="false"/>
          <w:color w:val="1A1A1A"/>
          <w:sz w:val="24"/>
          <w:szCs w:val="24"/>
        </w:rPr>
        <w:t xml:space="preserve">الخليفة الرقمي الواعي هو الإنسان الذي نجح في تفعيل الأضلاع الثمانية كلها في مواجهة التحدي الرقمي. ليس بصورة كاملة دائمة — فالكمال لله — بل بصورة مستمرة تتضمن الوعي بالانزلاق والعودة إلى المسار:</w:t>
      </w:r>
    </w:p>
    <w:p>
      <w:pPr>
        <w:bidi/>
        <w:spacing w:before="150" w:after="170" w:line="400"/>
        <w:ind w:firstLine="720"/>
      </w:pPr>
      <w:r>
        <w:rPr>
          <w:rFonts w:ascii="Arial" w:cs="Arial" w:eastAsia="Arial" w:hAnsi="Arial"/>
          <w:b w:val="false"/>
          <w:bCs w:val="false"/>
          <w:color w:val="1A1A1A"/>
          <w:sz w:val="24"/>
          <w:szCs w:val="24"/>
        </w:rPr>
        <w:t xml:space="preserve">قاعدته الفطرية حية — التقوى تُصدر صوتها حتى وسط الضوضاء الرقمية. لوامته فاعلة — لا تُسكتها الخوارزمية طويلاً لأن الصلاة والذكر يُعيدان تشغيلها. ومطمئنته هدف لا وهم — يسعى إليها بالتزكية المستمرة مدركاً أن الطريق إليها يمر عبر الفضاء الرقمي لا حوله.</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مَنْ عَمِلَ صَالِحًا مِّن ذَكَرٍ أَوْ أُنثَىٰ وَهُوَ مُؤْمِنٌ فَلَنُحْيِيَنَّهُ حَيَاةً طَيِّبَةً</w:t>
      </w:r>
      <w:r>
        <w:rPr>
          <w:rFonts w:ascii="Arial" w:cs="Arial" w:eastAsia="Arial" w:hAnsi="Arial"/>
          <w:color w:val="8B6914"/>
          <w:sz w:val="20"/>
          <w:szCs w:val="20"/>
        </w:rPr>
        <w:br/>
        <w:t xml:space="preserve">
— النحل: ٩٧</w:t>
      </w:r>
    </w:p>
    <w:p>
      <w:pPr>
        <w:bidi/>
        <w:spacing w:before="150" w:after="170" w:line="400"/>
        <w:ind w:firstLine="720"/>
      </w:pPr>
      <w:r>
        <w:rPr>
          <w:rFonts w:ascii="Arial" w:cs="Arial" w:eastAsia="Arial" w:hAnsi="Arial"/>
          <w:b w:val="false"/>
          <w:bCs w:val="false"/>
          <w:color w:val="1A1A1A"/>
          <w:sz w:val="24"/>
          <w:szCs w:val="24"/>
        </w:rPr>
        <w:t xml:space="preserve">'حياةً طيبة' — هذا هو وعد القرآن للخليفة المؤمن العامل. لا وعد بحياة خالية من التحديات أو بعيدة عن الصراع — بل حياة تحتفظ بطابعها الطيب حتى وسط التحديات وبسبب الصراع معها.</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٤ — الاستخلاف الرقمي في ميادينه</w:t>
      </w:r>
    </w:p>
    <w:p>
      <w:pPr>
        <w:bidi/>
        <w:spacing w:before="320" w:after="160"/>
        <w:jc w:val="right"/>
      </w:pPr>
      <w:r>
        <w:rPr>
          <w:rFonts w:ascii="Arial" w:cs="Arial" w:eastAsia="Arial" w:hAnsi="Arial"/>
          <w:b/>
          <w:bCs/>
          <w:color w:val="2E6DA4"/>
          <w:sz w:val="30"/>
          <w:szCs w:val="30"/>
        </w:rPr>
        <w:t xml:space="preserve">٤-١ الميدان الأول: التعليم والمعرفة</w:t>
      </w:r>
    </w:p>
    <w:p>
      <w:pPr>
        <w:bidi/>
        <w:spacing w:before="150" w:after="170" w:line="400"/>
        <w:ind w:firstLine="720"/>
      </w:pPr>
      <w:r>
        <w:rPr>
          <w:rFonts w:ascii="Arial" w:cs="Arial" w:eastAsia="Arial" w:hAnsi="Arial"/>
          <w:b w:val="false"/>
          <w:bCs w:val="false"/>
          <w:color w:val="1A1A1A"/>
          <w:sz w:val="24"/>
          <w:szCs w:val="24"/>
        </w:rPr>
        <w:t xml:space="preserve">الإسلام دين العلم والقراءة — 'اقرأ' أول كلمة في الوحي. والفضاء الرقمي هو أعظم مكتبة في تاريخ البشرية: كل كتاب، كل بحث، كل منهج تعليمي متاح لمن يبحث. الخليفة الرقمي يستثمر هذه الثروة المعرفية لخدمة غايته الاستخلافية:</w:t>
      </w:r>
    </w:p>
    <w:p>
      <w:pPr>
        <w:bidi/>
        <w:spacing w:before="150" w:after="170" w:line="400"/>
        <w:ind w:firstLine="720"/>
      </w:pPr>
      <w:r>
        <w:rPr>
          <w:rFonts w:ascii="Arial" w:cs="Arial" w:eastAsia="Arial" w:hAnsi="Arial"/>
          <w:b/>
          <w:bCs/>
          <w:color w:val="1A1A1A"/>
          <w:sz w:val="24"/>
          <w:szCs w:val="24"/>
        </w:rPr>
        <w:t xml:space="preserve">• البحث المنتظم:</w:t>
      </w:r>
      <w:r>
        <w:rPr>
          <w:rFonts w:ascii="Arial" w:cs="Arial" w:eastAsia="Arial" w:hAnsi="Arial"/>
          <w:color w:val="1A1A1A"/>
          <w:sz w:val="24"/>
          <w:szCs w:val="24"/>
        </w:rPr>
        <w:t xml:space="preserve">  يُخصص وقتاً منتظماً للتعلم عبر المصادر الموثوقة — لا التمرير العشوائي للمحتوى.</w:t>
      </w:r>
    </w:p>
    <w:p>
      <w:pPr>
        <w:bidi/>
        <w:spacing w:before="150" w:after="170" w:line="400"/>
        <w:ind w:firstLine="720"/>
      </w:pPr>
      <w:r>
        <w:rPr>
          <w:rFonts w:ascii="Arial" w:cs="Arial" w:eastAsia="Arial" w:hAnsi="Arial"/>
          <w:b/>
          <w:bCs/>
          <w:color w:val="1A1A1A"/>
          <w:sz w:val="24"/>
          <w:szCs w:val="24"/>
        </w:rPr>
        <w:t xml:space="preserve">• التمييز النقدي:</w:t>
      </w:r>
      <w:r>
        <w:rPr>
          <w:rFonts w:ascii="Arial" w:cs="Arial" w:eastAsia="Arial" w:hAnsi="Arial"/>
          <w:color w:val="1A1A1A"/>
          <w:sz w:val="24"/>
          <w:szCs w:val="24"/>
        </w:rPr>
        <w:t xml:space="preserve">  يملك معيار الحق كمرجعية لتقييم المعلومات — لا يقبل كل ما تُقترحه الخوارزمية.</w:t>
      </w:r>
    </w:p>
    <w:p>
      <w:pPr>
        <w:bidi/>
        <w:spacing w:before="150" w:after="170" w:line="400"/>
        <w:ind w:firstLine="720"/>
      </w:pPr>
      <w:r>
        <w:rPr>
          <w:rFonts w:ascii="Arial" w:cs="Arial" w:eastAsia="Arial" w:hAnsi="Arial"/>
          <w:b/>
          <w:bCs/>
          <w:color w:val="1A1A1A"/>
          <w:sz w:val="24"/>
          <w:szCs w:val="24"/>
        </w:rPr>
        <w:t xml:space="preserve">• نشر العلم النافع:</w:t>
      </w:r>
      <w:r>
        <w:rPr>
          <w:rFonts w:ascii="Arial" w:cs="Arial" w:eastAsia="Arial" w:hAnsi="Arial"/>
          <w:color w:val="1A1A1A"/>
          <w:sz w:val="24"/>
          <w:szCs w:val="24"/>
        </w:rPr>
        <w:t xml:space="preserve">  يُساهم بما تعلمه في الفضاء الرقمي — تطبيقاً لحديث 'خيركم من تعلّم القرآن وعلّمه'.</w:t>
      </w:r>
    </w:p>
    <w:p>
      <w:pPr>
        <w:bidi/>
        <w:spacing w:before="320" w:after="160"/>
        <w:jc w:val="right"/>
      </w:pPr>
      <w:r>
        <w:rPr>
          <w:rFonts w:ascii="Arial" w:cs="Arial" w:eastAsia="Arial" w:hAnsi="Arial"/>
          <w:b/>
          <w:bCs/>
          <w:color w:val="2E6DA4"/>
          <w:sz w:val="30"/>
          <w:szCs w:val="30"/>
        </w:rPr>
        <w:t xml:space="preserve">٤-٢ الميدان الثاني: الدعوة والشهادة</w:t>
      </w:r>
    </w:p>
    <w:p>
      <w:pPr>
        <w:bidi/>
        <w:spacing w:before="150" w:after="170" w:line="400"/>
        <w:ind w:firstLine="720"/>
      </w:pPr>
      <w:r>
        <w:rPr>
          <w:rFonts w:ascii="Arial" w:cs="Arial" w:eastAsia="Arial" w:hAnsi="Arial"/>
          <w:b w:val="false"/>
          <w:bCs w:val="false"/>
          <w:color w:val="1A1A1A"/>
          <w:sz w:val="24"/>
          <w:szCs w:val="24"/>
        </w:rPr>
        <w:t xml:space="preserve">'كنتم خير أمة أُخرجت للناس' — هذه الأمة مُكلَّفة بالشهادة على الناس، والفضاء الرقمي هو الساحة التي يتشكّل فيها الرأي العام العالمي اليوم. الغياب الكامل عنها يعني التخلي عن هذه الشهادة في أعظم منبر عرفه التاريخ.</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كُنتُمْ خَيْرَ أُمَّةٍ أُخْرِجَتْ لِلنَّاسِ تَأْمُرُونَ بِالْمَعْرُوفِ وَتَنْهَوْنَ عَنِ الْمُنكَرِ</w:t>
      </w:r>
      <w:r>
        <w:rPr>
          <w:rFonts w:ascii="Arial" w:cs="Arial" w:eastAsia="Arial" w:hAnsi="Arial"/>
          <w:color w:val="8B6914"/>
          <w:sz w:val="20"/>
          <w:szCs w:val="20"/>
        </w:rPr>
        <w:br/>
        <w:t xml:space="preserve">
— آل عمران: ١١٠</w:t>
      </w:r>
    </w:p>
    <w:p>
      <w:pPr>
        <w:bidi/>
        <w:spacing w:before="150" w:after="170" w:line="400"/>
        <w:ind w:firstLine="720"/>
      </w:pPr>
      <w:r>
        <w:rPr>
          <w:rFonts w:ascii="Arial" w:cs="Arial" w:eastAsia="Arial" w:hAnsi="Arial"/>
          <w:b w:val="false"/>
          <w:bCs w:val="false"/>
          <w:color w:val="1A1A1A"/>
          <w:sz w:val="24"/>
          <w:szCs w:val="24"/>
        </w:rPr>
        <w:t xml:space="preserve">الأمر بالمعروف والنهي عن المنكر في العصر الرقمي له أشكال متعددة: تصحيح المعلومة المضللة، تقديم النموذج الأخلاقي الإيجابي، رفض المشاركة في الانقسام والتحريض، وبناء جسور الحوار مع المختلف. وكل هذه أشكال من الشهادة الرقمية.</w:t>
      </w:r>
    </w:p>
    <w:p>
      <w:pPr>
        <w:pBdr>
          <w:left w:val="single" w:color="2E6DA4" w:sz="20" w:space="6"/>
        </w:pBdr>
        <w:spacing w:before="200" w:after="160"/>
        <w:ind w:left="800" w:right="200"/>
        <w:jc w:val="left"/>
      </w:pPr>
      <w:r>
        <w:rPr>
          <w:rFonts w:ascii="Arial" w:cs="Arial" w:eastAsia="Arial" w:hAnsi="Arial"/>
          <w:color w:val="2A2A2A"/>
          <w:sz w:val="22"/>
          <w:szCs w:val="22"/>
        </w:rPr>
        <w:t xml:space="preserve">« L'espace numérique est le nouvel espace public. Ceux qui s'en absentent laissent le champ libre à ceux qui le remplissent de bruit et de fureur. La présence éthique dans cet espace est un acte civique et moral. »</w:t>
      </w:r>
      <w:r>
        <w:rPr>
          <w:rFonts w:ascii="Arial" w:cs="Arial" w:eastAsia="Arial" w:hAnsi="Arial"/>
          <w:color w:val="666666"/>
          <w:sz w:val="19"/>
          <w:szCs w:val="19"/>
        </w:rPr>
        <w:br/>
        <w:t xml:space="preserve">
— Eli Pariser — Filter Bubble: What the Internet Is Hiding from You (2011), Penguin Press, New York, p. 221</w:t>
      </w:r>
    </w:p>
    <w:p>
      <w:pPr>
        <w:bidi/>
        <w:spacing w:before="320" w:after="160"/>
        <w:jc w:val="right"/>
      </w:pPr>
      <w:r>
        <w:rPr>
          <w:rFonts w:ascii="Arial" w:cs="Arial" w:eastAsia="Arial" w:hAnsi="Arial"/>
          <w:b/>
          <w:bCs/>
          <w:color w:val="2E6DA4"/>
          <w:sz w:val="30"/>
          <w:szCs w:val="30"/>
        </w:rPr>
        <w:t xml:space="preserve">٤-٣ الميدان الثالث: العلاقات الإنسانية</w:t>
      </w:r>
    </w:p>
    <w:p>
      <w:pPr>
        <w:bidi/>
        <w:spacing w:before="150" w:after="170" w:line="400"/>
        <w:ind w:firstLine="720"/>
      </w:pPr>
      <w:r>
        <w:rPr>
          <w:rFonts w:ascii="Arial" w:cs="Arial" w:eastAsia="Arial" w:hAnsi="Arial"/>
          <w:b w:val="false"/>
          <w:bCs w:val="false"/>
          <w:color w:val="1A1A1A"/>
          <w:sz w:val="24"/>
          <w:szCs w:val="24"/>
        </w:rPr>
        <w:t xml:space="preserve">الفضاء الرقمي أداة تواصل إنساني — وهو كأداة يمكن أن يُقوّي العلاقات أو يُجوّفها. الخليفة الرقمي يستخدمه لتقوية الأواصر الحقيقية لا لاستبدالها:</w:t>
      </w:r>
    </w:p>
    <w:p>
      <w:pPr>
        <w:bidi/>
        <w:spacing w:before="150" w:after="170" w:line="400"/>
        <w:ind w:firstLine="720"/>
      </w:pPr>
      <w:r>
        <w:rPr>
          <w:rFonts w:ascii="Arial" w:cs="Arial" w:eastAsia="Arial" w:hAnsi="Arial"/>
          <w:b/>
          <w:bCs/>
          <w:color w:val="1A1A1A"/>
          <w:sz w:val="24"/>
          <w:szCs w:val="24"/>
        </w:rPr>
        <w:t xml:space="preserve">• صلة الرحم الرقمية:</w:t>
      </w:r>
      <w:r>
        <w:rPr>
          <w:rFonts w:ascii="Arial" w:cs="Arial" w:eastAsia="Arial" w:hAnsi="Arial"/>
          <w:color w:val="1A1A1A"/>
          <w:sz w:val="24"/>
          <w:szCs w:val="24"/>
        </w:rPr>
        <w:t xml:space="preserve">  التواصل مع الأهل البعيدين، الدعاء لهم، الطمأنينة عليهم — استخدام الرقمي لما كان يستلزم قديماً رحلات شاقة.</w:t>
      </w:r>
    </w:p>
    <w:p>
      <w:pPr>
        <w:bidi/>
        <w:spacing w:before="150" w:after="170" w:line="400"/>
        <w:ind w:firstLine="720"/>
      </w:pPr>
      <w:r>
        <w:rPr>
          <w:rFonts w:ascii="Arial" w:cs="Arial" w:eastAsia="Arial" w:hAnsi="Arial"/>
          <w:b/>
          <w:bCs/>
          <w:color w:val="1A1A1A"/>
          <w:sz w:val="24"/>
          <w:szCs w:val="24"/>
        </w:rPr>
        <w:t xml:space="preserve">• الاتصال المقصود لا العشوائي:</w:t>
      </w:r>
      <w:r>
        <w:rPr>
          <w:rFonts w:ascii="Arial" w:cs="Arial" w:eastAsia="Arial" w:hAnsi="Arial"/>
          <w:color w:val="1A1A1A"/>
          <w:sz w:val="24"/>
          <w:szCs w:val="24"/>
        </w:rPr>
        <w:t xml:space="preserve">  التواصل بنية حقيقية لا لمجرد ملء الوقت الفارغ الذي خلقته الخوارزمية.</w:t>
      </w:r>
    </w:p>
    <w:p>
      <w:pPr>
        <w:bidi/>
        <w:spacing w:before="150" w:after="170" w:line="400"/>
        <w:ind w:firstLine="720"/>
      </w:pPr>
      <w:r>
        <w:rPr>
          <w:rFonts w:ascii="Arial" w:cs="Arial" w:eastAsia="Arial" w:hAnsi="Arial"/>
          <w:b/>
          <w:bCs/>
          <w:color w:val="1A1A1A"/>
          <w:sz w:val="24"/>
          <w:szCs w:val="24"/>
        </w:rPr>
        <w:t xml:space="preserve">• التمييز بين التواصل والحضور:</w:t>
      </w:r>
      <w:r>
        <w:rPr>
          <w:rFonts w:ascii="Arial" w:cs="Arial" w:eastAsia="Arial" w:hAnsi="Arial"/>
          <w:color w:val="1A1A1A"/>
          <w:sz w:val="24"/>
          <w:szCs w:val="24"/>
        </w:rPr>
        <w:t xml:space="preserve">  الرسالة لا تُغني عن الوجود، والإعجاب لا يُغني عن العناق. الرقمي أداة إضافية لا بديل.</w:t>
      </w:r>
    </w:p>
    <w:p>
      <w:pPr>
        <w:bidi/>
        <w:spacing w:before="320" w:after="160"/>
        <w:jc w:val="right"/>
      </w:pPr>
      <w:r>
        <w:rPr>
          <w:rFonts w:ascii="Arial" w:cs="Arial" w:eastAsia="Arial" w:hAnsi="Arial"/>
          <w:b/>
          <w:bCs/>
          <w:color w:val="2E6DA4"/>
          <w:sz w:val="30"/>
          <w:szCs w:val="30"/>
        </w:rPr>
        <w:t xml:space="preserve">٤-٤ الميدان الرابع: الكسب والعمل</w:t>
      </w:r>
    </w:p>
    <w:p>
      <w:pPr>
        <w:bidi/>
        <w:spacing w:before="150" w:after="170" w:line="400"/>
        <w:ind w:firstLine="720"/>
      </w:pPr>
      <w:r>
        <w:rPr>
          <w:rFonts w:ascii="Arial" w:cs="Arial" w:eastAsia="Arial" w:hAnsi="Arial"/>
          <w:b w:val="false"/>
          <w:bCs w:val="false"/>
          <w:color w:val="1A1A1A"/>
          <w:sz w:val="24"/>
          <w:szCs w:val="24"/>
        </w:rPr>
        <w:t xml:space="preserve">الرقمي قلب الاقتصاد المعاصر — فيه الأعمال والمهن والفرص. الخليفة الرقمي لا يخاف الاقتصاد الرقمي بل يُوجّهه نحو الغاية الاستخلافية: الكسب الحلال المُنتج الذي يُعمّر لا يُدمّر، الذي يُفيد لا يستنزف، الذي يُبني كفاءات حقيقية لا يُعمّق إدماناً.</w:t>
      </w:r>
    </w:p>
    <w:p>
      <w:pPr>
        <w:pBdr>
          <w:left w:val="single" w:color="2E6DA4" w:sz="20" w:space="6"/>
        </w:pBdr>
        <w:spacing w:before="200" w:after="160"/>
        <w:ind w:left="800" w:right="200"/>
        <w:jc w:val="left"/>
      </w:pPr>
      <w:r>
        <w:rPr>
          <w:rFonts w:ascii="Arial" w:cs="Arial" w:eastAsia="Arial" w:hAnsi="Arial"/>
          <w:color w:val="2A2A2A"/>
          <w:sz w:val="22"/>
          <w:szCs w:val="22"/>
        </w:rPr>
        <w:t xml:space="preserve">« L'économie numérique offre des opportunités sans précédent pour créer de la valeur réelle. La question n'est pas de fuir cette économie mais de la naviguer avec une boussole éthique solide. »</w:t>
      </w:r>
      <w:r>
        <w:rPr>
          <w:rFonts w:ascii="Arial" w:cs="Arial" w:eastAsia="Arial" w:hAnsi="Arial"/>
          <w:color w:val="666666"/>
          <w:sz w:val="19"/>
          <w:szCs w:val="19"/>
        </w:rPr>
        <w:br/>
        <w:t xml:space="preserve">
— Klaus Schwab — La Quatrième Révolution Industrielle (2017), Dunod, Paris, p. 108</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٥ — تحديات الاستخلاف الرقمي ومواجهتها</w:t>
      </w:r>
    </w:p>
    <w:p>
      <w:pPr>
        <w:bidi/>
        <w:spacing w:before="320" w:after="160"/>
        <w:jc w:val="right"/>
      </w:pPr>
      <w:r>
        <w:rPr>
          <w:rFonts w:ascii="Arial" w:cs="Arial" w:eastAsia="Arial" w:hAnsi="Arial"/>
          <w:b/>
          <w:bCs/>
          <w:color w:val="2E6DA4"/>
          <w:sz w:val="30"/>
          <w:szCs w:val="30"/>
        </w:rPr>
        <w:t xml:space="preserve">٥-١ التحدي الأول: الاتساق في مواجهة الانزلاق</w:t>
      </w:r>
    </w:p>
    <w:p>
      <w:pPr>
        <w:bidi/>
        <w:spacing w:before="150" w:after="170" w:line="400"/>
        <w:ind w:firstLine="720"/>
      </w:pPr>
      <w:r>
        <w:rPr>
          <w:rFonts w:ascii="Arial" w:cs="Arial" w:eastAsia="Arial" w:hAnsi="Arial"/>
          <w:b w:val="false"/>
          <w:bCs w:val="false"/>
          <w:color w:val="1A1A1A"/>
          <w:sz w:val="24"/>
          <w:szCs w:val="24"/>
        </w:rPr>
        <w:t xml:space="preserve">أكبر تحدي أمام الاستخلاف الرقمي ليس الفهم النظري — بل الاتساق العملي. فالانزلاق نحو الاستهلاك الخوارزمي يحدث بلا مقاومة واعية وبلا إعلان مسبق. والإنسان يجد نفسه فجأة بعد ساعة من التمرير دون أن يتخذ قرار البدء.</w:t>
      </w:r>
    </w:p>
    <w:p>
      <w:pPr>
        <w:bidi/>
        <w:spacing w:before="150" w:after="170" w:line="400"/>
        <w:ind w:firstLine="720"/>
      </w:pPr>
      <w:r>
        <w:rPr>
          <w:rFonts w:ascii="Arial" w:cs="Arial" w:eastAsia="Arial" w:hAnsi="Arial"/>
          <w:b w:val="false"/>
          <w:bCs w:val="false"/>
          <w:color w:val="1A1A1A"/>
          <w:sz w:val="24"/>
          <w:szCs w:val="24"/>
        </w:rPr>
        <w:t xml:space="preserve">والجواب القرآني على هذا التحدي هو مبدأ 'الوقاية قبل الوقوع' — وهو ما يُسميه الفقه الإسلامي سد الذرائع. فبدلاً من الاعتماد على الإرادة وحدها في لحظة الانزلاق — وهي لحظة تكون فيها الإرادة في أضعف حالاتها — يتم تصميم البيئة مسبقاً لتجعل الانزلاق أصعب:</w:t>
      </w:r>
    </w:p>
    <w:p>
      <w:pPr>
        <w:bidi/>
        <w:spacing w:before="150" w:after="170" w:line="400"/>
        <w:ind w:firstLine="720"/>
      </w:pPr>
      <w:r>
        <w:rPr>
          <w:rFonts w:ascii="Arial" w:cs="Arial" w:eastAsia="Arial" w:hAnsi="Arial"/>
          <w:b/>
          <w:bCs/>
          <w:color w:val="1A1A1A"/>
          <w:sz w:val="24"/>
          <w:szCs w:val="24"/>
        </w:rPr>
        <w:t xml:space="preserve">• إزالة التطبيقات المُدمنة من الشاشة الرئيسية:</w:t>
      </w:r>
      <w:r>
        <w:rPr>
          <w:rFonts w:ascii="Arial" w:cs="Arial" w:eastAsia="Arial" w:hAnsi="Arial"/>
          <w:color w:val="1A1A1A"/>
          <w:sz w:val="24"/>
          <w:szCs w:val="24"/>
        </w:rPr>
        <w:t xml:space="preserve">  الإعاقة البسيطة تُقلل الاستخدام بنسب كبيرة.</w:t>
      </w:r>
    </w:p>
    <w:p>
      <w:pPr>
        <w:bidi/>
        <w:spacing w:before="150" w:after="170" w:line="400"/>
        <w:ind w:firstLine="720"/>
      </w:pPr>
      <w:r>
        <w:rPr>
          <w:rFonts w:ascii="Arial" w:cs="Arial" w:eastAsia="Arial" w:hAnsi="Arial"/>
          <w:b/>
          <w:bCs/>
          <w:color w:val="1A1A1A"/>
          <w:sz w:val="24"/>
          <w:szCs w:val="24"/>
        </w:rPr>
        <w:t xml:space="preserve">• إيقاف الإشعارات غير الضرورية:</w:t>
      </w:r>
      <w:r>
        <w:rPr>
          <w:rFonts w:ascii="Arial" w:cs="Arial" w:eastAsia="Arial" w:hAnsi="Arial"/>
          <w:color w:val="1A1A1A"/>
          <w:sz w:val="24"/>
          <w:szCs w:val="24"/>
        </w:rPr>
        <w:t xml:space="preserve">  كل إشعار هو دعوة شيطانية رقمية — تعطيلها سد لهذا الذريعة.</w:t>
      </w:r>
    </w:p>
    <w:p>
      <w:pPr>
        <w:bidi/>
        <w:spacing w:before="150" w:after="170" w:line="400"/>
        <w:ind w:firstLine="720"/>
      </w:pPr>
      <w:r>
        <w:rPr>
          <w:rFonts w:ascii="Arial" w:cs="Arial" w:eastAsia="Arial" w:hAnsi="Arial"/>
          <w:b/>
          <w:bCs/>
          <w:color w:val="1A1A1A"/>
          <w:sz w:val="24"/>
          <w:szCs w:val="24"/>
        </w:rPr>
        <w:t xml:space="preserve">• وضع الهاتف في مكان آخر ليلاً:</w:t>
      </w:r>
      <w:r>
        <w:rPr>
          <w:rFonts w:ascii="Arial" w:cs="Arial" w:eastAsia="Arial" w:hAnsi="Arial"/>
          <w:color w:val="1A1A1A"/>
          <w:sz w:val="24"/>
          <w:szCs w:val="24"/>
        </w:rPr>
        <w:t xml:space="preserve">  يمنع الانزلاق الصباحي قبل الأذكار والصلاة.</w:t>
      </w:r>
    </w:p>
    <w:p>
      <w:pPr>
        <w:pBdr>
          <w:left w:val="single" w:color="2E6DA4" w:sz="20" w:space="6"/>
        </w:pBdr>
        <w:spacing w:before="200" w:after="160"/>
        <w:ind w:left="800" w:right="200"/>
        <w:jc w:val="left"/>
      </w:pPr>
      <w:r>
        <w:rPr>
          <w:rFonts w:ascii="Arial" w:cs="Arial" w:eastAsia="Arial" w:hAnsi="Arial"/>
          <w:color w:val="2A2A2A"/>
          <w:sz w:val="22"/>
          <w:szCs w:val="22"/>
        </w:rPr>
        <w:t xml:space="preserve">« Réduire la friction d'accès aux comportements indésirables et augmenter la friction d'accès aux comportements souhaitables est plus efficace que de compter sur la volonté. »</w:t>
      </w:r>
      <w:r>
        <w:rPr>
          <w:rFonts w:ascii="Arial" w:cs="Arial" w:eastAsia="Arial" w:hAnsi="Arial"/>
          <w:color w:val="666666"/>
          <w:sz w:val="19"/>
          <w:szCs w:val="19"/>
        </w:rPr>
        <w:br/>
        <w:t xml:space="preserve">
— BJ Fogg — Minuscules Habitudes (2019), Houghton Mifflin, Boston, p. 63</w:t>
      </w:r>
    </w:p>
    <w:p>
      <w:pPr>
        <w:bidi/>
        <w:spacing w:before="320" w:after="160"/>
        <w:jc w:val="right"/>
      </w:pPr>
      <w:r>
        <w:rPr>
          <w:rFonts w:ascii="Arial" w:cs="Arial" w:eastAsia="Arial" w:hAnsi="Arial"/>
          <w:b/>
          <w:bCs/>
          <w:color w:val="2E6DA4"/>
          <w:sz w:val="30"/>
          <w:szCs w:val="30"/>
        </w:rPr>
        <w:t xml:space="preserve">٥-٢ التحدي الثاني: الضغط الاجتماعي للمشاركة</w:t>
      </w:r>
    </w:p>
    <w:p>
      <w:pPr>
        <w:bidi/>
        <w:spacing w:before="150" w:after="170" w:line="400"/>
        <w:ind w:firstLine="720"/>
      </w:pPr>
      <w:r>
        <w:rPr>
          <w:rFonts w:ascii="Arial" w:cs="Arial" w:eastAsia="Arial" w:hAnsi="Arial"/>
          <w:b w:val="false"/>
          <w:bCs w:val="false"/>
          <w:color w:val="1A1A1A"/>
          <w:sz w:val="24"/>
          <w:szCs w:val="24"/>
        </w:rPr>
        <w:t xml:space="preserve">الفضاء الرقمي يُنتج ضغطاً اجتماعياً حقيقياً للمشاركة في كل نقاش وكل حدث وكل موجة رأي. ومن لا يُعلّق يُعتبر غائباً أو موافقاً. والخليفة الرقمي يُواجه هذا الضغط بوعي مُسبق: التمييز بين ما يستدعي التعليق وما يكفيه الصمت.</w:t>
      </w:r>
    </w:p>
    <w:p>
      <w:pPr>
        <w:pBdr>
          <w:right w:val="single" w:color="2E6DA4" w:sz="20" w:space="6"/>
        </w:pBdr>
        <w:bidi/>
        <w:spacing w:before="220" w:after="160"/>
        <w:ind w:left="500" w:right="900"/>
      </w:pPr>
      <w:r>
        <w:rPr>
          <w:rFonts w:ascii="Arial" w:cs="Arial" w:eastAsia="Arial" w:hAnsi="Arial"/>
          <w:color w:val="2A2A2A"/>
          <w:sz w:val="23"/>
          <w:szCs w:val="23"/>
        </w:rPr>
        <w:t xml:space="preserve">"مَن كَانَ يُؤمِنُ بِاللهِ وَاليَومِ الآخِرِ فَليَقُل خَيراً أَو لِيَصمُت"</w:t>
      </w:r>
      <w:r>
        <w:rPr>
          <w:rFonts w:ascii="Arial" w:cs="Arial" w:eastAsia="Arial" w:hAnsi="Arial"/>
          <w:color w:val="555555"/>
          <w:sz w:val="20"/>
          <w:szCs w:val="20"/>
        </w:rPr>
        <w:br/>
        <w:t xml:space="preserve">
— صحيح البخاري ومسلم، ص. متفق عليه</w:t>
      </w:r>
    </w:p>
    <w:p>
      <w:pPr>
        <w:bidi/>
        <w:spacing w:before="150" w:after="170" w:line="400"/>
        <w:ind w:firstLine="720"/>
      </w:pPr>
      <w:r>
        <w:rPr>
          <w:rFonts w:ascii="Arial" w:cs="Arial" w:eastAsia="Arial" w:hAnsi="Arial"/>
          <w:b w:val="false"/>
          <w:bCs w:val="false"/>
          <w:color w:val="1A1A1A"/>
          <w:sz w:val="24"/>
          <w:szCs w:val="24"/>
        </w:rPr>
        <w:t xml:space="preserve">'ليقل خيراً أو ليصمت' — معيار بسيط ودقيق في آنٍ واحد. وتطبيقه الرقمي يعني: قبل كل تعليق أو مشاركة — هل هذا خير يُضاف؟ أم أن الصمت أو عدم المشاركة هو الموقف الأحكم؟</w:t>
      </w:r>
    </w:p>
    <w:p>
      <w:pPr>
        <w:bidi/>
        <w:spacing w:before="320" w:after="160"/>
        <w:jc w:val="right"/>
      </w:pPr>
      <w:r>
        <w:rPr>
          <w:rFonts w:ascii="Arial" w:cs="Arial" w:eastAsia="Arial" w:hAnsi="Arial"/>
          <w:b/>
          <w:bCs/>
          <w:color w:val="2E6DA4"/>
          <w:sz w:val="30"/>
          <w:szCs w:val="30"/>
        </w:rPr>
        <w:t xml:space="preserve">٥-٣ التحدي الثالث: المقارنة والحسد الرقمي</w:t>
      </w:r>
    </w:p>
    <w:p>
      <w:pPr>
        <w:bidi/>
        <w:spacing w:before="150" w:after="170" w:line="400"/>
        <w:ind w:firstLine="720"/>
      </w:pPr>
      <w:r>
        <w:rPr>
          <w:rFonts w:ascii="Arial" w:cs="Arial" w:eastAsia="Arial" w:hAnsi="Arial"/>
          <w:b w:val="false"/>
          <w:bCs w:val="false"/>
          <w:color w:val="1A1A1A"/>
          <w:sz w:val="24"/>
          <w:szCs w:val="24"/>
        </w:rPr>
        <w:t xml:space="preserve">منصات التواصل تُقدّم صورة مشوّهة للواقع: أفضل لحظات حياة الآخرين في مقابل مجمل لحظات حياتك. وهذه المقارنة تُغذّي الحسد وتُضعف الرضا — وهما من أشد موروثات الأمارة التدميراً للاطمئنان.</w:t>
      </w:r>
    </w:p>
    <w:p>
      <w:pPr>
        <w:bidi/>
        <w:spacing w:before="150" w:after="170" w:line="400"/>
        <w:ind w:firstLine="720"/>
      </w:pPr>
      <w:r>
        <w:rPr>
          <w:rFonts w:ascii="Arial" w:cs="Arial" w:eastAsia="Arial" w:hAnsi="Arial"/>
          <w:b w:val="false"/>
          <w:bCs w:val="false"/>
          <w:color w:val="1A1A1A"/>
          <w:sz w:val="24"/>
          <w:szCs w:val="24"/>
        </w:rPr>
        <w:t xml:space="preserve">الجواب القرآني هو الرضا — لا بمعنى القبول السلبي بالواقع بل بمعنى الاطمئنان لحكمة التوزيع الإلهي مع المثابرة في العمل:</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وَلَا تَتَمَنَّوْا مَا فَضَّلَ اللَّهُ بِهِ بَعْضَكُمْ عَلَىٰ بَعْضٍ</w:t>
      </w:r>
      <w:r>
        <w:rPr>
          <w:rFonts w:ascii="Arial" w:cs="Arial" w:eastAsia="Arial" w:hAnsi="Arial"/>
          <w:color w:val="8B6914"/>
          <w:sz w:val="20"/>
          <w:szCs w:val="20"/>
        </w:rPr>
        <w:br/>
        <w:t xml:space="preserve">
— النساء: ٣٢</w:t>
      </w:r>
    </w:p>
    <w:p>
      <w:pPr>
        <w:bidi/>
        <w:spacing w:before="150" w:after="170" w:line="400"/>
        <w:ind w:firstLine="720"/>
      </w:pPr>
      <w:r>
        <w:rPr>
          <w:rFonts w:ascii="Arial" w:cs="Arial" w:eastAsia="Arial" w:hAnsi="Arial"/>
          <w:b w:val="false"/>
          <w:bCs w:val="false"/>
          <w:color w:val="1A1A1A"/>
          <w:sz w:val="24"/>
          <w:szCs w:val="24"/>
        </w:rPr>
        <w:t xml:space="preserve">وتطبيقه الرقمي العملي: حين يُحس الإنسان بوخز الحسد تجاه منشور ما، يُحوّله إلى دعاء — للشخص المُشاهَد بالزيادة ولنفسه بالتوفيق. هذا التحويل ليس ساذجاً بل هو تدريب عميق للنفس على أن ترتفع من الأمارة إلى اللوامة.</w:t>
      </w:r>
    </w:p>
    <w:p>
      <w:pPr>
        <w:bidi/>
        <w:spacing w:before="320" w:after="160"/>
        <w:jc w:val="right"/>
      </w:pPr>
      <w:r>
        <w:rPr>
          <w:rFonts w:ascii="Arial" w:cs="Arial" w:eastAsia="Arial" w:hAnsi="Arial"/>
          <w:b/>
          <w:bCs/>
          <w:color w:val="2E6DA4"/>
          <w:sz w:val="30"/>
          <w:szCs w:val="30"/>
        </w:rPr>
        <w:t xml:space="preserve">٥-٤ التحدي الرابع: الاستمرارية في الأجيال القادمة</w:t>
      </w:r>
    </w:p>
    <w:p>
      <w:pPr>
        <w:bidi/>
        <w:spacing w:before="150" w:after="170" w:line="400"/>
        <w:ind w:firstLine="720"/>
      </w:pPr>
      <w:r>
        <w:rPr>
          <w:rFonts w:ascii="Arial" w:cs="Arial" w:eastAsia="Arial" w:hAnsi="Arial"/>
          <w:b w:val="false"/>
          <w:bCs w:val="false"/>
          <w:color w:val="1A1A1A"/>
          <w:sz w:val="24"/>
          <w:szCs w:val="24"/>
        </w:rPr>
        <w:t xml:space="preserve">الاستخلاف الرقمي ليس مسؤولية فردية فحسب — بل هو مسؤولية جيلية. الآباء والمعلمون والمؤسسات التعليمية مُكلَّفون بتنشئة الجيل القادم على ثقافة الاستخلاف الرقمي لا على ثقافة الاستهلاك الرقمي.</w:t>
      </w:r>
    </w:p>
    <w:p>
      <w:pPr>
        <w:pBdr>
          <w:left w:val="single" w:color="2E6DA4" w:sz="20" w:space="6"/>
        </w:pBdr>
        <w:spacing w:before="200" w:after="160"/>
        <w:ind w:left="800" w:right="200"/>
        <w:jc w:val="left"/>
      </w:pPr>
      <w:r>
        <w:rPr>
          <w:rFonts w:ascii="Arial" w:cs="Arial" w:eastAsia="Arial" w:hAnsi="Arial"/>
          <w:color w:val="2A2A2A"/>
          <w:sz w:val="22"/>
          <w:szCs w:val="22"/>
        </w:rPr>
        <w:t xml:space="preserve">« Nous n'héritons pas la terre de nos parents, nous l'empruntons à nos enfants. Dans l'ère numérique, cela signifie que nous leur transmettons soit une culture de la consommation, soit une culture de la responsabilité. »</w:t>
      </w:r>
      <w:r>
        <w:rPr>
          <w:rFonts w:ascii="Arial" w:cs="Arial" w:eastAsia="Arial" w:hAnsi="Arial"/>
          <w:color w:val="666666"/>
          <w:sz w:val="19"/>
          <w:szCs w:val="19"/>
        </w:rPr>
        <w:br/>
        <w:t xml:space="preserve">
— Antoine de Saint-Exupéry — cité dans le contexte de l'éducation numérique par Serge Tisseron, p. Apprivoiser les écrans et grandir (2018), Érès, Toulouse</w:t>
      </w:r>
    </w:p>
    <w:p>
      <w:pPr>
        <w:bidi/>
        <w:spacing w:before="150" w:after="170" w:line="400"/>
        <w:ind w:firstLine="720"/>
      </w:pPr>
      <w:r>
        <w:rPr>
          <w:rFonts w:ascii="Arial" w:cs="Arial" w:eastAsia="Arial" w:hAnsi="Arial"/>
          <w:b w:val="false"/>
          <w:bCs w:val="false"/>
          <w:color w:val="1A1A1A"/>
          <w:sz w:val="24"/>
          <w:szCs w:val="24"/>
        </w:rPr>
        <w:t xml:space="preserve">المسؤولية التعليمية تعني: تعليم الأطفال الاستخدام الواعي لا مجرد الاستخدام الآمن، وغرس مفهوم الاستخلاف الرقمي قبل منح الهاتف الذكي، وتشكيل بيئة رقمية أسرية تُقوّي التقوى لا تُضعفها.</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٦ — رؤية مستقبلية: الاستخلاف الرقمي على المستوى الجماعي</w:t>
      </w:r>
    </w:p>
    <w:p>
      <w:pPr>
        <w:bidi/>
        <w:spacing w:before="320" w:after="160"/>
        <w:jc w:val="right"/>
      </w:pPr>
      <w:r>
        <w:rPr>
          <w:rFonts w:ascii="Arial" w:cs="Arial" w:eastAsia="Arial" w:hAnsi="Arial"/>
          <w:b/>
          <w:bCs/>
          <w:color w:val="2E6DA4"/>
          <w:sz w:val="30"/>
          <w:szCs w:val="30"/>
        </w:rPr>
        <w:t xml:space="preserve">٦-١ من الفرد إلى المجتمع</w:t>
      </w:r>
    </w:p>
    <w:p>
      <w:pPr>
        <w:bidi/>
        <w:spacing w:before="150" w:after="170" w:line="400"/>
        <w:ind w:firstLine="720"/>
      </w:pPr>
      <w:r>
        <w:rPr>
          <w:rFonts w:ascii="Arial" w:cs="Arial" w:eastAsia="Arial" w:hAnsi="Arial"/>
          <w:b w:val="false"/>
          <w:bCs w:val="false"/>
          <w:color w:val="1A1A1A"/>
          <w:sz w:val="24"/>
          <w:szCs w:val="24"/>
        </w:rPr>
        <w:t xml:space="preserve">الاستخلاف في القرآن ليس مشروعاً فردياً بل أُمّة بأكملها مُكلَّفة به. وهذا يعني أن الاستخلاف الرقمي الواعي لا يكتمل في الحدود الفردية — بل يحتاج إلى منظومة مجتمعية:</w:t>
      </w:r>
    </w:p>
    <w:p>
      <w:pPr>
        <w:bidi/>
        <w:spacing w:before="150" w:after="170" w:line="400"/>
        <w:ind w:firstLine="720"/>
      </w:pPr>
      <w:r>
        <w:rPr>
          <w:rFonts w:ascii="Arial" w:cs="Arial" w:eastAsia="Arial" w:hAnsi="Arial"/>
          <w:b/>
          <w:bCs/>
          <w:color w:val="1A1A1A"/>
          <w:sz w:val="24"/>
          <w:szCs w:val="24"/>
        </w:rPr>
        <w:t xml:space="preserve">على مستوى الأسرة:</w:t>
      </w:r>
      <w:r>
        <w:rPr>
          <w:rFonts w:ascii="Arial" w:cs="Arial" w:eastAsia="Arial" w:hAnsi="Arial"/>
          <w:color w:val="1A1A1A"/>
          <w:sz w:val="24"/>
          <w:szCs w:val="24"/>
        </w:rPr>
        <w:t xml:space="preserve">  اتفاقيات رقمية أسرية، أوقات مشتركة بلا شاشات، نموذج والدي واعٍ.</w:t>
      </w:r>
    </w:p>
    <w:p>
      <w:pPr>
        <w:bidi/>
        <w:spacing w:before="150" w:after="170" w:line="400"/>
        <w:ind w:firstLine="720"/>
      </w:pPr>
      <w:r>
        <w:rPr>
          <w:rFonts w:ascii="Arial" w:cs="Arial" w:eastAsia="Arial" w:hAnsi="Arial"/>
          <w:b/>
          <w:bCs/>
          <w:color w:val="1A1A1A"/>
          <w:sz w:val="24"/>
          <w:szCs w:val="24"/>
        </w:rPr>
        <w:t xml:space="preserve">على مستوى المؤسسة التعليمية:</w:t>
      </w:r>
      <w:r>
        <w:rPr>
          <w:rFonts w:ascii="Arial" w:cs="Arial" w:eastAsia="Arial" w:hAnsi="Arial"/>
          <w:color w:val="1A1A1A"/>
          <w:sz w:val="24"/>
          <w:szCs w:val="24"/>
        </w:rPr>
        <w:t xml:space="preserve">  مناهج للاستخلاف الرقمي، تعليم التفكير النقدي تجاه المحتوى الرقمي، تنمية القراءة العميقة.</w:t>
      </w:r>
    </w:p>
    <w:p>
      <w:pPr>
        <w:bidi/>
        <w:spacing w:before="150" w:after="170" w:line="400"/>
        <w:ind w:firstLine="720"/>
      </w:pPr>
      <w:r>
        <w:rPr>
          <w:rFonts w:ascii="Arial" w:cs="Arial" w:eastAsia="Arial" w:hAnsi="Arial"/>
          <w:b/>
          <w:bCs/>
          <w:color w:val="1A1A1A"/>
          <w:sz w:val="24"/>
          <w:szCs w:val="24"/>
        </w:rPr>
        <w:t xml:space="preserve">على مستوى المؤسسة الدينية:</w:t>
      </w:r>
      <w:r>
        <w:rPr>
          <w:rFonts w:ascii="Arial" w:cs="Arial" w:eastAsia="Arial" w:hAnsi="Arial"/>
          <w:color w:val="1A1A1A"/>
          <w:sz w:val="24"/>
          <w:szCs w:val="24"/>
        </w:rPr>
        <w:t xml:space="preserve">  خطاب ديني متجدد يُخاطب المستخدم الرقمي بلغته، دروس في فقه الاستخدام الرقمي، نماذج قرآنية معاصرة.</w:t>
      </w:r>
    </w:p>
    <w:p>
      <w:pPr>
        <w:bidi/>
        <w:spacing w:before="150" w:after="170" w:line="400"/>
        <w:ind w:firstLine="720"/>
      </w:pPr>
      <w:r>
        <w:rPr>
          <w:rFonts w:ascii="Arial" w:cs="Arial" w:eastAsia="Arial" w:hAnsi="Arial"/>
          <w:b/>
          <w:bCs/>
          <w:color w:val="1A1A1A"/>
          <w:sz w:val="24"/>
          <w:szCs w:val="24"/>
        </w:rPr>
        <w:t xml:space="preserve">على مستوى السياسة العامة:</w:t>
      </w:r>
      <w:r>
        <w:rPr>
          <w:rFonts w:ascii="Arial" w:cs="Arial" w:eastAsia="Arial" w:hAnsi="Arial"/>
          <w:color w:val="1A1A1A"/>
          <w:sz w:val="24"/>
          <w:szCs w:val="24"/>
        </w:rPr>
        <w:t xml:space="preserve">  المطالبة بتنظيم الخوارزميات لحماية المواطن، قوانين حماية الخصوصية، تعليم رقمي إلزامي في المناهج.</w:t>
      </w:r>
    </w:p>
    <w:p>
      <w:pPr>
        <w:bidi/>
        <w:spacing w:before="320" w:after="160"/>
        <w:jc w:val="right"/>
      </w:pPr>
      <w:r>
        <w:rPr>
          <w:rFonts w:ascii="Arial" w:cs="Arial" w:eastAsia="Arial" w:hAnsi="Arial"/>
          <w:b/>
          <w:bCs/>
          <w:color w:val="2E6DA4"/>
          <w:sz w:val="30"/>
          <w:szCs w:val="30"/>
        </w:rPr>
        <w:t xml:space="preserve">٦-٢ الدور الحضاري للأطروحة</w:t>
      </w:r>
    </w:p>
    <w:p>
      <w:pPr>
        <w:bidi/>
        <w:spacing w:before="150" w:after="170" w:line="400"/>
        <w:ind w:firstLine="720"/>
      </w:pPr>
      <w:r>
        <w:rPr>
          <w:rFonts w:ascii="Arial" w:cs="Arial" w:eastAsia="Arial" w:hAnsi="Arial"/>
          <w:b w:val="false"/>
          <w:bCs w:val="false"/>
          <w:color w:val="1A1A1A"/>
          <w:sz w:val="24"/>
          <w:szCs w:val="24"/>
        </w:rPr>
        <w:t xml:space="preserve">تُسهم هذه الأطروحة — من خلال الجمع بين النموذج الهرمي القرآني وتحليل الأزمة الرقمية — في مشروع حضاري أعمق: إثبات أن الرؤية القرآنية للإنسان ليست موروثاً تاريخياً بل إطاراً تحليلياً حياً يستطيع مواجهة أعقد أزمات العصر بأدوات نظرية وعملية متكاملة.</w:t>
      </w:r>
    </w:p>
    <w:p>
      <w:pPr>
        <w:pBdr>
          <w:left w:val="single" w:color="2E6DA4" w:sz="20" w:space="6"/>
        </w:pBdr>
        <w:spacing w:before="200" w:after="160"/>
        <w:ind w:left="800" w:right="200"/>
        <w:jc w:val="left"/>
      </w:pPr>
      <w:r>
        <w:rPr>
          <w:rFonts w:ascii="Arial" w:cs="Arial" w:eastAsia="Arial" w:hAnsi="Arial"/>
          <w:color w:val="2A2A2A"/>
          <w:sz w:val="22"/>
          <w:szCs w:val="22"/>
        </w:rPr>
        <w:t xml:space="preserve">« La civilisation islamique a toujours su intégrer les apports de son époque tout en préservant son axe identitaire. Le défi contemporain est de reproduire ce modèle dans l'espace numérique : ni rejet, ni dissolution, mais intégration créatrice. »</w:t>
      </w:r>
      <w:r>
        <w:rPr>
          <w:rFonts w:ascii="Arial" w:cs="Arial" w:eastAsia="Arial" w:hAnsi="Arial"/>
          <w:color w:val="666666"/>
          <w:sz w:val="19"/>
          <w:szCs w:val="19"/>
        </w:rPr>
        <w:br/>
        <w:t xml:space="preserve">
— Tariq Ramadan — Islam, la réforme radicale : Éthique et libération (2008), Presses du Châtelet, Paris, p. 218</w:t>
      </w:r>
    </w:p>
    <w:p>
      <w:pPr>
        <w:bidi/>
        <w:spacing w:before="150" w:after="170" w:line="400"/>
        <w:ind w:firstLine="720"/>
      </w:pPr>
      <w:r>
        <w:rPr>
          <w:rFonts w:ascii="Arial" w:cs="Arial" w:eastAsia="Arial" w:hAnsi="Arial"/>
          <w:b w:val="false"/>
          <w:bCs w:val="false"/>
          <w:color w:val="1A1A1A"/>
          <w:sz w:val="24"/>
          <w:szCs w:val="24"/>
        </w:rPr>
        <w:t xml:space="preserve">هذا التوصيف لـ'الاندماج الخلاق' هو بالضبط ما تسعى إليه هذه الأطروحة: لا رفض الرقمي ولا الذوبان فيه — بل تضمينه في المشروع الحضاري القرآني بأدوات تُحافظ على هويته وتُطوّر أدواته.</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وَكَذَٰلِكَ جَعَلْنَاكُمْ أُمَّةً وَسَطًا لِّتَكُونُوا شُهَدَاءَ عَلَى النَّاسِ</w:t>
      </w:r>
      <w:r>
        <w:rPr>
          <w:rFonts w:ascii="Arial" w:cs="Arial" w:eastAsia="Arial" w:hAnsi="Arial"/>
          <w:color w:val="8B6914"/>
          <w:sz w:val="20"/>
          <w:szCs w:val="20"/>
        </w:rPr>
        <w:br/>
        <w:t xml:space="preserve">
— البقرة: ١٤٣</w:t>
      </w:r>
    </w:p>
    <w:p>
      <w:pPr>
        <w:bidi/>
        <w:spacing w:before="150" w:after="170" w:line="400"/>
        <w:ind w:firstLine="720"/>
      </w:pPr>
      <w:r>
        <w:rPr>
          <w:rFonts w:ascii="Arial" w:cs="Arial" w:eastAsia="Arial" w:hAnsi="Arial"/>
          <w:b w:val="false"/>
          <w:bCs w:val="false"/>
          <w:color w:val="1A1A1A"/>
          <w:sz w:val="24"/>
          <w:szCs w:val="24"/>
        </w:rPr>
        <w:t xml:space="preserve">'أمةً وسطاً' — التوسط بين الرفض الكامل والانحلال الكامل. والشهادة على الناس تتطلب الحضور بينهم لا الغياب عنهم. وفي عصرنا هذا، الحضور الرقمي الواعي هو جزء من هذه الشهادة الوسطية التي أُنيطت بهذه الأمة.</w:t>
      </w:r>
    </w:p>
    <w:p>
      <w:pPr>
        <w:pBdr>
          <w:bottom w:val="single" w:color="B8860B" w:sz="4" w:space="1"/>
        </w:pBdr>
        <w:spacing w:before="240" w:after="240"/>
      </w:pPr>
    </w:p>
    <w:p>
      <w:pPr>
        <w:spacing w:before="120" w:after="12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مراجع الفصل السادس</w:t>
      </w:r>
    </w:p>
    <w:p>
      <w:pPr>
        <w:spacing w:before="80" w:after="80"/>
      </w:pPr>
    </w:p>
    <w:p>
      <w:pPr>
        <w:bidi/>
        <w:spacing w:before="320" w:after="160"/>
        <w:jc w:val="right"/>
      </w:pPr>
      <w:r>
        <w:rPr>
          <w:rFonts w:ascii="Arial" w:cs="Arial" w:eastAsia="Arial" w:hAnsi="Arial"/>
          <w:b/>
          <w:bCs/>
          <w:color w:val="2E6DA4"/>
          <w:sz w:val="30"/>
          <w:szCs w:val="30"/>
        </w:rPr>
        <w:t xml:space="preserve">أولاً — المصادر العربية والإسلامية</w:t>
      </w:r>
    </w:p>
    <w:p>
      <w:pPr>
        <w:bidi/>
        <w:spacing w:before="100" w:after="100"/>
        <w:jc w:val="right"/>
      </w:pPr>
      <w:r>
        <w:rPr>
          <w:rFonts w:ascii="Arial" w:cs="Arial" w:eastAsia="Arial" w:hAnsi="Arial"/>
          <w:b/>
          <w:bCs/>
          <w:color w:val="2E6DA4"/>
          <w:sz w:val="20"/>
          <w:szCs w:val="20"/>
        </w:rPr>
        <w:t xml:space="preserve">[١]  </w:t>
      </w:r>
      <w:r>
        <w:rPr>
          <w:rFonts w:ascii="Arial" w:cs="Arial" w:eastAsia="Arial" w:hAnsi="Arial"/>
          <w:color w:val="222222"/>
          <w:sz w:val="20"/>
          <w:szCs w:val="20"/>
        </w:rPr>
        <w:t xml:space="preserve">القرآن الكريم — الآيات المُستشهد بها: البقرة (٣٠، ١٤٣)، التوبة (١٠٥)، ق (١٨)، النحل (٩٧)، النساء (١٣٥، ٣٢)، آل عمران (١١٠)، العنكبوت (٦٩).</w:t>
      </w:r>
    </w:p>
    <w:p>
      <w:pPr>
        <w:bidi/>
        <w:spacing w:before="100" w:after="100"/>
        <w:jc w:val="right"/>
      </w:pPr>
      <w:r>
        <w:rPr>
          <w:rFonts w:ascii="Arial" w:cs="Arial" w:eastAsia="Arial" w:hAnsi="Arial"/>
          <w:b/>
          <w:bCs/>
          <w:color w:val="2E6DA4"/>
          <w:sz w:val="20"/>
          <w:szCs w:val="20"/>
        </w:rPr>
        <w:t xml:space="preserve">[٢]  </w:t>
      </w:r>
      <w:r>
        <w:rPr>
          <w:rFonts w:ascii="Arial" w:cs="Arial" w:eastAsia="Arial" w:hAnsi="Arial"/>
          <w:color w:val="222222"/>
          <w:sz w:val="20"/>
          <w:szCs w:val="20"/>
        </w:rPr>
        <w:t xml:space="preserve">صحيح البخاري — كتاب بدء الوحي (حديث النية رقم ١)؛ وكتاب الأدب، باب من كان يؤمن بالله واليوم الآخر فليقل خيراً أو ليصمت.</w:t>
      </w:r>
    </w:p>
    <w:p>
      <w:pPr>
        <w:bidi/>
        <w:spacing w:before="100" w:after="100"/>
        <w:jc w:val="right"/>
      </w:pPr>
      <w:r>
        <w:rPr>
          <w:rFonts w:ascii="Arial" w:cs="Arial" w:eastAsia="Arial" w:hAnsi="Arial"/>
          <w:b/>
          <w:bCs/>
          <w:color w:val="2E6DA4"/>
          <w:sz w:val="20"/>
          <w:szCs w:val="20"/>
        </w:rPr>
        <w:t xml:space="preserve">[٣]  </w:t>
      </w:r>
      <w:r>
        <w:rPr>
          <w:rFonts w:ascii="Arial" w:cs="Arial" w:eastAsia="Arial" w:hAnsi="Arial"/>
          <w:color w:val="222222"/>
          <w:sz w:val="20"/>
          <w:szCs w:val="20"/>
        </w:rPr>
        <w:t xml:space="preserve">ابن تيمية، أحمد — الاستقامة. تحقيق: محمد رشاد سالم. جامعة الإمام محمد بن سعود، الرياض، 1983. (الجزء الأول، باب أحوال القلب في تعامله مع الدنيا، ص. 455-510 — التفصيل في مفهوم الاستخلاف والخلافة العامة).</w:t>
      </w:r>
    </w:p>
    <w:p>
      <w:pPr>
        <w:bidi/>
        <w:spacing w:before="100" w:after="100"/>
        <w:jc w:val="right"/>
      </w:pPr>
      <w:r>
        <w:rPr>
          <w:rFonts w:ascii="Arial" w:cs="Arial" w:eastAsia="Arial" w:hAnsi="Arial"/>
          <w:b/>
          <w:bCs/>
          <w:color w:val="2E6DA4"/>
          <w:sz w:val="20"/>
          <w:szCs w:val="20"/>
        </w:rPr>
        <w:t xml:space="preserve">[٤]  </w:t>
      </w:r>
      <w:r>
        <w:rPr>
          <w:rFonts w:ascii="Arial" w:cs="Arial" w:eastAsia="Arial" w:hAnsi="Arial"/>
          <w:color w:val="222222"/>
          <w:sz w:val="20"/>
          <w:szCs w:val="20"/>
        </w:rPr>
        <w:t xml:space="preserve">الماوردي، أبو الحسن — أدب الدنيا والدين. دار مكتبة الحياة، بيروت، 1986. (الباب الثالث: أدب النفس، ص. 190-280 — معالجة كلاسيكية لإصلاح النفس في مواجهة المغريات).</w:t>
      </w:r>
    </w:p>
    <w:p>
      <w:pPr>
        <w:bidi/>
        <w:spacing w:before="100" w:after="100"/>
        <w:jc w:val="right"/>
      </w:pPr>
      <w:r>
        <w:rPr>
          <w:rFonts w:ascii="Arial" w:cs="Arial" w:eastAsia="Arial" w:hAnsi="Arial"/>
          <w:b/>
          <w:bCs/>
          <w:color w:val="2E6DA4"/>
          <w:sz w:val="20"/>
          <w:szCs w:val="20"/>
        </w:rPr>
        <w:t xml:space="preserve">[٥]  </w:t>
      </w:r>
      <w:r>
        <w:rPr>
          <w:rFonts w:ascii="Arial" w:cs="Arial" w:eastAsia="Arial" w:hAnsi="Arial"/>
          <w:color w:val="222222"/>
          <w:sz w:val="20"/>
          <w:szCs w:val="20"/>
        </w:rPr>
        <w:t xml:space="preserve">عمر عبيد حسنة — المسلمون وتحديات العولمة الاتصالية. المكتب الإسلامي، 2004. (الفصل الرابع: ضوابط الإعلام الإسلامي، ص. 125-185 — من أوائل الكتابات الإسلامية في فقه الإعلام).</w:t>
      </w:r>
    </w:p>
    <w:p>
      <w:pPr>
        <w:spacing w:before="120" w:after="120"/>
      </w:pPr>
    </w:p>
    <w:p>
      <w:pPr>
        <w:bidi/>
        <w:spacing w:before="320" w:after="160"/>
        <w:jc w:val="right"/>
      </w:pPr>
      <w:r>
        <w:rPr>
          <w:rFonts w:ascii="Arial" w:cs="Arial" w:eastAsia="Arial" w:hAnsi="Arial"/>
          <w:b/>
          <w:bCs/>
          <w:color w:val="2E6DA4"/>
          <w:sz w:val="30"/>
          <w:szCs w:val="30"/>
        </w:rPr>
        <w:t xml:space="preserve">ثانياً — المراجع الفرنسية في نقد الاقتصاد الرقمي والمجتمع</w:t>
      </w:r>
    </w:p>
    <w:p>
      <w:pPr>
        <w:spacing w:before="100" w:after="100"/>
        <w:jc w:val="left"/>
      </w:pPr>
      <w:r>
        <w:rPr>
          <w:rFonts w:ascii="Arial" w:cs="Arial" w:eastAsia="Arial" w:hAnsi="Arial"/>
          <w:b/>
          <w:bCs/>
          <w:color w:val="2E6DA4"/>
          <w:sz w:val="20"/>
          <w:szCs w:val="20"/>
        </w:rPr>
        <w:t xml:space="preserve">[٦]  </w:t>
      </w:r>
      <w:r>
        <w:rPr>
          <w:rFonts w:ascii="Arial" w:cs="Arial" w:eastAsia="Arial" w:hAnsi="Arial"/>
          <w:color w:val="222222"/>
          <w:sz w:val="20"/>
          <w:szCs w:val="20"/>
        </w:rPr>
        <w:t xml:space="preserve">Douglas Rushkoff — Programme or Be Programmed: Ten Commands for a Digital Age. OR Books, New York, 2010. (Chapter 2 : « Do Not Always Be Available », pp. 15-28 ; sur la création vs consommation, p. 17).</w:t>
      </w:r>
    </w:p>
    <w:p>
      <w:pPr>
        <w:spacing w:before="100" w:after="100"/>
        <w:jc w:val="left"/>
      </w:pPr>
      <w:r>
        <w:rPr>
          <w:rFonts w:ascii="Arial" w:cs="Arial" w:eastAsia="Arial" w:hAnsi="Arial"/>
          <w:b/>
          <w:bCs/>
          <w:color w:val="2E6DA4"/>
          <w:sz w:val="20"/>
          <w:szCs w:val="20"/>
        </w:rPr>
        <w:t xml:space="preserve">[٧]  </w:t>
      </w:r>
      <w:r>
        <w:rPr>
          <w:rFonts w:ascii="Arial" w:cs="Arial" w:eastAsia="Arial" w:hAnsi="Arial"/>
          <w:color w:val="222222"/>
          <w:sz w:val="20"/>
          <w:szCs w:val="20"/>
        </w:rPr>
        <w:t xml:space="preserve">Eli Pariser — The Filter Bubble: What the Internet Is Hiding from You. Penguin Press, New York, 2011. (Chapter 8 : « The Public Square », pp. 210-235 ; sur la présence éthique dans l'espace numérique, p. 221).</w:t>
      </w:r>
    </w:p>
    <w:p>
      <w:pPr>
        <w:spacing w:before="100" w:after="100"/>
        <w:jc w:val="left"/>
      </w:pPr>
      <w:r>
        <w:rPr>
          <w:rFonts w:ascii="Arial" w:cs="Arial" w:eastAsia="Arial" w:hAnsi="Arial"/>
          <w:b/>
          <w:bCs/>
          <w:color w:val="2E6DA4"/>
          <w:sz w:val="20"/>
          <w:szCs w:val="20"/>
        </w:rPr>
        <w:t xml:space="preserve">[٨]  </w:t>
      </w:r>
      <w:r>
        <w:rPr>
          <w:rFonts w:ascii="Arial" w:cs="Arial" w:eastAsia="Arial" w:hAnsi="Arial"/>
          <w:color w:val="222222"/>
          <w:sz w:val="20"/>
          <w:szCs w:val="20"/>
        </w:rPr>
        <w:t xml:space="preserve">Klaus Schwab — La Quatrième Révolution Industrielle. Traduit de l'anglais par Muriel Prigent. Dunod, Paris, 2017. (Chapitre 3 : « Impacts sur le monde du travail », pp. 85-140 ; sur les opportunités éthiques, p. 108).</w:t>
      </w:r>
    </w:p>
    <w:p>
      <w:pPr>
        <w:spacing w:before="100" w:after="100"/>
        <w:jc w:val="left"/>
      </w:pPr>
      <w:r>
        <w:rPr>
          <w:rFonts w:ascii="Arial" w:cs="Arial" w:eastAsia="Arial" w:hAnsi="Arial"/>
          <w:b/>
          <w:bCs/>
          <w:color w:val="2E6DA4"/>
          <w:sz w:val="20"/>
          <w:szCs w:val="20"/>
        </w:rPr>
        <w:t xml:space="preserve">[٩]  </w:t>
      </w:r>
      <w:r>
        <w:rPr>
          <w:rFonts w:ascii="Arial" w:cs="Arial" w:eastAsia="Arial" w:hAnsi="Arial"/>
          <w:color w:val="222222"/>
          <w:sz w:val="20"/>
          <w:szCs w:val="20"/>
        </w:rPr>
        <w:t xml:space="preserve">Serge Tisseron — Apprivoiser les écrans et grandir. Érès, Toulouse, 2018. (Chapitre 2 : « Les enfants et les écrans », pp. 25-80 ; sur la transmission intergénérationnelle d'une culture numérique responsable, p. 34).</w:t>
      </w:r>
    </w:p>
    <w:p>
      <w:pPr>
        <w:spacing w:before="100" w:after="100"/>
        <w:jc w:val="left"/>
      </w:pPr>
      <w:r>
        <w:rPr>
          <w:rFonts w:ascii="Arial" w:cs="Arial" w:eastAsia="Arial" w:hAnsi="Arial"/>
          <w:b/>
          <w:bCs/>
          <w:color w:val="2E6DA4"/>
          <w:sz w:val="20"/>
          <w:szCs w:val="20"/>
        </w:rPr>
        <w:t xml:space="preserve">[١٠]  </w:t>
      </w:r>
      <w:r>
        <w:rPr>
          <w:rFonts w:ascii="Arial" w:cs="Arial" w:eastAsia="Arial" w:hAnsi="Arial"/>
          <w:color w:val="222222"/>
          <w:sz w:val="20"/>
          <w:szCs w:val="20"/>
        </w:rPr>
        <w:t xml:space="preserve">Tariq Ramadan — Islam, la réforme radicale : Éthique et libération. Presses du Châtelet, Paris, 2008. (Chapitre 7 : « L'islam dans le monde moderne », pp. 200-240 ; sur l'intégration créatrice, p. 218).</w:t>
      </w:r>
    </w:p>
    <w:p>
      <w:pPr>
        <w:spacing w:before="120" w:after="120"/>
      </w:pPr>
    </w:p>
    <w:p>
      <w:pPr>
        <w:bidi/>
        <w:spacing w:before="320" w:after="160"/>
        <w:jc w:val="right"/>
      </w:pPr>
      <w:r>
        <w:rPr>
          <w:rFonts w:ascii="Arial" w:cs="Arial" w:eastAsia="Arial" w:hAnsi="Arial"/>
          <w:b/>
          <w:bCs/>
          <w:color w:val="2E6DA4"/>
          <w:sz w:val="30"/>
          <w:szCs w:val="30"/>
        </w:rPr>
        <w:t xml:space="preserve">ثالثاً — المراجع الفرنسية في علم النفس والتغيير السلوكي</w:t>
      </w:r>
    </w:p>
    <w:p>
      <w:pPr>
        <w:spacing w:before="100" w:after="100"/>
        <w:jc w:val="left"/>
      </w:pPr>
      <w:r>
        <w:rPr>
          <w:rFonts w:ascii="Arial" w:cs="Arial" w:eastAsia="Arial" w:hAnsi="Arial"/>
          <w:b/>
          <w:bCs/>
          <w:color w:val="2E6DA4"/>
          <w:sz w:val="20"/>
          <w:szCs w:val="20"/>
        </w:rPr>
        <w:t xml:space="preserve">[١١]  </w:t>
      </w:r>
      <w:r>
        <w:rPr>
          <w:rFonts w:ascii="Arial" w:cs="Arial" w:eastAsia="Arial" w:hAnsi="Arial"/>
          <w:color w:val="222222"/>
          <w:sz w:val="20"/>
          <w:szCs w:val="20"/>
        </w:rPr>
        <w:t xml:space="preserve">BJ Fogg — Minuscules Habitudes : Les petits riens qui changent tout. Houghton Mifflin, Boston, 2019. (Chapitre 3 : « Motivation, capacité, déclencheur », pp. 55-90 ; sur la réduction de friction, p. 63).</w:t>
      </w:r>
    </w:p>
    <w:p>
      <w:pPr>
        <w:spacing w:before="100" w:after="100"/>
        <w:jc w:val="left"/>
      </w:pPr>
      <w:r>
        <w:rPr>
          <w:rFonts w:ascii="Arial" w:cs="Arial" w:eastAsia="Arial" w:hAnsi="Arial"/>
          <w:b/>
          <w:bCs/>
          <w:color w:val="2E6DA4"/>
          <w:sz w:val="20"/>
          <w:szCs w:val="20"/>
        </w:rPr>
        <w:t xml:space="preserve">[١٢]  </w:t>
      </w:r>
      <w:r>
        <w:rPr>
          <w:rFonts w:ascii="Arial" w:cs="Arial" w:eastAsia="Arial" w:hAnsi="Arial"/>
          <w:color w:val="222222"/>
          <w:sz w:val="20"/>
          <w:szCs w:val="20"/>
        </w:rPr>
        <w:t xml:space="preserve">Roy Baumeister &amp; John Tierney — Le Pouvoir de la volonté. Eyrolles, Paris, 2012. (Chapitre 4 : « La décision fatigue », pp. 90-130 — sur l'épuisement de la volonté et les stratégies d'architecture comportementale).</w:t>
      </w:r>
    </w:p>
    <w:p>
      <w:pPr>
        <w:spacing w:before="100" w:after="100"/>
        <w:jc w:val="left"/>
      </w:pPr>
      <w:r>
        <w:rPr>
          <w:rFonts w:ascii="Arial" w:cs="Arial" w:eastAsia="Arial" w:hAnsi="Arial"/>
          <w:b/>
          <w:bCs/>
          <w:color w:val="2E6DA4"/>
          <w:sz w:val="20"/>
          <w:szCs w:val="20"/>
        </w:rPr>
        <w:t xml:space="preserve">[١٣]  </w:t>
      </w:r>
      <w:r>
        <w:rPr>
          <w:rFonts w:ascii="Arial" w:cs="Arial" w:eastAsia="Arial" w:hAnsi="Arial"/>
          <w:color w:val="222222"/>
          <w:sz w:val="20"/>
          <w:szCs w:val="20"/>
        </w:rPr>
        <w:t xml:space="preserve">Charles Duhigg — Le Pouvoir des habitudes : Changer un rien pour tout changer. Traduit de l'anglais par Hélène Rieu. Flammarion, Paris, 2016. (Chapitre 1 : « La boucle habitude », pp. 13-52 — sur la structure habitude/récompense appliquée aux médias sociaux).</w:t>
      </w:r>
    </w:p>
    <w:p>
      <w:pPr>
        <w:spacing w:before="120" w:after="120"/>
      </w:pPr>
    </w:p>
    <w:p>
      <w:pPr>
        <w:bidi/>
        <w:spacing w:before="320" w:after="160"/>
        <w:jc w:val="right"/>
      </w:pPr>
      <w:r>
        <w:rPr>
          <w:rFonts w:ascii="Arial" w:cs="Arial" w:eastAsia="Arial" w:hAnsi="Arial"/>
          <w:b/>
          <w:bCs/>
          <w:color w:val="2E6DA4"/>
          <w:sz w:val="30"/>
          <w:szCs w:val="30"/>
        </w:rPr>
        <w:t xml:space="preserve">رابعاً — المراجع الفرنسية في الفلسفة الاجتماعية</w:t>
      </w:r>
    </w:p>
    <w:p>
      <w:pPr>
        <w:spacing w:before="100" w:after="100"/>
        <w:jc w:val="left"/>
      </w:pPr>
      <w:r>
        <w:rPr>
          <w:rFonts w:ascii="Arial" w:cs="Arial" w:eastAsia="Arial" w:hAnsi="Arial"/>
          <w:b/>
          <w:bCs/>
          <w:color w:val="2E6DA4"/>
          <w:sz w:val="20"/>
          <w:szCs w:val="20"/>
        </w:rPr>
        <w:t xml:space="preserve">[١٤]  </w:t>
      </w:r>
      <w:r>
        <w:rPr>
          <w:rFonts w:ascii="Arial" w:cs="Arial" w:eastAsia="Arial" w:hAnsi="Arial"/>
          <w:color w:val="222222"/>
          <w:sz w:val="20"/>
          <w:szCs w:val="20"/>
        </w:rPr>
        <w:t xml:space="preserve">Jürgen Habermas — L'Espace public : Archéologie de la publicité comme dimension constitutive de la société bourgeoise. Traduit de l'allemand par Marc de Launay. Payot, Paris, 1997. (Chapitres 1-3 : sur la construction de l'espace public, pp. 13-97 — revisité à l'ère numérique).</w:t>
      </w:r>
    </w:p>
    <w:p>
      <w:pPr>
        <w:spacing w:before="100" w:after="100"/>
        <w:jc w:val="left"/>
      </w:pPr>
      <w:r>
        <w:rPr>
          <w:rFonts w:ascii="Arial" w:cs="Arial" w:eastAsia="Arial" w:hAnsi="Arial"/>
          <w:b/>
          <w:bCs/>
          <w:color w:val="2E6DA4"/>
          <w:sz w:val="20"/>
          <w:szCs w:val="20"/>
        </w:rPr>
        <w:t xml:space="preserve">[١٥]  </w:t>
      </w:r>
      <w:r>
        <w:rPr>
          <w:rFonts w:ascii="Arial" w:cs="Arial" w:eastAsia="Arial" w:hAnsi="Arial"/>
          <w:color w:val="222222"/>
          <w:sz w:val="20"/>
          <w:szCs w:val="20"/>
        </w:rPr>
        <w:t xml:space="preserve">Hannah Arendt — La Condition de l'homme moderne. Traduit de l'anglais par Georges Fradier. Calmann-Lévy, Paris, 1983. (Chapitre 2 : « Le domaine public et le domaine privé », pp. 59-120 — sur la distinction entre action, travail et œuvre dans le contexte numérique).</w:t>
      </w:r>
    </w:p>
    <w:p>
      <w:pPr>
        <w:spacing w:before="100" w:after="100"/>
        <w:jc w:val="left"/>
      </w:pPr>
      <w:r>
        <w:rPr>
          <w:rFonts w:ascii="Arial" w:cs="Arial" w:eastAsia="Arial" w:hAnsi="Arial"/>
          <w:b/>
          <w:bCs/>
          <w:color w:val="2E6DA4"/>
          <w:sz w:val="20"/>
          <w:szCs w:val="20"/>
        </w:rPr>
        <w:t xml:space="preserve">[١٦]  </w:t>
      </w:r>
      <w:r>
        <w:rPr>
          <w:rFonts w:ascii="Arial" w:cs="Arial" w:eastAsia="Arial" w:hAnsi="Arial"/>
          <w:color w:val="222222"/>
          <w:sz w:val="20"/>
          <w:szCs w:val="20"/>
        </w:rPr>
        <w:t xml:space="preserve">Pierre Lévy — L'Intelligence collective : Pour une anthropologie du cyberespace. La Découverte, Paris, 1997. (Chapitre 4 : « L'espace du savoir », pp. 119-150 — vision positive et éthique de la participation numérique).</w:t>
      </w:r>
    </w:p>
    <w:p>
      <w:pPr>
        <w:spacing w:before="120" w:after="120"/>
      </w:pPr>
    </w:p>
    <w:p>
      <w:pPr>
        <w:bidi/>
        <w:spacing w:before="320" w:after="160"/>
        <w:jc w:val="right"/>
      </w:pPr>
      <w:r>
        <w:rPr>
          <w:rFonts w:ascii="Arial" w:cs="Arial" w:eastAsia="Arial" w:hAnsi="Arial"/>
          <w:b/>
          <w:bCs/>
          <w:color w:val="2E6DA4"/>
          <w:sz w:val="30"/>
          <w:szCs w:val="30"/>
        </w:rPr>
        <w:t xml:space="preserve">خامساً — الدراسات العلمية المحكّمة</w:t>
      </w:r>
    </w:p>
    <w:p>
      <w:pPr>
        <w:spacing w:before="100" w:after="100"/>
        <w:jc w:val="left"/>
      </w:pPr>
      <w:r>
        <w:rPr>
          <w:rFonts w:ascii="Arial" w:cs="Arial" w:eastAsia="Arial" w:hAnsi="Arial"/>
          <w:b/>
          <w:bCs/>
          <w:color w:val="2E6DA4"/>
          <w:sz w:val="20"/>
          <w:szCs w:val="20"/>
        </w:rPr>
        <w:t xml:space="preserve">[١٧]  </w:t>
      </w:r>
      <w:r>
        <w:rPr>
          <w:rFonts w:ascii="Arial" w:cs="Arial" w:eastAsia="Arial" w:hAnsi="Arial"/>
          <w:color w:val="222222"/>
          <w:sz w:val="20"/>
          <w:szCs w:val="20"/>
        </w:rPr>
        <w:t xml:space="preserve">Hunt Allcott et al. — « The Welfare Effects of Social Media ». American Economic Review, Vol. 110(3), 2020, pp. 629-676. (Étude randomisée sur 2 844 participants : la déconnexion de Facebook augmente le bien-être subjectif et réduit la polarisation politique).</w:t>
      </w:r>
    </w:p>
    <w:p>
      <w:pPr>
        <w:spacing w:before="100" w:after="100"/>
        <w:jc w:val="left"/>
      </w:pPr>
      <w:r>
        <w:rPr>
          <w:rFonts w:ascii="Arial" w:cs="Arial" w:eastAsia="Arial" w:hAnsi="Arial"/>
          <w:b/>
          <w:bCs/>
          <w:color w:val="2E6DA4"/>
          <w:sz w:val="20"/>
          <w:szCs w:val="20"/>
        </w:rPr>
        <w:t xml:space="preserve">[١٨]  </w:t>
      </w:r>
      <w:r>
        <w:rPr>
          <w:rFonts w:ascii="Arial" w:cs="Arial" w:eastAsia="Arial" w:hAnsi="Arial"/>
          <w:color w:val="222222"/>
          <w:sz w:val="20"/>
          <w:szCs w:val="20"/>
        </w:rPr>
        <w:t xml:space="preserve">Amy Orben &amp; Andrew Przybylski — « The Association Between Adolescent Well-Being and Digital Technology Use ». Nature Human Behaviour, Vol. 3, 2019, pp. 173-182.</w:t>
      </w:r>
    </w:p>
    <w:p>
      <w:pPr>
        <w:spacing w:before="100" w:after="100"/>
        <w:jc w:val="left"/>
      </w:pPr>
      <w:r>
        <w:rPr>
          <w:rFonts w:ascii="Arial" w:cs="Arial" w:eastAsia="Arial" w:hAnsi="Arial"/>
          <w:b/>
          <w:bCs/>
          <w:color w:val="2E6DA4"/>
          <w:sz w:val="20"/>
          <w:szCs w:val="20"/>
        </w:rPr>
        <w:t xml:space="preserve">[١٩]  </w:t>
      </w:r>
      <w:r>
        <w:rPr>
          <w:rFonts w:ascii="Arial" w:cs="Arial" w:eastAsia="Arial" w:hAnsi="Arial"/>
          <w:color w:val="222222"/>
          <w:sz w:val="20"/>
          <w:szCs w:val="20"/>
        </w:rPr>
        <w:t xml:space="preserve">Pew Research Center — « Social Media and News Fact-Sheet 2023 ». (Sur les habitudes de consommation d'information et les risques de désinformation dans l'espace numérique).</w:t>
      </w:r>
    </w:p>
    <w:p>
      <w:pPr>
        <w:spacing w:before="100" w:after="100"/>
        <w:jc w:val="left"/>
      </w:pPr>
      <w:r>
        <w:rPr>
          <w:rFonts w:ascii="Arial" w:cs="Arial" w:eastAsia="Arial" w:hAnsi="Arial"/>
          <w:b/>
          <w:bCs/>
          <w:color w:val="2E6DA4"/>
          <w:sz w:val="20"/>
          <w:szCs w:val="20"/>
        </w:rPr>
        <w:t xml:space="preserve">[٢٠]  </w:t>
      </w:r>
      <w:r>
        <w:rPr>
          <w:rFonts w:ascii="Arial" w:cs="Arial" w:eastAsia="Arial" w:hAnsi="Arial"/>
          <w:color w:val="222222"/>
          <w:sz w:val="20"/>
          <w:szCs w:val="20"/>
        </w:rPr>
        <w:t xml:space="preserve">Tyler VanderWeele et al. — « Religious Service Attendance and Major Depression in Three Major World Religions ». JAMA Psychiatry, Vol. 80(5), 2023, pp. 411-419. (Méta-analyse sur l'effet protecteur de la pratique religieuse régulière).</w:t>
      </w:r>
    </w:p>
    <w:p>
      <w:pPr>
        <w:pBdr>
          <w:bottom w:val="single" w:color="1A3C5E" w:sz="6" w:space="1"/>
        </w:pBdr>
        <w:spacing w:before="240" w:after="240"/>
      </w:pPr>
    </w:p>
    <w:p>
      <w:pPr>
        <w:spacing w:before="100" w:after="100"/>
      </w:pPr>
    </w:p>
    <w:p>
      <w:pPr>
        <w:bidi/>
        <w:spacing w:before="150" w:after="170" w:line="400"/>
        <w:jc w:val="center"/>
      </w:pPr>
      <w:r>
        <w:rPr>
          <w:rFonts w:ascii="Arial" w:cs="Arial" w:eastAsia="Arial" w:hAnsi="Arial"/>
          <w:b w:val="false"/>
          <w:bCs w:val="false"/>
          <w:color w:val="666666"/>
          <w:sz w:val="22"/>
          <w:szCs w:val="22"/>
        </w:rPr>
        <w:t xml:space="preserve">رسم هذا الفصل النموذج الكامل للاستخلاف الرقمي الواعي — وتبقى الخاتمة لتجميع خيوط الأطروحة كلها وفتح آفاقها البحثية.</w:t>
      </w:r>
    </w:p>
    <w:sectPr>
      <w:pgSz w:w="11906" w:h="16838" w:orient="portrait"/>
      <w:pgMar w:top="1600" w:right="180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2026-02-23T08:50:02.934Z</dcterms:created>
  <dcterms:modified xsi:type="dcterms:W3CDTF">2026-02-23T08:50:02.935Z</dcterms:modified>
</cp:coreProperties>
</file>

<file path=docProps/custom.xml><?xml version="1.0" encoding="utf-8"?>
<Properties xmlns="http://schemas.openxmlformats.org/officeDocument/2006/custom-properties" xmlns:vt="http://schemas.openxmlformats.org/officeDocument/2006/docPropsVTypes"/>
</file>