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00" w:before="400"/>
      </w:pPr>
      <w:r>
        <w:t xml:space="preserve"/>
      </w:r>
    </w:p>
    <w:p>
      <w:pPr>
        <w:bidi/>
        <w:spacing w:after="80" w:before="200"/>
        <w:jc w:val="center"/>
      </w:pPr>
      <w:r>
        <w:rPr>
          <w:rFonts w:ascii="Traditional Arabic" w:cs="Traditional Arabic" w:eastAsia="Traditional Arabic" w:hAnsi="Traditional Arabic"/>
          <w:b/>
          <w:bCs/>
          <w:color w:val="C8A84B"/>
          <w:sz w:val="24"/>
          <w:szCs w:val="24"/>
        </w:rPr>
        <w:t xml:space="preserve">ورقة بحثية</w:t>
      </w:r>
    </w:p>
    <w:p>
      <w:pPr>
        <w:bidi/>
        <w:spacing w:after="120" w:before="80"/>
        <w:jc w:val="center"/>
      </w:pPr>
      <w:r>
        <w:rPr>
          <w:rFonts w:ascii="Traditional Arabic" w:cs="Traditional Arabic" w:eastAsia="Traditional Arabic" w:hAnsi="Traditional Arabic"/>
          <w:b/>
          <w:bCs/>
          <w:color w:val="1A3C5E"/>
          <w:sz w:val="52"/>
          <w:szCs w:val="52"/>
        </w:rPr>
        <w:t xml:space="preserve">نحو بناء مقياس متعدد الأبعاد لمنطقة الراحة النفسية</w:t>
      </w:r>
    </w:p>
    <w:p>
      <w:pPr>
        <w:bidi/>
        <w:spacing w:after="80" w:before="40"/>
        <w:jc w:val="center"/>
      </w:pPr>
      <w:r>
        <w:rPr>
          <w:rFonts w:ascii="Traditional Arabic" w:cs="Traditional Arabic" w:eastAsia="Traditional Arabic" w:hAnsi="Traditional Arabic"/>
          <w:color w:val="2E7D9B"/>
          <w:sz w:val="28"/>
          <w:szCs w:val="28"/>
        </w:rPr>
        <w:t xml:space="preserve">إطار نظري وإجرائي متكامل يمزج العلوم العصبية بالمقاربة الاستخلافية</w:t>
      </w:r>
    </w:p>
    <w:p>
      <w:pPr>
        <w:pBdr>
          <w:bottom w:val="single" w:color="C8A84B" w:sz="6" w:space="1"/>
        </w:pBdr>
        <w:bidi/>
        <w:spacing w:after="200" w:before="200"/>
        <w:jc w:val="center"/>
      </w:pPr>
      <w:r>
        <w:t xml:space="preserve"/>
      </w:r>
    </w:p>
    <w:p>
      <w:pPr>
        <w:bidi/>
        <w:spacing w:after="100" w:before="2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6"/>
              <w:left w:val="single" w:color="1A3C5E" w:sz="6"/>
              <w:bottom w:val="single" w:color="1A3C5E" w:sz="6"/>
              <w:right w:val="single" w:color="1A3C5E" w:sz="6"/>
            </w:tcBorders>
            <w:shd w:fill="EAF2F8" w:val="clear"/>
            <w:tcMar>
              <w:top w:type="dxa" w:w="160"/>
              <w:left w:type="dxa" w:w="280"/>
              <w:bottom w:type="dxa" w:w="160"/>
              <w:right w:type="dxa" w:w="280"/>
            </w:tcMar>
          </w:tcPr>
          <w:p>
            <w:pPr>
              <w:bidi/>
              <w:spacing w:after="80" w:before="60"/>
              <w:jc w:val="right"/>
            </w:pPr>
            <w:r>
              <w:rPr>
                <w:rFonts w:ascii="Traditional Arabic" w:cs="Traditional Arabic" w:eastAsia="Traditional Arabic" w:hAnsi="Traditional Arabic"/>
                <w:b/>
                <w:bCs/>
                <w:color w:val="1A3C5E"/>
                <w:sz w:val="28"/>
                <w:szCs w:val="28"/>
              </w:rPr>
              <w:t xml:space="preserve">الملخص</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تسعى هذه الورقة البحثية إلى تأسيس إطار قياسي متكامل ومتعدد الأبعاد لمفهوم "منطقة الراحة النفسية"، بوصفه أداةً تشخيصية وتوجيهية في آنٍ معاً. وخلافاً للتصورات الشائعة التي تختزل هذا المفهوم في ثنائية تقييمية سطحية بين السلب والإيجاب، تنطلق الورقة من موقف نظري مفاده أن منطقة الراحة بنيةٌ نفسية – عصبية معقدة، تتشكّل عبر تفاعل منظومات دوافعية وتنظيمية وموردية متشابكة. ويُقترح لذلك نموذجٌ تقييمي خماسي المحطات، يستدعي الحوار بين مقاييس محكّمة دولياً، وقياسات علم الأعصاب الفسيولوجية، ومرجعيات القيم والمعنى في إطار علم النفس الاستخلافي. والغاية النهائية ليست التشخيص فحسب، بل إنتاج خريطة تفسيرية شخصية تُعيد للمفحوص سيادته على قراراته الوجودية والسلوكية.</w:t>
            </w:r>
          </w:p>
          <w:p>
            <w:pPr>
              <w:bidi/>
              <w:spacing w:after="100" w:before="100" w:line="360" w:lineRule="auto"/>
              <w:ind w:firstLine="720"/>
              <w:jc w:val="both"/>
              <w:rPr>
                <w:b w:val="false"/>
                <w:bCs w:val="false"/>
                <w:color w:val="5D6D7E"/>
              </w:rPr>
            </w:pPr>
            <w:r>
              <w:rPr>
                <w:rFonts w:ascii="Traditional Arabic" w:cs="Traditional Arabic" w:eastAsia="Traditional Arabic" w:hAnsi="Traditional Arabic"/>
                <w:b w:val="false"/>
                <w:bCs w:val="false"/>
                <w:color w:val="5D6D7E"/>
                <w:sz w:val="26"/>
                <w:szCs w:val="26"/>
              </w:rPr>
              <w:t xml:space="preserve">الكلمات المفتاحية: منطقة الراحة النفسية، المرونة النفسية، التنظيم العاطفي، العلوم العصبية، علم النفس الاستخلافي، الكفاءة الذاتية، اليقظة العقلية.</w:t>
            </w:r>
          </w:p>
        </w:tc>
      </w:tr>
    </w:tbl>
    <w:p>
      <w:pPr>
        <w:bidi/>
        <w:spacing w:after="100" w:before="3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4"/>
              <w:left w:val="single" w:color="1A3C5E" w:sz="4"/>
              <w:bottom w:val="single" w:color="1A3C5E" w:sz="4"/>
              <w:right w:val="single" w:color="1A3C5E" w:sz="4"/>
            </w:tcBorders>
            <w:shd w:fill="1A3C5E" w:val="clear"/>
            <w:tcMar>
              <w:top w:type="dxa" w:w="120"/>
              <w:left w:type="dxa" w:w="200"/>
              <w:bottom w:type="dxa" w:w="120"/>
              <w:right w:type="dxa" w:w="200"/>
            </w:tcMar>
          </w:tcPr>
          <w:p>
            <w:pPr>
              <w:bidi/>
              <w:spacing w:after="0" w:before="0"/>
              <w:jc w:val="right"/>
            </w:pPr>
            <w:r>
              <w:rPr>
                <w:rFonts w:ascii="Traditional Arabic" w:cs="Traditional Arabic" w:eastAsia="Traditional Arabic" w:hAnsi="Traditional Arabic"/>
                <w:b/>
                <w:bCs/>
                <w:color w:val="FFFFFF"/>
                <w:sz w:val="32"/>
                <w:szCs w:val="32"/>
              </w:rPr>
              <w:t xml:space="preserve">الإشكالية والسياق المفاهيمي</w:t>
            </w:r>
            <w:r>
              <w:rPr>
                <w:rFonts w:ascii="Times New Roman" w:cs="Times New Roman" w:eastAsia="Times New Roman" w:hAnsi="Times New Roman"/>
                <w:b/>
                <w:bCs/>
                <w:color w:val="C8A84B"/>
                <w:sz w:val="28"/>
                <w:szCs w:val="28"/>
              </w:rPr>
              <w:t xml:space="preserve">  |  المحور الأول</w:t>
            </w:r>
          </w:p>
        </w:tc>
      </w:tr>
    </w:tbl>
    <w:p>
      <w:pPr>
        <w:bidi/>
        <w:spacing w:after="100" w:before="12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لا يزال مفهوم "منطقة الراحة" يعاني من اختزالات إجرائية حادة في الأدبيات النفسية والمؤسسية على حدٍّ سواء؛ إذ كثيراً ما يُوظَّف توظيفاً أيديولوجياً لتبرير الضغط نحو التغيير بصرف النظر عن السياق التشخيصي للفرد وموارده النفسية الفعلية. وتنبثق من هذا القصور التفسيري إشكالية محورية: كيف يمكن بناء أداة قياسية علمية تُوفّق بين الصرامة السيكومترية، والدقة العصبية – البيولوجية، والمرجعية المعنوية – القيمية، في رسم خريطة شخصية متكاملة لموقع الفرد من منطقة راحته؟</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إن الإجابة عن هذه الإشكالية تستلزم مراجعة نقدية لمستويين متمايزين: أولهما البُعد المفاهيمي – أي إعادة تعريف المصطلح بما يستوعب تعقيده البنيوي، وثانيهما البُعد الإجرائي – أي بناء نموذج قياسي يُجسّد هذا التعقيد في مؤشرات قابلة للقياس والتفسير والتوجيه.</w:t>
      </w:r>
    </w:p>
    <w:p>
      <w:pPr>
        <w:bidi/>
        <w:spacing w:after="100" w:before="2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1.1 مراجعة المفهوم: من الاستعارة إلى البنية العلمية</w:t>
      </w:r>
    </w:p>
    <w:p>
      <w:pPr>
        <w:bidi/>
        <w:spacing w:after="100" w:before="100" w:line="360" w:lineRule="auto"/>
        <w:ind w:firstLine="72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والحقيقة التي تُرسّخها الأبحاث العصبية المعاصرة أن منطقة الراحة ليست حالةً سلبية بامتياز، بل هي تعبيرٌ وظيفي عن حاجة الجهاز العصبي المركزي إلى الاستقرار والتنبؤية، وهي ضرورة تكيّفية حيوية تُتيح استثمار الموارد المعرفية في مهام أعلى رتبةً من مجرد التكيّف مع الجديد. وعليه، فإن الهدف من المقياس المُقترح ليس تحفيز الخروج من هذه المنطقة، بل تحديد أين يقع الفرد منها في لحظة زمنية معينة، وبأيّ طاقة، وبناءً على أيّ قيم، ليتمكّن هو من اتخاذ القرار الواعي والسيادي.</w:t>
      </w:r>
    </w:p>
    <w:p>
      <w:pPr>
        <w:bidi/>
        <w:spacing w:after="100" w:before="2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1.2 مستويات البنية المفاهيمية</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يُميّز النموذج المُقترح بين ثلاثة مستويات تحليلية متداخلة لمنطقة الراحة:</w:t>
      </w:r>
    </w:p>
    <w:p>
      <w:pPr>
        <w:bidi/>
        <w:spacing w:after="100" w:before="8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8A84B" w:sz="6"/>
              <w:left w:val="single" w:color="C8A84B" w:sz="6"/>
              <w:bottom w:val="single" w:color="C8A84B" w:sz="6"/>
              <w:right w:val="single" w:color="C8A84B" w:sz="6"/>
            </w:tcBorders>
            <w:shd w:fill="FDF6E3" w:val="clear"/>
            <w:tcMar>
              <w:top w:type="dxa" w:w="160"/>
              <w:left w:type="dxa" w:w="280"/>
              <w:bottom w:type="dxa" w:w="160"/>
              <w:right w:type="dxa" w:w="280"/>
            </w:tcMar>
          </w:tcPr>
          <w:p>
            <w:pPr>
              <w:bidi/>
              <w:spacing w:after="60" w:before="60"/>
              <w:jc w:val="right"/>
            </w:pPr>
            <w:r>
              <w:rPr>
                <w:rFonts w:ascii="Traditional Arabic" w:cs="Traditional Arabic" w:eastAsia="Traditional Arabic" w:hAnsi="Traditional Arabic"/>
                <w:b/>
                <w:bCs/>
                <w:color w:val="1A3C5E"/>
                <w:sz w:val="26"/>
                <w:szCs w:val="26"/>
              </w:rPr>
              <w:t xml:space="preserve">المستوى الأول – الدوافعي: </w:t>
            </w:r>
            <w:r>
              <w:rPr>
                <w:rFonts w:ascii="Traditional Arabic" w:cs="Traditional Arabic" w:eastAsia="Traditional Arabic" w:hAnsi="Traditional Arabic"/>
                <w:color w:val="1C1C1C"/>
                <w:sz w:val="26"/>
                <w:szCs w:val="26"/>
              </w:rPr>
              <w:t xml:space="preserve">ويتعلق بالقيمة الذاتية المُسندة إلى فعل الخروج أو البقاء، وهي قيمة تُحدّدها منظومة المكافأة الدوبامينية وبنيات القشرة الجبهية الأمامية.</w:t>
            </w:r>
          </w:p>
          <w:p>
            <w:pPr>
              <w:bidi/>
              <w:spacing w:after="60" w:before="60"/>
              <w:jc w:val="right"/>
            </w:pPr>
            <w:r>
              <w:rPr>
                <w:rFonts w:ascii="Traditional Arabic" w:cs="Traditional Arabic" w:eastAsia="Traditional Arabic" w:hAnsi="Traditional Arabic"/>
                <w:b/>
                <w:bCs/>
                <w:color w:val="1A3C5E"/>
                <w:sz w:val="26"/>
                <w:szCs w:val="26"/>
              </w:rPr>
              <w:t xml:space="preserve">المستوى الثاني – التنظيمي: </w:t>
            </w:r>
            <w:r>
              <w:rPr>
                <w:rFonts w:ascii="Traditional Arabic" w:cs="Traditional Arabic" w:eastAsia="Traditional Arabic" w:hAnsi="Traditional Arabic"/>
                <w:color w:val="1C1C1C"/>
                <w:sz w:val="26"/>
                <w:szCs w:val="26"/>
              </w:rPr>
              <w:t xml:space="preserve">ويشمل آليات معالجة الغموض والمخاطرة المُدرَكة، ولا سيما الدور المحوري للقشرة الجبهية الجانبية الظهرية ومحور HPA في تنظيم الكورتيزول.</w:t>
            </w:r>
          </w:p>
          <w:p>
            <w:pPr>
              <w:bidi/>
              <w:spacing w:after="60" w:before="60"/>
              <w:jc w:val="right"/>
            </w:pPr>
            <w:r>
              <w:rPr>
                <w:rFonts w:ascii="Traditional Arabic" w:cs="Traditional Arabic" w:eastAsia="Traditional Arabic" w:hAnsi="Traditional Arabic"/>
                <w:b/>
                <w:bCs/>
                <w:color w:val="1A3C5E"/>
                <w:sz w:val="26"/>
                <w:szCs w:val="26"/>
              </w:rPr>
              <w:t xml:space="preserve">المستوى الثالث – الموردي: </w:t>
            </w:r>
            <w:r>
              <w:rPr>
                <w:rFonts w:ascii="Traditional Arabic" w:cs="Traditional Arabic" w:eastAsia="Traditional Arabic" w:hAnsi="Traditional Arabic"/>
                <w:color w:val="1C1C1C"/>
                <w:sz w:val="26"/>
                <w:szCs w:val="26"/>
              </w:rPr>
              <w:t xml:space="preserve">ويتمثل في الطاقة المتاحة للتغيير، سواء أكانت عصبية (HRV)، أم اجتماعية (شبكة الدعم)، أم معنوية (التوافق مع القيم).</w:t>
            </w:r>
          </w:p>
        </w:tc>
      </w:tr>
    </w:tbl>
    <w:p>
      <w:pPr>
        <w:bidi/>
        <w:spacing w:after="100" w:before="4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4"/>
              <w:left w:val="single" w:color="1A3C5E" w:sz="4"/>
              <w:bottom w:val="single" w:color="1A3C5E" w:sz="4"/>
              <w:right w:val="single" w:color="1A3C5E" w:sz="4"/>
            </w:tcBorders>
            <w:shd w:fill="1A3C5E" w:val="clear"/>
            <w:tcMar>
              <w:top w:type="dxa" w:w="120"/>
              <w:left w:type="dxa" w:w="200"/>
              <w:bottom w:type="dxa" w:w="120"/>
              <w:right w:type="dxa" w:w="200"/>
            </w:tcMar>
          </w:tcPr>
          <w:p>
            <w:pPr>
              <w:bidi/>
              <w:spacing w:after="0" w:before="0"/>
              <w:jc w:val="right"/>
            </w:pPr>
            <w:r>
              <w:rPr>
                <w:rFonts w:ascii="Traditional Arabic" w:cs="Traditional Arabic" w:eastAsia="Traditional Arabic" w:hAnsi="Traditional Arabic"/>
                <w:b/>
                <w:bCs/>
                <w:color w:val="FFFFFF"/>
                <w:sz w:val="32"/>
                <w:szCs w:val="32"/>
              </w:rPr>
              <w:t xml:space="preserve">البنية القياسية: النموذج الخماسي</w:t>
            </w:r>
            <w:r>
              <w:rPr>
                <w:rFonts w:ascii="Times New Roman" w:cs="Times New Roman" w:eastAsia="Times New Roman" w:hAnsi="Times New Roman"/>
                <w:b/>
                <w:bCs/>
                <w:color w:val="C8A84B"/>
                <w:sz w:val="28"/>
                <w:szCs w:val="28"/>
              </w:rPr>
              <w:t xml:space="preserve">  |  المحور الثاني</w:t>
            </w:r>
          </w:p>
        </w:tc>
      </w:tr>
    </w:tbl>
    <w:p>
      <w:pPr>
        <w:bidi/>
        <w:spacing w:after="100" w:before="12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يقوم النموذج القياسي المُقترح على خمس محطات تشخيصية متكاملة ومتسلسلة، تُشكّل في مجموعها منظومةً تقييمية شاملة تُراعي التعدد البُعدي لمنطقة الراحة. وتستهدف كل محطة مستوىً محدداً من البنية، مع الحرص على توافر الانسجام المنهجي بين المقاييس المعتمدة.</w:t>
      </w:r>
    </w:p>
    <w:p>
      <w:pPr>
        <w:bidi/>
        <w:spacing w:after="100" w:before="2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المحطة الأولى: مقياس التوجه نحو منطقة الراحة (CZO)</w:t>
      </w:r>
    </w:p>
    <w:p>
      <w:pPr>
        <w:bidi/>
        <w:spacing w:after="100" w:before="100" w:line="360" w:lineRule="auto"/>
        <w:ind w:firstLine="72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10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ترتبط درجات CZO ارتباطاً دالاً بجملة من السمات النفسية الجوهرية، يمكن تنظيمها وفق الجدول التالي:</w:t>
      </w:r>
    </w:p>
    <w:p>
      <w:pPr>
        <w:bidi/>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500"/>
        <w:gridCol w:w="5006"/>
      </w:tblGrid>
      <w:tr>
        <w:tc>
          <w:tcPr>
            <w:tcW w:type="dxa" w:w="5006"/>
            <w:tcBorders>
              <w:top w:val="single" w:color="2E7D9B" w:sz="6"/>
              <w:left w:val="single" w:color="2E7D9B" w:sz="6"/>
              <w:bottom w:val="single" w:color="2E7D9B" w:sz="6"/>
              <w:right w:val="single" w:color="CCCCCC" w:sz="4"/>
            </w:tcBorders>
            <w:shd w:fill="1A3C5E"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دلالتها في سياق منطقة الراحة</w:t>
            </w:r>
          </w:p>
        </w:tc>
        <w:tc>
          <w:tcPr>
            <w:tcW w:type="dxa" w:w="4500"/>
            <w:tcBorders>
              <w:top w:val="single" w:color="2E7D9B" w:sz="6"/>
              <w:left w:val="single" w:color="CCCCCC" w:sz="4"/>
              <w:bottom w:val="single" w:color="2E7D9B" w:sz="6"/>
              <w:right w:val="single" w:color="2E7D9B" w:sz="6"/>
            </w:tcBorders>
            <w:shd w:fill="2E7D9B"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السمة النفسية المرتبطة</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الانفتاح الفطري على الجديد؛ الأفراد ذوو الدرجات المرتفعة يُبدون ميلاً أكبر نحو تجاوز المألوف بوصفه تجربة محفِّزة لا مهدِّدة.</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حب الاستطلاع (Neophilia)</w:t>
            </w:r>
          </w:p>
        </w:tc>
      </w:tr>
      <w:tr>
        <w:tc>
          <w:tcPr>
            <w:tcW w:type="dxa" w:w="5006"/>
            <w:tcBorders>
              <w:top w:val="single" w:color="2E7D9B" w:sz="6"/>
              <w:left w:val="single" w:color="2E7D9B" w:sz="6"/>
              <w:bottom w:val="single" w:color="2E7D9B" w:sz="6"/>
              <w:right w:val="single" w:color="CCCCCC" w:sz="4"/>
            </w:tcBorders>
            <w:shd w:fill="EAF2F8"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الإيمان الراسخ بالقدرة على النجاح؛ إنه الوقود الداخلي الذي يجعل مواجهة التحدي الجديد تبدو ممكنة ومُجدية.</w:t>
            </w:r>
          </w:p>
        </w:tc>
        <w:tc>
          <w:tcPr>
            <w:tcW w:type="dxa" w:w="4500"/>
            <w:tcBorders>
              <w:top w:val="single" w:color="2E7D9B" w:sz="6"/>
              <w:left w:val="single" w:color="CCCCCC" w:sz="4"/>
              <w:bottom w:val="single" w:color="2E7D9B" w:sz="6"/>
              <w:right w:val="single" w:color="2E7D9B" w:sz="6"/>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الكفاءة الذاتية (Self-Efficacy)</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القدرة على احتواء الاستجابة الانفعالية للغموض؛ إذ كلما انخفض القلق المُزمن، بدت مناطق الجديد أقل تهديداً وأكثر إثارةً للفضول.</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تنظيم القلق (Anxiety Regulation)</w:t>
            </w:r>
          </w:p>
        </w:tc>
      </w:tr>
    </w:tbl>
    <w:p>
      <w:pPr>
        <w:bidi/>
        <w:spacing w:after="100" w:before="16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يُعزَّز هذا المستوى القياسي باستحضار مؤشرات عصبية – فسيولوجية تُضفي عليه بُعداً موضوعياً يتخطى حدود التقرير الذاتي:</w:t>
      </w:r>
    </w:p>
    <w:p>
      <w:pPr>
        <w:bidi/>
        <w:spacing w:after="100" w:before="8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2E7D9B" w:sz="6"/>
              <w:left w:val="single" w:color="2E7D9B" w:sz="6"/>
              <w:bottom w:val="single" w:color="2E7D9B" w:sz="6"/>
              <w:right w:val="single" w:color="2E7D9B" w:sz="6"/>
            </w:tcBorders>
            <w:shd w:fill="EAF2F8" w:val="clear"/>
            <w:tcMar>
              <w:top w:type="dxa" w:w="160"/>
              <w:left w:type="dxa" w:w="280"/>
              <w:bottom w:type="dxa" w:w="160"/>
              <w:right w:type="dxa" w:w="280"/>
            </w:tcMar>
          </w:tcPr>
          <w:p>
            <w:pPr>
              <w:bidi/>
              <w:spacing w:after="60" w:before="60"/>
              <w:jc w:val="right"/>
            </w:pPr>
            <w:r>
              <w:rPr>
                <w:rFonts w:ascii="Traditional Arabic" w:cs="Traditional Arabic" w:eastAsia="Traditional Arabic" w:hAnsi="Traditional Arabic"/>
                <w:b/>
                <w:bCs/>
                <w:color w:val="1A3C5E"/>
                <w:sz w:val="26"/>
                <w:szCs w:val="26"/>
              </w:rPr>
              <w:t xml:space="preserve">تخطيط كهربية الدماغ (EEG): </w:t>
            </w:r>
            <w:r>
              <w:rPr>
                <w:rFonts w:ascii="Traditional Arabic" w:cs="Traditional Arabic" w:eastAsia="Traditional Arabic" w:hAnsi="Traditional Arabic"/>
                <w:color w:val="1C1C1C"/>
                <w:sz w:val="26"/>
                <w:szCs w:val="26"/>
              </w:rPr>
              <w:t xml:space="preserve">ولا سيما قياس عدم التناسق في نشاط الفص الجبهي (Frontal Alpha Asymmetry)، وهو مؤشر موثوق على التوجه التحفيزي نحو الاقتراب (Approach) أو الانسحاب (Avoidance).</w:t>
            </w:r>
          </w:p>
          <w:p>
            <w:pPr>
              <w:bidi/>
              <w:spacing w:after="60" w:before="60"/>
              <w:jc w:val="right"/>
            </w:pPr>
            <w:r>
              <w:rPr>
                <w:rFonts w:ascii="Traditional Arabic" w:cs="Traditional Arabic" w:eastAsia="Traditional Arabic" w:hAnsi="Traditional Arabic"/>
                <w:b/>
                <w:bCs/>
                <w:color w:val="1A3C5E"/>
                <w:sz w:val="26"/>
                <w:szCs w:val="26"/>
              </w:rPr>
              <w:t xml:space="preserve">تقلب معدل ضربات القلب (HRV): </w:t>
            </w:r>
            <w:r>
              <w:rPr>
                <w:rFonts w:ascii="Traditional Arabic" w:cs="Traditional Arabic" w:eastAsia="Traditional Arabic" w:hAnsi="Traditional Arabic"/>
                <w:color w:val="1C1C1C"/>
                <w:sz w:val="26"/>
                <w:szCs w:val="26"/>
              </w:rPr>
              <w:t xml:space="preserve">مؤشر فسيولوجي لمرونة الجهاز العصبي اللاإرادي في التكيف مع الضغط والغموض؛ يكشف عن الطاقة التكيّفية الفعلية المتاحة للفرد، لا المُدرَكة فحسب.</w:t>
            </w:r>
          </w:p>
        </w:tc>
      </w:tr>
    </w:tbl>
    <w:p>
      <w:pPr>
        <w:bidi/>
        <w:spacing w:after="100" w:before="3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المحطة الثانية: المقاربة الاستخلافية – الأبعاد الأربعة للاستقرار الداخلي</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تُمثّل هذه المحطة النواة النظرية والفلسفية للنموذج، وتستند إلى إطار علم النفس الاستخلافي في تصوّره للبنية الداخلية للنفس الإنسانية بوصفها نسقاً من الطاقات والقدرات التي تُحدّد الموقف الوجودي للفرد. وتتشكّل من أربعة أبعاد تقييمية متمايزة:</w:t>
      </w:r>
    </w:p>
    <w:p>
      <w:pPr>
        <w:bidi/>
        <w:spacing w:after="100" w:before="120"/>
      </w:pPr>
      <w:r>
        <w:t xml:space="preserve"/>
      </w:r>
    </w:p>
    <w:p>
      <w:pPr>
        <w:bidi/>
        <w:spacing w:after="80" w:before="240"/>
        <w:jc w:val="right"/>
      </w:pPr>
      <w:r>
        <w:rPr>
          <w:rFonts w:ascii="Traditional Arabic" w:cs="Traditional Arabic" w:eastAsia="Traditional Arabic" w:hAnsi="Traditional Arabic"/>
          <w:b/>
          <w:bCs/>
          <w:color w:val="1A3C5E"/>
          <w:sz w:val="26"/>
          <w:szCs w:val="26"/>
        </w:rPr>
        <w:t xml:space="preserve">أولاً: المرونة النفسية (Psychological Flexibility)</w:t>
      </w:r>
    </w:p>
    <w:p>
      <w:pPr>
        <w:bidi/>
        <w:spacing w:after="100" w:before="100" w:line="360" w:lineRule="auto"/>
        <w:ind w:firstLine="72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100"/>
      </w:pPr>
      <w:r>
        <w:t xml:space="preserve"/>
      </w:r>
    </w:p>
    <w:p>
      <w:pPr>
        <w:bidi/>
        <w:spacing w:after="80" w:before="240"/>
        <w:jc w:val="right"/>
      </w:pPr>
      <w:r>
        <w:rPr>
          <w:rFonts w:ascii="Traditional Arabic" w:cs="Traditional Arabic" w:eastAsia="Traditional Arabic" w:hAnsi="Traditional Arabic"/>
          <w:b/>
          <w:bCs/>
          <w:color w:val="1A3C5E"/>
          <w:sz w:val="26"/>
          <w:szCs w:val="26"/>
        </w:rPr>
        <w:t xml:space="preserve">ثانياً: اليقظة العقلية كسِمة (Trait Mindfulness)</w:t>
      </w:r>
    </w:p>
    <w:p>
      <w:pPr>
        <w:bidi/>
        <w:spacing w:after="100" w:before="100" w:line="360" w:lineRule="auto"/>
        <w:ind w:firstLine="72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100"/>
      </w:pPr>
      <w:r>
        <w:t xml:space="preserve"/>
      </w:r>
    </w:p>
    <w:p>
      <w:pPr>
        <w:bidi/>
        <w:spacing w:after="80" w:before="240"/>
        <w:jc w:val="right"/>
      </w:pPr>
      <w:r>
        <w:rPr>
          <w:rFonts w:ascii="Traditional Arabic" w:cs="Traditional Arabic" w:eastAsia="Traditional Arabic" w:hAnsi="Traditional Arabic"/>
          <w:b/>
          <w:bCs/>
          <w:color w:val="1A3C5E"/>
          <w:sz w:val="26"/>
          <w:szCs w:val="26"/>
        </w:rPr>
        <w:t xml:space="preserve">ثالثاً: التنظيم الانفعالي (Emotion Regulation)</w:t>
      </w:r>
    </w:p>
    <w:p>
      <w:pPr>
        <w:bidi/>
        <w:spacing w:after="100" w:before="100" w:line="360" w:lineRule="auto"/>
        <w:ind w:firstLine="72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100"/>
      </w:pPr>
      <w:r>
        <w:t xml:space="preserve"/>
      </w:r>
    </w:p>
    <w:p>
      <w:pPr>
        <w:bidi/>
        <w:spacing w:after="80" w:before="240"/>
        <w:jc w:val="right"/>
      </w:pPr>
      <w:r>
        <w:rPr>
          <w:rFonts w:ascii="Traditional Arabic" w:cs="Traditional Arabic" w:eastAsia="Traditional Arabic" w:hAnsi="Traditional Arabic"/>
          <w:b/>
          <w:bCs/>
          <w:color w:val="1A3C5E"/>
          <w:sz w:val="26"/>
          <w:szCs w:val="26"/>
        </w:rPr>
        <w:t xml:space="preserve">رابعاً: تجنب التجربة (Experiential Avoidance)</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يُمثّل هذا البُعد الجانب الأكثر دقةً وخطورةً في تقييم منطقة الراحة؛ إذ يكشف عن الميل إلى تجنب الأفكار والمشاعر والأحاسيس الجسدية غير المريحة، حتى حين يكون هذا التجنب يسير في اتجاه معاكس للقيم الجوهرية. ارتفاع درجة التجنب يُنبئ بأن "منطقة الراحة" ليست ملاذاً واعياً، بل سجناً مبنياً على الخوف من الألم الوجداني.</w:t>
      </w:r>
    </w:p>
    <w:p>
      <w:pPr>
        <w:bidi/>
        <w:spacing w:after="100" w:before="3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المحطة الثالثة: جرد الموارد النفسية والوجودية</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لا يمكن تقييم منطقة الراحة بمعزل عن حجم الموارد المتاحة للفرد للتغيير والتحوّل. هذه المحطة تُقيّم "رأس المال النفسي والاجتماعي والمعنوي" المتاح، وتُعيد الاعتبار لمبدأ التوقيت الحكيم في منطق الاستخلاف:</w:t>
      </w:r>
    </w:p>
    <w:p>
      <w:pPr>
        <w:bidi/>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2E7D9B" w:sz="6"/>
              <w:left w:val="single" w:color="2E7D9B" w:sz="6"/>
              <w:bottom w:val="single" w:color="2E7D9B" w:sz="6"/>
              <w:right w:val="single" w:color="2E7D9B" w:sz="6"/>
            </w:tcBorders>
            <w:shd w:fill="EAF7F0" w:val="clear"/>
            <w:tcMar>
              <w:top w:type="dxa" w:w="160"/>
              <w:left w:type="dxa" w:w="280"/>
              <w:bottom w:type="dxa" w:w="160"/>
              <w:right w:type="dxa" w:w="280"/>
            </w:tcMar>
          </w:tcPr>
          <w:p>
            <w:pPr>
              <w:bidi/>
              <w:spacing w:after="80" w:before="60"/>
              <w:jc w:val="right"/>
            </w:pPr>
            <w:r>
              <w:rPr>
                <w:rFonts w:ascii="Traditional Arabic" w:cs="Traditional Arabic" w:eastAsia="Traditional Arabic" w:hAnsi="Traditional Arabic"/>
                <w:b/>
                <w:bCs/>
                <w:color w:val="1A3C5E"/>
                <w:sz w:val="26"/>
                <w:szCs w:val="26"/>
              </w:rPr>
              <w:t xml:space="preserve">ثلاثة محاور تقييمية في هذه المحطة:</w:t>
            </w:r>
          </w:p>
          <w:p>
            <w:pPr>
              <w:bidi/>
              <w:spacing w:after="60" w:before="40"/>
              <w:jc w:val="right"/>
            </w:pPr>
            <w:r>
              <w:rPr>
                <w:rFonts w:ascii="Traditional Arabic" w:cs="Traditional Arabic" w:eastAsia="Traditional Arabic" w:hAnsi="Traditional Arabic"/>
                <w:b/>
                <w:bCs/>
                <w:color w:val="1A3C5E"/>
                <w:sz w:val="26"/>
                <w:szCs w:val="26"/>
              </w:rPr>
              <w:t xml:space="preserve">1. الدعم الاجتماعي المُدرَك: </w:t>
            </w:r>
            <w:r>
              <w:rPr>
                <w:rFonts w:ascii="Traditional Arabic" w:cs="Traditional Arabic" w:eastAsia="Traditional Arabic" w:hAnsi="Traditional Arabic"/>
                <w:color w:val="1C1C1C"/>
                <w:sz w:val="26"/>
                <w:szCs w:val="26"/>
              </w:rPr>
              <w:t xml:space="preserve">يُقاس بـ MSPSS، ويكشف عن حجم شبكة الأمان الاجتماعي التي تتسع بها منطقة الراحة؛ لأن معرفة الفرد بأنه لن يسقط في الفراغ تُوسّع نطاق المجازفة المحتملة.</w:t>
            </w:r>
          </w:p>
          <w:p>
            <w:pPr>
              <w:bidi/>
              <w:spacing w:after="60" w:before="40"/>
              <w:jc w:val="right"/>
            </w:pPr>
            <w:r>
              <w:rPr>
                <w:rFonts w:ascii="Traditional Arabic" w:cs="Traditional Arabic" w:eastAsia="Traditional Arabic" w:hAnsi="Traditional Arabic"/>
                <w:b/>
                <w:bCs/>
                <w:color w:val="1A3C5E"/>
                <w:sz w:val="26"/>
                <w:szCs w:val="26"/>
              </w:rPr>
              <w:t xml:space="preserve">2. التوافق مع القيم الجوهرية: </w:t>
            </w:r>
            <w:r>
              <w:rPr>
                <w:rFonts w:ascii="Traditional Arabic" w:cs="Traditional Arabic" w:eastAsia="Traditional Arabic" w:hAnsi="Traditional Arabic"/>
                <w:color w:val="1C1C1C"/>
                <w:sz w:val="26"/>
                <w:szCs w:val="26"/>
              </w:rPr>
              <w:t xml:space="preserve">تُقيّم هذه الأداة ما إذا كان خيار البقاء أو التحرك متناغماً مع البوصلة الداخلية العميقة للفرد. التغيير المنبثق من القيم هو وحده ما يُنتج نمواً مستداماً ومُشبِعاً.</w:t>
            </w:r>
          </w:p>
          <w:p>
            <w:pPr>
              <w:bidi/>
              <w:spacing w:after="40" w:before="40"/>
              <w:jc w:val="right"/>
            </w:pPr>
            <w:r>
              <w:rPr>
                <w:rFonts w:ascii="Traditional Arabic" w:cs="Traditional Arabic" w:eastAsia="Traditional Arabic" w:hAnsi="Traditional Arabic"/>
                <w:b/>
                <w:bCs/>
                <w:color w:val="1A3C5E"/>
                <w:sz w:val="26"/>
                <w:szCs w:val="26"/>
              </w:rPr>
              <w:t xml:space="preserve">3. مؤشر الإنهاك والاحتراق النفسي (MBI): </w:t>
            </w:r>
            <w:r>
              <w:rPr>
                <w:rFonts w:ascii="Traditional Arabic" w:cs="Traditional Arabic" w:eastAsia="Traditional Arabic" w:hAnsi="Traditional Arabic"/>
                <w:color w:val="1C1C1C"/>
                <w:sz w:val="26"/>
                <w:szCs w:val="26"/>
              </w:rPr>
              <w:t xml:space="preserve">حين يكون الجهاز العصبي منهكاً، تغدو "الراحة" ضرورةً علاجية لا إخفاقاً إرادياً. هذا المؤشر يُحدّد ما إذا كان الوقت الراهن وقت تحرك أو وقت استعادة.</w:t>
            </w:r>
          </w:p>
        </w:tc>
      </w:tr>
    </w:tbl>
    <w:p>
      <w:pPr>
        <w:bidi/>
        <w:spacing w:after="100" w:before="3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المحطة الرابعة: نظام الملاحة السلوكية (نموذج الراحة – التمدد – الذعر)</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تُعيد هذه المحطة ترجمة المعطيات المجمَّعة في المحطات السابقة إلى خريطة عمل ديناميكية، تستند إلى نموذج الراحة – التمدد – الذعر (Comfort – Stretch – Panic Model)، وهو نموذج سلوكي ذو دلالة تشخيصية عالية:</w:t>
      </w:r>
    </w:p>
    <w:p>
      <w:pPr>
        <w:bidi/>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500"/>
        <w:gridCol w:w="5006"/>
      </w:tblGrid>
      <w:tr>
        <w:tc>
          <w:tcPr>
            <w:tcW w:type="dxa" w:w="5006"/>
            <w:tcBorders>
              <w:top w:val="single" w:color="2E7D9B" w:sz="6"/>
              <w:left w:val="single" w:color="2E7D9B" w:sz="6"/>
              <w:bottom w:val="single" w:color="2E7D9B" w:sz="6"/>
              <w:right w:val="single" w:color="CCCCCC" w:sz="4"/>
            </w:tcBorders>
            <w:shd w:fill="1A3C5E"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خصائصها ووظيفتها</w:t>
            </w:r>
          </w:p>
        </w:tc>
        <w:tc>
          <w:tcPr>
            <w:tcW w:type="dxa" w:w="4500"/>
            <w:tcBorders>
              <w:top w:val="single" w:color="2E7D9B" w:sz="6"/>
              <w:left w:val="single" w:color="CCCCCC" w:sz="4"/>
              <w:bottom w:val="single" w:color="2E7D9B" w:sz="6"/>
              <w:right w:val="single" w:color="2E7D9B" w:sz="6"/>
            </w:tcBorders>
            <w:shd w:fill="2E7D9B"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المنطقة</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مساحة الألفة والروتين. ليست سلبية بالضرورة؛ هي ضرورة تكيفية تُتيح التعافي والمعالجة التلقائية دون استنزاف الموارد المعرفية.</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منطقة الراحة (Comfort Zone)</w:t>
            </w:r>
          </w:p>
        </w:tc>
      </w:tr>
      <w:tr>
        <w:tc>
          <w:tcPr>
            <w:tcW w:type="dxa" w:w="5006"/>
            <w:tcBorders>
              <w:top w:val="single" w:color="2E7D9B" w:sz="6"/>
              <w:left w:val="single" w:color="2E7D9B" w:sz="6"/>
              <w:bottom w:val="single" w:color="2E7D9B" w:sz="6"/>
              <w:right w:val="single" w:color="CCCCCC" w:sz="4"/>
            </w:tcBorders>
            <w:shd w:fill="EAF2F8"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المنطقة الذهبية للنمو. تتسم بعدم ارتياح قابل للاحتمال، يُفضي إلى توسيع القدرات وإثراء التجربة دون تشغيل استجابة الخطر الكامل.</w:t>
            </w:r>
          </w:p>
        </w:tc>
        <w:tc>
          <w:tcPr>
            <w:tcW w:type="dxa" w:w="4500"/>
            <w:tcBorders>
              <w:top w:val="single" w:color="2E7D9B" w:sz="6"/>
              <w:left w:val="single" w:color="CCCCCC" w:sz="4"/>
              <w:bottom w:val="single" w:color="2E7D9B" w:sz="6"/>
              <w:right w:val="single" w:color="2E7D9B" w:sz="6"/>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منطقة التمدد (Stretch Zone)</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الإفراط في التحدي. يتجاوز فيها الضغط الطاقة التكيفية المتاحة، مُنتِجاً انسحاباً دفاعياً أعمق وترسيخاً أكبر للقيود.</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منطقة الذعر (Panic Zone)</w:t>
            </w:r>
          </w:p>
        </w:tc>
      </w:tr>
    </w:tbl>
    <w:p>
      <w:pPr>
        <w:bidi/>
        <w:spacing w:after="100" w:before="16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تستخدم هذه المحطة أدوات تقييمية سلوكية كتطبيق Comfort Zone App وبروتوكول استبيان CoZE، لرسم خريطة شخصية للأنشطة اليومية على هذا الطيف الثلاثي، مما يُحوّل المفهوم النظري إلى مرشد إجرائي قابل للمتابعة والتعديل.</w:t>
      </w:r>
    </w:p>
    <w:p>
      <w:pPr>
        <w:bidi/>
        <w:spacing w:after="100" w:before="3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4"/>
              <w:left w:val="single" w:color="1A3C5E" w:sz="4"/>
              <w:bottom w:val="single" w:color="1A3C5E" w:sz="4"/>
              <w:right w:val="single" w:color="1A3C5E" w:sz="4"/>
            </w:tcBorders>
            <w:shd w:fill="1A3C5E" w:val="clear"/>
            <w:tcMar>
              <w:top w:type="dxa" w:w="120"/>
              <w:left w:type="dxa" w:w="200"/>
              <w:bottom w:type="dxa" w:w="120"/>
              <w:right w:type="dxa" w:w="200"/>
            </w:tcMar>
          </w:tcPr>
          <w:p>
            <w:pPr>
              <w:bidi/>
              <w:spacing w:after="0" w:before="0"/>
              <w:jc w:val="right"/>
            </w:pPr>
            <w:r>
              <w:rPr>
                <w:rFonts w:ascii="Traditional Arabic" w:cs="Traditional Arabic" w:eastAsia="Traditional Arabic" w:hAnsi="Traditional Arabic"/>
                <w:b/>
                <w:bCs/>
                <w:color w:val="FFFFFF"/>
                <w:sz w:val="32"/>
                <w:szCs w:val="32"/>
              </w:rPr>
              <w:t xml:space="preserve">التكامل والتطبيق: من التشخيص إلى التوجيه</w:t>
            </w:r>
            <w:r>
              <w:rPr>
                <w:rFonts w:ascii="Times New Roman" w:cs="Times New Roman" w:eastAsia="Times New Roman" w:hAnsi="Times New Roman"/>
                <w:b/>
                <w:bCs/>
                <w:color w:val="C8A84B"/>
                <w:sz w:val="28"/>
                <w:szCs w:val="28"/>
              </w:rPr>
              <w:t xml:space="preserve">  |  المحور الثالث</w:t>
            </w:r>
          </w:p>
        </w:tc>
      </w:tr>
    </w:tbl>
    <w:p>
      <w:pPr>
        <w:bidi/>
        <w:spacing w:after="100" w:before="12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تتكامل محطات النموذج الخمس في تقرير تشخيصي متعدد الأبعاد، يُسمى "الخريطة الشخصية لمنطقة الراحة"، ويتضمن المكونات التالية:</w:t>
      </w:r>
    </w:p>
    <w:p>
      <w:pPr>
        <w:bidi/>
        <w:spacing w:after="100" w:before="1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4500"/>
        <w:gridCol w:w="5006"/>
      </w:tblGrid>
      <w:tr>
        <w:tc>
          <w:tcPr>
            <w:tcW w:type="dxa" w:w="5006"/>
            <w:tcBorders>
              <w:top w:val="single" w:color="2E7D9B" w:sz="6"/>
              <w:left w:val="single" w:color="2E7D9B" w:sz="6"/>
              <w:bottom w:val="single" w:color="2E7D9B" w:sz="6"/>
              <w:right w:val="single" w:color="CCCCCC" w:sz="4"/>
            </w:tcBorders>
            <w:shd w:fill="1A3C5E"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المحتوى التفسيري</w:t>
            </w:r>
          </w:p>
        </w:tc>
        <w:tc>
          <w:tcPr>
            <w:tcW w:type="dxa" w:w="4500"/>
            <w:tcBorders>
              <w:top w:val="single" w:color="2E7D9B" w:sz="6"/>
              <w:left w:val="single" w:color="CCCCCC" w:sz="4"/>
              <w:bottom w:val="single" w:color="2E7D9B" w:sz="6"/>
              <w:right w:val="single" w:color="2E7D9B" w:sz="6"/>
            </w:tcBorders>
            <w:shd w:fill="2E7D9B"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bCs/>
                <w:color w:val="FFFFFF"/>
                <w:sz w:val="24"/>
                <w:szCs w:val="24"/>
              </w:rPr>
              <w:t xml:space="preserve">مكوّن التقرير</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درجة مركّبة توضح حجم المنطقة وطبيعتها السلوكية والانفعالية، مبنية على الدرجات المُجمَّعة من المحطات الخمس.</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ملف منطقة الراحة</w:t>
            </w:r>
          </w:p>
        </w:tc>
      </w:tr>
      <w:tr>
        <w:tc>
          <w:tcPr>
            <w:tcW w:type="dxa" w:w="5006"/>
            <w:tcBorders>
              <w:top w:val="single" w:color="2E7D9B" w:sz="6"/>
              <w:left w:val="single" w:color="2E7D9B" w:sz="6"/>
              <w:bottom w:val="single" w:color="2E7D9B" w:sz="6"/>
              <w:right w:val="single" w:color="CCCCCC" w:sz="4"/>
            </w:tcBorders>
            <w:shd w:fill="EAF2F8"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قراءة تحليلية لـ CZO وارتباطاتها النفسية وما يُنتجه ذلك من فهم للمحركات الداخلية الحقيقية لسلوك الفرد.</w:t>
            </w:r>
          </w:p>
        </w:tc>
        <w:tc>
          <w:tcPr>
            <w:tcW w:type="dxa" w:w="4500"/>
            <w:tcBorders>
              <w:top w:val="single" w:color="2E7D9B" w:sz="6"/>
              <w:left w:val="single" w:color="CCCCCC" w:sz="4"/>
              <w:bottom w:val="single" w:color="2E7D9B" w:sz="6"/>
              <w:right w:val="single" w:color="2E7D9B" w:sz="6"/>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خريطة الدوافع</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تقييم تكاملي للمرونة النفسية، واليقظة العقلية، واستراتيجيات التنظيم الانفعالي، ودرجة تجنب التجربة.</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تقرير الحالة الداخلية</w:t>
            </w:r>
          </w:p>
        </w:tc>
      </w:tr>
      <w:tr>
        <w:tc>
          <w:tcPr>
            <w:tcW w:type="dxa" w:w="5006"/>
            <w:tcBorders>
              <w:top w:val="single" w:color="2E7D9B" w:sz="6"/>
              <w:left w:val="single" w:color="2E7D9B" w:sz="6"/>
              <w:bottom w:val="single" w:color="2E7D9B" w:sz="6"/>
              <w:right w:val="single" w:color="CCCCCC" w:sz="4"/>
            </w:tcBorders>
            <w:shd w:fill="EAF2F8"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تقييم الجاهزية الفعلية للتغيير: الدعم الاجتماعي، والتوافق مع القيم، ومستوى الإنهاك والاستعادة.</w:t>
            </w:r>
          </w:p>
        </w:tc>
        <w:tc>
          <w:tcPr>
            <w:tcW w:type="dxa" w:w="4500"/>
            <w:tcBorders>
              <w:top w:val="single" w:color="2E7D9B" w:sz="6"/>
              <w:left w:val="single" w:color="CCCCCC" w:sz="4"/>
              <w:bottom w:val="single" w:color="2E7D9B" w:sz="6"/>
              <w:right w:val="single" w:color="2E7D9B" w:sz="6"/>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مؤشر الطاقة والموارد</w:t>
            </w:r>
          </w:p>
        </w:tc>
      </w:tr>
      <w:tr>
        <w:tc>
          <w:tcPr>
            <w:tcW w:type="dxa" w:w="5006"/>
            <w:tcBorders>
              <w:top w:val="single" w:color="2E7D9B" w:sz="6"/>
              <w:left w:val="single" w:color="2E7D9B" w:sz="6"/>
              <w:bottom w:val="single" w:color="2E7D9B" w:sz="6"/>
              <w:right w:val="single" w:color="CCCCCC" w:sz="4"/>
            </w:tcBorders>
            <w:shd w:fill="FFFFFF"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خطة إجرائية تحدد موقع الأنشطة الراهنة على نموذج الراحة – التمدد – الذعر، مع توصيات ديناميكية.</w:t>
            </w:r>
          </w:p>
        </w:tc>
        <w:tc>
          <w:tcPr>
            <w:tcW w:type="dxa" w:w="4500"/>
            <w:tcBorders>
              <w:top w:val="single" w:color="2E7D9B" w:sz="6"/>
              <w:left w:val="single" w:color="CCCCCC" w:sz="4"/>
              <w:bottom w:val="single" w:color="2E7D9B" w:sz="6"/>
              <w:right w:val="single" w:color="2E7D9B" w:sz="6"/>
            </w:tcBorders>
            <w:shd w:fill="F5F5F5" w:val="clear"/>
            <w:tcMar>
              <w:top w:type="dxa" w:w="100"/>
              <w:left w:type="dxa" w:w="160"/>
              <w:bottom w:type="dxa" w:w="100"/>
              <w:right w:type="dxa" w:w="160"/>
            </w:tcMar>
          </w:tcPr>
          <w:p>
            <w:pPr>
              <w:bidi/>
              <w:spacing w:after="0" w:before="0"/>
              <w:jc w:val="right"/>
            </w:pPr>
            <w:r>
              <w:rPr>
                <w:rFonts w:ascii="Traditional Arabic" w:cs="Traditional Arabic" w:eastAsia="Traditional Arabic" w:hAnsi="Traditional Arabic"/>
                <w:b w:val="false"/>
                <w:bCs w:val="false"/>
                <w:color w:val="1C1C1C"/>
                <w:sz w:val="24"/>
                <w:szCs w:val="24"/>
              </w:rPr>
              <w:t xml:space="preserve">بوصلة التوجيه اليومية</w:t>
            </w:r>
          </w:p>
        </w:tc>
      </w:tr>
    </w:tbl>
    <w:p>
      <w:pPr>
        <w:bidi/>
        <w:spacing w:after="100" w:before="3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4"/>
              <w:left w:val="single" w:color="1A3C5E" w:sz="4"/>
              <w:bottom w:val="single" w:color="1A3C5E" w:sz="4"/>
              <w:right w:val="single" w:color="1A3C5E" w:sz="4"/>
            </w:tcBorders>
            <w:shd w:fill="1A3C5E" w:val="clear"/>
            <w:tcMar>
              <w:top w:type="dxa" w:w="120"/>
              <w:left w:type="dxa" w:w="200"/>
              <w:bottom w:type="dxa" w:w="120"/>
              <w:right w:type="dxa" w:w="200"/>
            </w:tcMar>
          </w:tcPr>
          <w:p>
            <w:pPr>
              <w:bidi/>
              <w:spacing w:after="0" w:before="0"/>
              <w:jc w:val="right"/>
            </w:pPr>
            <w:r>
              <w:rPr>
                <w:rFonts w:ascii="Traditional Arabic" w:cs="Traditional Arabic" w:eastAsia="Traditional Arabic" w:hAnsi="Traditional Arabic"/>
                <w:b/>
                <w:bCs/>
                <w:color w:val="FFFFFF"/>
                <w:sz w:val="32"/>
                <w:szCs w:val="32"/>
              </w:rPr>
              <w:t xml:space="preserve">المناقشة النقدية والافتراحات المستقبلية</w:t>
            </w:r>
            <w:r>
              <w:rPr>
                <w:rFonts w:ascii="Times New Roman" w:cs="Times New Roman" w:eastAsia="Times New Roman" w:hAnsi="Times New Roman"/>
                <w:b/>
                <w:bCs/>
                <w:color w:val="C8A84B"/>
                <w:sz w:val="28"/>
                <w:szCs w:val="28"/>
              </w:rPr>
              <w:t xml:space="preserve">  |  المحور الرابع</w:t>
            </w:r>
          </w:p>
        </w:tc>
      </w:tr>
    </w:tbl>
    <w:p>
      <w:pPr>
        <w:bidi/>
        <w:spacing w:after="100" w:before="12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4.1 المكاسب النظرية والإجرائية للنموذج</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يُسهم النموذج المُقترح في تجاوز عدة إشكاليات راسخة في الأدبيات القائمة: أولها الأحادية البُعدية التي تختزل منطقة الراحة في مفهوم تقييمي ثنائي القطب (إيجابي/سلبي)، وثانيها الفصل الاصطناعي بين التقرير الذاتي والمؤشرات الفسيولوجية، وثالثها إغفال البُعد المعنوي والقيمي في تفسير السلوك المرتبط بالتغيير أو التثبّت.</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وبدمج المرجعية الاستخلافية ضمن البنية القياسية، يُعيد النموذج صياغة السؤال الجوهري من "كيف أخرج من منطقة راحتي؟" إلى "ما هو الخروج الحكيم في هذه اللحظة بالنسبة لهذا الفرد وهذا السياق؟"، وهو تحوّل جذري في فلسفة التقييم النفسي.</w:t>
      </w:r>
    </w:p>
    <w:p>
      <w:pPr>
        <w:bidi/>
        <w:spacing w:after="100" w:before="200"/>
      </w:pPr>
      <w:r>
        <w:t xml:space="preserve"/>
      </w:r>
    </w:p>
    <w:p>
      <w:pPr>
        <w:pBdr>
          <w:right w:val="thick" w:color="C8A84B" w:sz="20" w:space="6"/>
        </w:pBdr>
        <w:bidi/>
        <w:spacing w:after="120" w:before="360"/>
        <w:jc w:val="right"/>
      </w:pPr>
      <w:r>
        <w:rPr>
          <w:rFonts w:ascii="Traditional Arabic" w:cs="Traditional Arabic" w:eastAsia="Traditional Arabic" w:hAnsi="Traditional Arabic"/>
          <w:b/>
          <w:bCs/>
          <w:color w:val="2E7D9B"/>
          <w:sz w:val="30"/>
          <w:szCs w:val="30"/>
        </w:rPr>
        <w:t xml:space="preserve">4.2 حدود النموذج ومتطلبات التطوير</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يُقرّ النموذج بجملة من القيود المنهجية والتطبيقية التي تستوجب المعالجة في المراحل اللاحقة من التطوير:</w:t>
      </w:r>
    </w:p>
    <w:p>
      <w:pPr>
        <w:bidi/>
        <w:spacing w:after="100" w:before="8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8A84B" w:sz="6"/>
              <w:left w:val="single" w:color="C8A84B" w:sz="6"/>
              <w:bottom w:val="single" w:color="C8A84B" w:sz="6"/>
              <w:right w:val="single" w:color="C8A84B" w:sz="6"/>
            </w:tcBorders>
            <w:shd w:fill="EAF2F8" w:val="clear"/>
            <w:tcMar>
              <w:top w:type="dxa" w:w="160"/>
              <w:left w:type="dxa" w:w="280"/>
              <w:bottom w:type="dxa" w:w="160"/>
              <w:right w:type="dxa" w:w="280"/>
            </w:tcMar>
          </w:tcPr>
          <w:p>
            <w:pPr>
              <w:bidi/>
              <w:spacing w:after="60" w:before="40"/>
              <w:jc w:val="right"/>
            </w:pPr>
            <w:r>
              <w:rPr>
                <w:rFonts w:ascii="Traditional Arabic" w:cs="Traditional Arabic" w:eastAsia="Traditional Arabic" w:hAnsi="Traditional Arabic"/>
                <w:b/>
                <w:bCs/>
                <w:color w:val="1A3C5E"/>
                <w:sz w:val="26"/>
                <w:szCs w:val="26"/>
              </w:rPr>
              <w:t xml:space="preserve">أ. التوافق الثقافي: </w:t>
            </w:r>
            <w:r>
              <w:rPr>
                <w:rFonts w:ascii="Traditional Arabic" w:cs="Traditional Arabic" w:eastAsia="Traditional Arabic" w:hAnsi="Traditional Arabic"/>
                <w:color w:val="1C1C1C"/>
                <w:sz w:val="26"/>
                <w:szCs w:val="26"/>
              </w:rPr>
              <w:t xml:space="preserve">تفترض مقاييس CZO والمرونة النفسية في صيغتها الأصلية سياقات قيمية غربية. يستوجب تطبيقها في البيئات العربية إجراء دراسات تكييف منهجية دقيقة تراعي الأطر الدينية والقيمية المحلية.</w:t>
            </w:r>
          </w:p>
          <w:p>
            <w:pPr>
              <w:bidi/>
              <w:spacing w:after="60" w:before="40"/>
              <w:jc w:val="right"/>
            </w:pPr>
            <w:r>
              <w:rPr>
                <w:rFonts w:ascii="Traditional Arabic" w:cs="Traditional Arabic" w:eastAsia="Traditional Arabic" w:hAnsi="Traditional Arabic"/>
                <w:b/>
                <w:bCs/>
                <w:color w:val="1A3C5E"/>
                <w:sz w:val="26"/>
                <w:szCs w:val="26"/>
              </w:rPr>
              <w:t xml:space="preserve">ب. تكلفة القياس الفسيولوجي: </w:t>
            </w:r>
            <w:r>
              <w:rPr>
                <w:rFonts w:ascii="Traditional Arabic" w:cs="Traditional Arabic" w:eastAsia="Traditional Arabic" w:hAnsi="Traditional Arabic"/>
                <w:color w:val="1C1C1C"/>
                <w:sz w:val="26"/>
                <w:szCs w:val="26"/>
              </w:rPr>
              <w:t xml:space="preserve">تضمين EEG وHRV في بروتوكول قياسي يستلزم بنية تحتية مؤسسية متخصصة، مما يُضيّق نطاق التطبيق الميداني في المرحلة الراهنة.</w:t>
            </w:r>
          </w:p>
          <w:p>
            <w:pPr>
              <w:bidi/>
              <w:spacing w:after="40" w:before="40"/>
              <w:jc w:val="right"/>
            </w:pPr>
            <w:r>
              <w:rPr>
                <w:rFonts w:ascii="Traditional Arabic" w:cs="Traditional Arabic" w:eastAsia="Traditional Arabic" w:hAnsi="Traditional Arabic"/>
                <w:b/>
                <w:bCs/>
                <w:color w:val="1A3C5E"/>
                <w:sz w:val="26"/>
                <w:szCs w:val="26"/>
              </w:rPr>
              <w:t xml:space="preserve">ج. الصدق التنبؤي: </w:t>
            </w:r>
            <w:r>
              <w:rPr>
                <w:rFonts w:ascii="Traditional Arabic" w:cs="Traditional Arabic" w:eastAsia="Traditional Arabic" w:hAnsi="Traditional Arabic"/>
                <w:color w:val="1C1C1C"/>
                <w:sz w:val="26"/>
                <w:szCs w:val="26"/>
              </w:rPr>
              <w:t xml:space="preserve">يتطلب التحقق من القدرة التنبؤية للنموذج لمخرجات التغيير السلوكي الفعلي إجراء دراسات طولية تتبّعية على عينات ممثّلة.</w:t>
            </w:r>
          </w:p>
        </w:tc>
      </w:tr>
    </w:tbl>
    <w:p>
      <w:pPr>
        <w:bidi/>
        <w:spacing w:after="100" w:before="4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1A3C5E" w:sz="4"/>
              <w:left w:val="single" w:color="1A3C5E" w:sz="4"/>
              <w:bottom w:val="single" w:color="1A3C5E" w:sz="4"/>
              <w:right w:val="single" w:color="1A3C5E" w:sz="4"/>
            </w:tcBorders>
            <w:shd w:fill="1A3C5E" w:val="clear"/>
            <w:tcMar>
              <w:top w:type="dxa" w:w="120"/>
              <w:left w:type="dxa" w:w="200"/>
              <w:bottom w:type="dxa" w:w="120"/>
              <w:right w:type="dxa" w:w="200"/>
            </w:tcMar>
          </w:tcPr>
          <w:p>
            <w:pPr>
              <w:bidi/>
              <w:spacing w:after="0" w:before="0"/>
              <w:jc w:val="right"/>
            </w:pPr>
            <w:r>
              <w:rPr>
                <w:rFonts w:ascii="Traditional Arabic" w:cs="Traditional Arabic" w:eastAsia="Traditional Arabic" w:hAnsi="Traditional Arabic"/>
                <w:b/>
                <w:bCs/>
                <w:color w:val="FFFFFF"/>
                <w:sz w:val="32"/>
                <w:szCs w:val="32"/>
              </w:rPr>
              <w:t xml:space="preserve">الخلاصة والتوصيات</w:t>
            </w:r>
            <w:r>
              <w:rPr>
                <w:rFonts w:ascii="Times New Roman" w:cs="Times New Roman" w:eastAsia="Times New Roman" w:hAnsi="Times New Roman"/>
                <w:b/>
                <w:bCs/>
                <w:color w:val="C8A84B"/>
                <w:sz w:val="28"/>
                <w:szCs w:val="28"/>
              </w:rPr>
              <w:t xml:space="preserve">  |  الخاتمة</w:t>
            </w:r>
          </w:p>
        </w:tc>
      </w:tr>
    </w:tbl>
    <w:p>
      <w:pPr>
        <w:bidi/>
        <w:spacing w:after="100" w:before="120"/>
      </w:pPr>
      <w:r>
        <w:t xml:space="preserve"/>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يُقدّم هذا النموذج الخماسي إطاراً مفاهيمياً وإجرائياً يسعى إلى ردّ الاعتبار لتعقيد منطقة الراحة النفسية بوصفها بنيةً نظامية متشعّبة الجذور، لا مجرد حالة سلوكية أحادية البُعد. ولعل أبرز ما يُميّزه هو استدعاؤه للحوار الخصيب بين منهجيات القياس السيكومتري الصارمة، ومؤشرات العلوم العصبية الموضوعية، والمرجعية المعنوية لعلم النفس الاستخلافي.</w:t>
      </w:r>
    </w:p>
    <w:p>
      <w:pPr>
        <w:bidi/>
        <w:spacing w:after="100" w:before="100" w:line="360" w:lineRule="auto"/>
        <w:ind w:firstLine="720"/>
        <w:jc w:val="both"/>
      </w:pPr>
      <w:r>
        <w:rPr>
          <w:rFonts w:ascii="Traditional Arabic" w:cs="Traditional Arabic" w:eastAsia="Traditional Arabic" w:hAnsi="Traditional Arabic"/>
          <w:color w:val="1C1C1C"/>
          <w:sz w:val="26"/>
          <w:szCs w:val="26"/>
        </w:rPr>
        <w:t xml:space="preserve">الغاية النهائية ليست إنتاج رقم تصنيفي، بل منح الفرد لغةً دقيقة لفهم علاقته بالتغيير والثبات، وأداةً نقدية لتمييز الاستقرار الصحيح من الإقامة الخوفية، والإقدام الحكيم من الإقدام العشوائي. إنها دعوة إلى فضيلة التمييز والحكمة في اختيار توقيت الخطوة واتجاهها.</w:t>
      </w:r>
    </w:p>
    <w:p>
      <w:pPr>
        <w:bidi/>
        <w:spacing w:after="100" w:before="200"/>
      </w:pPr>
      <w:r>
        <w:t xml:space="preserve"/>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8A84B" w:sz="6"/>
              <w:left w:val="single" w:color="C8A84B" w:sz="6"/>
              <w:bottom w:val="single" w:color="C8A84B" w:sz="6"/>
              <w:right w:val="single" w:color="C8A84B" w:sz="6"/>
            </w:tcBorders>
            <w:shd w:fill="FDF6E3" w:val="clear"/>
            <w:tcMar>
              <w:top w:type="dxa" w:w="160"/>
              <w:left w:type="dxa" w:w="280"/>
              <w:bottom w:type="dxa" w:w="160"/>
              <w:right w:type="dxa" w:w="280"/>
            </w:tcMar>
          </w:tcPr>
          <w:p>
            <w:pPr>
              <w:bidi/>
              <w:spacing w:after="80" w:before="60"/>
              <w:jc w:val="right"/>
            </w:pPr>
            <w:r>
              <w:rPr>
                <w:rFonts w:ascii="Traditional Arabic" w:cs="Traditional Arabic" w:eastAsia="Traditional Arabic" w:hAnsi="Traditional Arabic"/>
                <w:b/>
                <w:bCs/>
                <w:color w:val="1A3C5E"/>
                <w:sz w:val="26"/>
                <w:szCs w:val="26"/>
              </w:rPr>
              <w:t xml:space="preserve">أولويات البحث المستقبلي</w:t>
            </w:r>
          </w:p>
          <w:p>
            <w:pPr>
              <w:bidi/>
              <w:spacing w:after="50" w:before="40"/>
              <w:jc w:val="right"/>
            </w:pPr>
            <w:r>
              <w:rPr>
                <w:rFonts w:ascii="Traditional Arabic" w:cs="Traditional Arabic" w:eastAsia="Traditional Arabic" w:hAnsi="Traditional Arabic"/>
                <w:b/>
                <w:bCs/>
                <w:color w:val="1A3C5E"/>
                <w:sz w:val="26"/>
                <w:szCs w:val="26"/>
              </w:rPr>
              <w:t xml:space="preserve">1. </w:t>
            </w:r>
            <w:r>
              <w:rPr>
                <w:rFonts w:ascii="Traditional Arabic" w:cs="Traditional Arabic" w:eastAsia="Traditional Arabic" w:hAnsi="Traditional Arabic"/>
                <w:color w:val="1C1C1C"/>
                <w:sz w:val="26"/>
                <w:szCs w:val="26"/>
              </w:rPr>
              <w:t xml:space="preserve">بناء نسخة عربية مُكيَّفة ثقافياً من مقياس CZO وفق منهجية التحقق متعددة المراحل.</w:t>
            </w:r>
          </w:p>
          <w:p>
            <w:pPr>
              <w:bidi/>
              <w:spacing w:after="50" w:before="40"/>
              <w:jc w:val="right"/>
            </w:pPr>
            <w:r>
              <w:rPr>
                <w:rFonts w:ascii="Traditional Arabic" w:cs="Traditional Arabic" w:eastAsia="Traditional Arabic" w:hAnsi="Traditional Arabic"/>
                <w:b/>
                <w:bCs/>
                <w:color w:val="1A3C5E"/>
                <w:sz w:val="26"/>
                <w:szCs w:val="26"/>
              </w:rPr>
              <w:t xml:space="preserve">2. </w:t>
            </w:r>
            <w:r>
              <w:rPr>
                <w:rFonts w:ascii="Traditional Arabic" w:cs="Traditional Arabic" w:eastAsia="Traditional Arabic" w:hAnsi="Traditional Arabic"/>
                <w:color w:val="1C1C1C"/>
                <w:sz w:val="26"/>
                <w:szCs w:val="26"/>
              </w:rPr>
              <w:t xml:space="preserve">إجراء دراسات صدق تقاربي بين المحطات الخمس، واختبار النموذج بنيوياً عبر تحليل المسار.</w:t>
            </w:r>
          </w:p>
          <w:p>
            <w:pPr>
              <w:bidi/>
              <w:spacing w:after="50" w:before="40"/>
              <w:jc w:val="right"/>
            </w:pPr>
            <w:r>
              <w:rPr>
                <w:rFonts w:ascii="Traditional Arabic" w:cs="Traditional Arabic" w:eastAsia="Traditional Arabic" w:hAnsi="Traditional Arabic"/>
                <w:b/>
                <w:bCs/>
                <w:color w:val="1A3C5E"/>
                <w:sz w:val="26"/>
                <w:szCs w:val="26"/>
              </w:rPr>
              <w:t xml:space="preserve">3. </w:t>
            </w:r>
            <w:r>
              <w:rPr>
                <w:rFonts w:ascii="Traditional Arabic" w:cs="Traditional Arabic" w:eastAsia="Traditional Arabic" w:hAnsi="Traditional Arabic"/>
                <w:color w:val="1C1C1C"/>
                <w:sz w:val="26"/>
                <w:szCs w:val="26"/>
              </w:rPr>
              <w:t xml:space="preserve">تطوير نسخة رقمية تفاعلية من النموذج تستخدم بيانات HRV المُجمَّعة عبر الأجهزة القابلة للارتداء.</w:t>
            </w:r>
          </w:p>
          <w:p>
            <w:pPr>
              <w:bidi/>
              <w:spacing w:after="50" w:before="40"/>
              <w:jc w:val="right"/>
            </w:pPr>
            <w:r>
              <w:rPr>
                <w:rFonts w:ascii="Traditional Arabic" w:cs="Traditional Arabic" w:eastAsia="Traditional Arabic" w:hAnsi="Traditional Arabic"/>
                <w:b/>
                <w:bCs/>
                <w:color w:val="1A3C5E"/>
                <w:sz w:val="26"/>
                <w:szCs w:val="26"/>
              </w:rPr>
              <w:t xml:space="preserve">4. </w:t>
            </w:r>
            <w:r>
              <w:rPr>
                <w:rFonts w:ascii="Traditional Arabic" w:cs="Traditional Arabic" w:eastAsia="Traditional Arabic" w:hAnsi="Traditional Arabic"/>
                <w:color w:val="1C1C1C"/>
                <w:sz w:val="26"/>
                <w:szCs w:val="26"/>
              </w:rPr>
              <w:t xml:space="preserve">دراسة العلاقة بين منطقة الراحة وسلوك الاستخلاف الحضاري في أبعاده الجماعية والمؤسسية.</w:t>
            </w:r>
          </w:p>
        </w:tc>
      </w:tr>
    </w:tbl>
    <w:p>
      <w:pPr>
        <w:bidi/>
        <w:spacing w:after="100" w:before="400"/>
      </w:pPr>
      <w:r>
        <w:t xml:space="preserve"/>
      </w:r>
    </w:p>
    <w:p>
      <w:pPr>
        <w:pBdr>
          <w:bottom w:val="single" w:color="C8A84B" w:sz="6" w:space="1"/>
        </w:pBdr>
        <w:bidi/>
        <w:spacing w:after="200" w:before="200"/>
        <w:jc w:val="center"/>
      </w:pPr>
      <w:r>
        <w:t xml:space="preserve"/>
      </w:r>
    </w:p>
    <w:p>
      <w:pPr>
        <w:bidi/>
        <w:spacing w:after="200" w:before="200"/>
        <w:jc w:val="right"/>
      </w:pPr>
      <w:r>
        <w:rPr>
          <w:rFonts w:ascii="Traditional Arabic" w:cs="Traditional Arabic" w:eastAsia="Traditional Arabic" w:hAnsi="Traditional Arabic"/>
          <w:b/>
          <w:bCs/>
          <w:color w:val="1A3C5E"/>
          <w:sz w:val="32"/>
          <w:szCs w:val="32"/>
        </w:rPr>
        <w:t xml:space="preserve">المراجع والمصادر الأساسية</w:t>
      </w:r>
    </w:p>
    <w:p>
      <w:pPr>
        <w:bidi/>
        <w:spacing w:after="100" w:before="100" w:line="360" w:lineRule="auto"/>
        <w:ind w:firstLine="0"/>
        <w:jc w:val="both"/>
      </w:pPr>
      <w:r>
        <w:rPr>
          <w:rFonts w:ascii="Traditional Arabic" w:cs="Traditional Arabic" w:eastAsia="Traditional Arabic" w:hAnsi="Traditional Arabic"/>
          <w:color w:val="1C1C1C"/>
          <w:sz w:val="26"/>
          <w:szCs w:val="26"/>
        </w:rPr>
      </w:r>
    </w:p>
    <w:p>
      <w:pPr>
        <w:bidi/>
        <w:spacing w:after="100" w:before="100" w:line="360" w:lineRule="auto"/>
        <w:ind w:firstLine="0"/>
        <w:jc w:val="both"/>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80"/>
      </w:pPr>
      <w:r>
        <w:t xml:space="preserve"/>
      </w:r>
    </w:p>
    <w:p>
      <w:pPr>
        <w:bidi/>
        <w:spacing w:after="100" w:before="100" w:line="360" w:lineRule="auto"/>
        <w:ind w:firstLine="0"/>
        <w:jc w:val="both"/>
      </w:pP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val="false"/>
        <w:spacing w:after="100" w:before="100" w:line="360" w:lineRule="auto"/>
        <w:ind w:firstLine="0"/>
        <w:jc w:val="left"/>
      </w:pP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r>
        <w:rPr>
          <w:rFonts w:ascii="Traditional Arabic" w:cs="Traditional Arabic" w:eastAsia="Traditional Arabic" w:hAnsi="Traditional Arabic"/>
          <w:color w:val="1C1C1C"/>
          <w:sz w:val="26"/>
          <w:szCs w:val="26"/>
        </w:rPr>
      </w:r>
    </w:p>
    <w:p>
      <w:pPr>
        <w:bidi/>
        <w:spacing w:after="100" w:before="200"/>
      </w:pPr>
      <w:r>
        <w:t xml:space="preserve"/>
      </w:r>
    </w:p>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7D9B" w:sz="4" w:space="4"/>
      </w:pBdr>
      <w:bidi/>
      <w:spacing w:after="0" w:before="80"/>
      <w:jc w:val="center"/>
    </w:pPr>
    <w:r>
      <w:rPr>
        <w:rFonts w:ascii="Traditional Arabic" w:cs="Traditional Arabic" w:eastAsia="Traditional Arabic" w:hAnsi="Traditional Arabic"/>
        <w:color w:val="5D6D7E"/>
        <w:sz w:val="20"/>
        <w:szCs w:val="20"/>
      </w:rPr>
      <w:t xml:space="preserve">صفحة </w:t>
    </w:r>
    <w:r>
      <w:rPr>
        <w:rFonts w:ascii="Times New Roman" w:cs="Times New Roman" w:eastAsia="Times New Roman" w:hAnsi="Times New Roman"/>
        <w:color w:val="1A3C5E"/>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8A84B" w:sz="6" w:space="4"/>
      </w:pBdr>
      <w:bidi/>
      <w:spacing w:after="120" w:before="0"/>
      <w:jc w:val="right"/>
    </w:pPr>
    <w:r>
      <w:rPr>
        <w:rFonts w:ascii="Traditional Arabic" w:cs="Traditional Arabic" w:eastAsia="Traditional Arabic" w:hAnsi="Traditional Arabic"/>
        <w:color w:val="5D6D7E"/>
        <w:sz w:val="20"/>
        <w:szCs w:val="20"/>
      </w:rPr>
      <w:t xml:space="preserve">نحو بناء مقياس متعدد الأبعاد لمنطقة الراحة النفسية</w:t>
    </w:r>
    <w:r>
      <w:rPr>
        <w:rFonts w:ascii="Times New Roman" w:cs="Times New Roman" w:eastAsia="Times New Roman" w:hAnsi="Times New Roman"/>
        <w:color w:val="5D6D7E"/>
        <w:sz w:val="20"/>
        <w:szCs w:val="20"/>
      </w:rPr>
      <w:t xml:space="preserve">    |    </w:t>
    </w:r>
    <w:r>
      <w:rPr>
        <w:rFonts w:ascii="Traditional Arabic" w:cs="Traditional Arabic" w:eastAsia="Traditional Arabic" w:hAnsi="Traditional Arabic"/>
        <w:color w:val="2E7D9B"/>
        <w:sz w:val="20"/>
        <w:szCs w:val="20"/>
      </w:rPr>
      <w:t xml:space="preserve">إطار نظري وإجرائي متكامل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color w:val="1C1C1C"/>
        <w:sz w:val="26"/>
        <w:szCs w:val="26"/>
      </w:rPr>
    </w:rPrDefault>
    <w:pPrDefault>
      <w:pPr>
        <w:bidi/>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2026-04-29T01:58:07.398Z</dcterms:created>
  <dcterms:modified xsi:type="dcterms:W3CDTF">2026-04-29T01:58:07.399Z</dcterms:modified>
</cp:coreProperties>
</file>

<file path=docProps/custom.xml><?xml version="1.0" encoding="utf-8"?>
<Properties xmlns="http://schemas.openxmlformats.org/officeDocument/2006/custom-properties" xmlns:vt="http://schemas.openxmlformats.org/officeDocument/2006/docPropsVTypes"/>
</file>