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80" w:before="280"/>
      </w:pPr>
      <w:r>
        <w:t xml:space="preserve"> </w:t>
      </w:r>
    </w:p>
    <w:p>
      <w:pPr>
        <w:bidi/>
        <w:spacing w:after="30" w:before="60"/>
        <w:jc w:val="center"/>
      </w:pPr>
      <w:r>
        <w:rPr>
          <w:rFonts w:ascii="Traditional Arabic" w:cs="Traditional Arabic" w:eastAsia="Traditional Arabic" w:hAnsi="Traditional Arabic"/>
          <w:b/>
          <w:bCs/>
          <w:i w:val="false"/>
          <w:iCs w:val="false"/>
          <w:color w:val="1B3A6B"/>
          <w:sz w:val="48"/>
          <w:szCs w:val="48"/>
        </w:rPr>
        <w:t xml:space="preserve">مقارنة علمية معمّقة</w:t>
      </w:r>
    </w:p>
    <w:p>
      <w:pPr>
        <w:bidi/>
        <w:spacing w:after="80" w:before="30"/>
        <w:jc w:val="center"/>
      </w:pPr>
      <w:r>
        <w:rPr>
          <w:rFonts w:ascii="Traditional Arabic" w:cs="Traditional Arabic" w:eastAsia="Traditional Arabic" w:hAnsi="Traditional Arabic"/>
          <w:b/>
          <w:bCs/>
          <w:i w:val="false"/>
          <w:iCs w:val="false"/>
          <w:color w:val="2E5DA6"/>
          <w:sz w:val="33"/>
          <w:szCs w:val="33"/>
        </w:rPr>
        <w:t xml:space="preserve">بين نظرية كريس فريث (العصبية الاجتماعية) وعلم النفس الاستخلافي</w:t>
      </w:r>
    </w:p>
    <w:p>
      <w:pPr>
        <w:spacing w:after="40" w:before="40"/>
        <w:jc w:val="center"/>
      </w:pPr>
      <w:r>
        <w:rPr>
          <w:color w:val="B8860B"/>
        </w:rPr>
        <w:t xml:space="preserve">━━━━━━━━━━━━━━━━━━━━━━━━━━━━━━━━━━━━━</w:t>
      </w:r>
    </w:p>
    <w:p>
      <w:pPr>
        <w:bidi/>
        <w:spacing w:after="20" w:before="30"/>
        <w:jc w:val="center"/>
      </w:pPr>
      <w:r>
        <w:rPr>
          <w:rFonts w:ascii="Traditional Arabic" w:cs="Traditional Arabic" w:eastAsia="Traditional Arabic" w:hAnsi="Traditional Arabic"/>
          <w:b/>
          <w:bCs/>
          <w:i w:val="false"/>
          <w:iCs w:val="false"/>
          <w:color w:val="B8860B"/>
          <w:sz w:val="29"/>
          <w:szCs w:val="29"/>
        </w:rPr>
        <w:t xml:space="preserve">من الآليات العصبية للمسؤولية</w:t>
      </w:r>
    </w:p>
    <w:p>
      <w:pPr>
        <w:bidi/>
        <w:spacing w:after="120" w:before="20"/>
        <w:jc w:val="center"/>
      </w:pPr>
      <w:r>
        <w:rPr>
          <w:rFonts w:ascii="Traditional Arabic" w:cs="Traditional Arabic" w:eastAsia="Traditional Arabic" w:hAnsi="Traditional Arabic"/>
          <w:b/>
          <w:bCs/>
          <w:i w:val="false"/>
          <w:iCs w:val="false"/>
          <w:color w:val="B8860B"/>
          <w:sz w:val="29"/>
          <w:szCs w:val="29"/>
        </w:rPr>
        <w:t xml:space="preserve">إلى الهندسة الوجودية للنفس</w:t>
      </w:r>
    </w:p>
    <w:p>
      <w:pPr>
        <w:pBdr>
          <w:bottom w:val="single" w:color="1B3A6B" w:sz="4" w:space="1"/>
        </w:pBdr>
        <w:spacing w:after="60" w:before="60"/>
      </w:pPr>
      <w:r>
        <w:t xml:space="preserve"> </w:t>
      </w:r>
    </w:p>
    <w:p>
      <w:pPr>
        <w:spacing w:after="60" w:before="60"/>
      </w:pPr>
      <w:r>
        <w:t xml:space="preserve"> </w:t>
      </w:r>
    </w:p>
    <w:p>
      <w:pPr>
        <w:bidi/>
        <w:spacing w:after="20" w:before="40"/>
        <w:jc w:val="center"/>
      </w:pPr>
      <w:r>
        <w:rPr>
          <w:rFonts w:ascii="Traditional Arabic" w:cs="Traditional Arabic" w:eastAsia="Traditional Arabic" w:hAnsi="Traditional Arabic"/>
          <w:b w:val="false"/>
          <w:bCs w:val="false"/>
          <w:i w:val="false"/>
          <w:iCs w:val="false"/>
          <w:color w:val="555555"/>
          <w:sz w:val="24"/>
          <w:szCs w:val="24"/>
        </w:rPr>
        <w:t xml:space="preserve">في ضوء نظرية:</w:t>
      </w:r>
    </w:p>
    <w:p>
      <w:pPr>
        <w:bidi/>
        <w:spacing w:after="80" w:before="20"/>
        <w:jc w:val="center"/>
      </w:pPr>
      <w:r>
        <w:rPr>
          <w:rFonts w:ascii="Traditional Arabic" w:cs="Traditional Arabic" w:eastAsia="Traditional Arabic" w:hAnsi="Traditional Arabic"/>
          <w:b/>
          <w:bCs/>
          <w:i w:val="false"/>
          <w:iCs w:val="false"/>
          <w:color w:val="1B3A6B"/>
          <w:sz w:val="26"/>
          <w:szCs w:val="26"/>
        </w:rPr>
        <w:t xml:space="preserve">عبد السلام الزراع — علم النفس الاستخلافي، نموذج الأضلاع الثمانية (TLRT)</w:t>
      </w:r>
    </w:p>
    <w:p>
      <w:pPr>
        <w:pBdr>
          <w:bottom w:val="single" w:color="B8860B" w:sz="4" w:space="1"/>
        </w:pBdr>
        <w:spacing w:after="60" w:before="60"/>
      </w:pPr>
      <w:r>
        <w:t xml:space="preserve"> </w:t>
      </w:r>
    </w:p>
    <w:p>
      <w:pPr>
        <w:spacing w:after="80" w:before="80"/>
      </w:pPr>
      <w:r>
        <w:t xml:space="preserve"> </w:t>
      </w:r>
    </w:p>
    <w:p>
      <w:pPr>
        <w:pBdr>
          <w:top w:val="single" w:color="1E6B3C" w:sz="4"/>
          <w:left w:val="single" w:color="1E6B3C" w:sz="4"/>
          <w:bottom w:val="single" w:color="1E6B3C" w:sz="4"/>
          <w:right w:val="single" w:color="1E6B3C" w:sz="4"/>
        </w:pBdr>
        <w:shd w:fill="FDF6E3" w:val="clear"/>
        <w:bidi/>
        <w:spacing w:after="140" w:before="140"/>
        <w:ind w:left="280" w:right="280"/>
        <w:jc w:val="center"/>
      </w:pPr>
      <w:r>
        <w:rPr>
          <w:rFonts w:ascii="Traditional Arabic" w:cs="Traditional Arabic" w:eastAsia="Traditional Arabic" w:hAnsi="Traditional Arabic"/>
          <w:b w:val="false"/>
          <w:bCs w:val="false"/>
          <w:i w:val="false"/>
          <w:iCs w:val="false"/>
          <w:color w:val="1E6B3C"/>
          <w:sz w:val="28"/>
          <w:szCs w:val="28"/>
        </w:rPr>
        <w:t xml:space="preserve">﴿ </w:t>
      </w:r>
      <w:r>
        <w:rPr>
          <w:rFonts w:ascii="Traditional Arabic" w:cs="Traditional Arabic" w:eastAsia="Traditional Arabic" w:hAnsi="Traditional Arabic"/>
          <w:b/>
          <w:bCs/>
          <w:i w:val="false"/>
          <w:iCs w:val="false"/>
          <w:color w:val="1E6B3C"/>
          <w:sz w:val="28"/>
          <w:szCs w:val="28"/>
        </w:rPr>
        <w:t xml:space="preserve">وَنَفْسٍ وَمَا سَوَّاهَا * فَأَلْهَمَهَا فُجُورَهَا وَتَقْوَاهَا * قَدْ أَفْلَحَ مَن زَكَّاهَا * وَقَدْ خَابَ مَن دَسَّاهَا</w:t>
      </w:r>
      <w:r>
        <w:rPr>
          <w:rFonts w:ascii="Traditional Arabic" w:cs="Traditional Arabic" w:eastAsia="Traditional Arabic" w:hAnsi="Traditional Arabic"/>
          <w:b w:val="false"/>
          <w:bCs w:val="false"/>
          <w:i w:val="false"/>
          <w:iCs w:val="false"/>
          <w:color w:val="1E6B3C"/>
          <w:sz w:val="28"/>
          <w:szCs w:val="28"/>
        </w:rPr>
        <w:t xml:space="preserve"> ﴾</w:t>
      </w:r>
      <w:r>
        <w:rPr>
          <w:rFonts w:ascii="Traditional Arabic" w:cs="Traditional Arabic" w:eastAsia="Traditional Arabic" w:hAnsi="Traditional Arabic"/>
          <w:b w:val="false"/>
          <w:bCs w:val="false"/>
          <w:i/>
          <w:iCs/>
          <w:color w:val="B8860B"/>
          <w:sz w:val="22"/>
          <w:szCs w:val="22"/>
        </w:rPr>
        <w:t xml:space="preserve">  [الشمس: 7-10]</w:t>
      </w:r>
    </w:p>
    <w:p>
      <w:pPr>
        <w:spacing w:after="100" w:before="100"/>
      </w:pPr>
      <w:r>
        <w:t xml:space="preserve"> </w:t>
      </w:r>
    </w:p>
    <w:p>
      <w:r>
        <w:br w:type="page"/>
      </w:r>
    </w:p>
    <w:p>
      <w:pPr>
        <w:pStyle w:val="Heading1"/>
        <w:pBdr>
          <w:bottom w:val="single" w:color="B8860B" w:sz="8" w:space="4"/>
        </w:pBdr>
        <w:shd w:fill="F0F4FB" w:val="clear"/>
        <w:bidi/>
        <w:spacing w:after="180" w:before="300"/>
        <w:jc w:val="right"/>
      </w:pPr>
      <w:r>
        <w:rPr>
          <w:rFonts w:ascii="Traditional Arabic" w:cs="Traditional Arabic" w:eastAsia="Traditional Arabic" w:hAnsi="Traditional Arabic"/>
          <w:b/>
          <w:bCs/>
          <w:color w:val="1B3A6B"/>
          <w:sz w:val="36"/>
          <w:szCs w:val="36"/>
        </w:rPr>
        <w:t xml:space="preserve">تمهيد: مستويان متكاملان لفاعلية الإنسان — الوعي بين الآلة والروح</w:t>
      </w:r>
    </w:p>
    <w:p>
      <w:pPr>
        <w:bidi/>
        <w:spacing w:after="60" w:before="80"/>
        <w:jc w:val="right"/>
      </w:pPr>
      <w:r>
        <w:rPr>
          <w:rFonts w:ascii="Traditional Arabic" w:cs="Traditional Arabic" w:eastAsia="Traditional Arabic" w:hAnsi="Traditional Arabic"/>
          <w:b w:val="false"/>
          <w:bCs w:val="false"/>
          <w:i w:val="false"/>
          <w:iCs w:val="false"/>
          <w:color w:val="1A1A1A"/>
          <w:sz w:val="26"/>
          <w:szCs w:val="26"/>
        </w:rPr>
        <w:t xml:space="preserve">تمثّل نظرية كريس فريث (Chris Frith) العصبية-الاجتماعية للوعي، ونظرية علم النفس الاستخلافي (نموذج TLRT) للباحث عبد السلام الزراع، مستويين مختلفين ومتكاملين من التحليل للظاهرة الإنسانية المحورية: كيف يصبح الإنسان فاعلاً مسؤولاً في علاقاته مع نفسه ومع الآخرين ومع خالقه؟</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بينما يركز فريث على 'التشريح المادي للوعي' — أي الآليات العصبية التي تُمكّن الإنسان من الشعور بالفاعلية، وقراءة نوايا الآخرين، والمشاركة الاجتماعية — يقدم علم النفس الاستخلافي 'الهندسة الوجودية للنفس': البنية الفطرية والروحية التي تجعل الإنسان كائناً أخلاقياً مسؤولاً، قادراً على محاسبة نفسه والارتقاء بها نحو غاية وجودية هي الاستخلاف.</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لا تسعى هذه المقارنة إلى المفاضلة بين النظريتين، بل إلى بناء تكامل هرمي: فريث يشرح 'كيف' يعمل الدماغ حين يمارس الإنسان الوعي والمشاركة الاجتماعية، بينما يشرح الزراع 'لماذا' يسعى الإنسان إلى هذه المشاركة، و'إلى أين' يتجه، و'كيف' يمكن للوعي أن يتحول من أداة للتكيف الاجتماعي إلى بوابة للتزكية والاستخلاف.</w:t>
      </w:r>
    </w:p>
    <w:p>
      <w:pPr>
        <w:bidi/>
        <w:spacing w:after="80" w:before="60"/>
        <w:jc w:val="right"/>
      </w:pPr>
      <w:r>
        <w:rPr>
          <w:rFonts w:ascii="Traditional Arabic" w:cs="Traditional Arabic" w:eastAsia="Traditional Arabic" w:hAnsi="Traditional Arabic"/>
          <w:b w:val="false"/>
          <w:bCs w:val="false"/>
          <w:i w:val="false"/>
          <w:iCs w:val="false"/>
          <w:color w:val="1A1A1A"/>
          <w:sz w:val="26"/>
          <w:szCs w:val="26"/>
        </w:rPr>
        <w:t xml:space="preserve">وفي هذا التوسع المعمَّق، سنذهب أبعد مما في النص الأصلي: إشكالية 'الدماغ الاجتماعي' والنفس الجماعية في الإسلام، معضلة الحرية الإرادية بين الحتمية العصبية والمسؤولية الأخلاقية، تفسير الوسواس والأوهام من المنظورين، وتطبيقات إكلينيكية موسّعة.</w:t>
      </w:r>
    </w:p>
    <w:p>
      <w:pPr>
        <w:pBdr>
          <w:bottom w:val="single" w:color="B8860B" w:sz="4" w:space="1"/>
        </w:pBdr>
        <w:spacing w:after="60" w:before="60"/>
      </w:pPr>
      <w:r>
        <w:t xml:space="preserve"> </w:t>
      </w:r>
    </w:p>
    <w:p>
      <w:pPr>
        <w:spacing w:after="60" w:before="60"/>
      </w:pPr>
      <w:r>
        <w:t xml:space="preserve"> </w:t>
      </w:r>
    </w:p>
    <w:p>
      <w:pPr>
        <w:pBdr>
          <w:top w:val="single" w:color="B8860B" w:sz="12"/>
          <w:left w:val="single" w:color="B8860B" w:sz="12"/>
          <w:bottom w:val="single" w:color="B8860B" w:sz="12"/>
          <w:right w:val="single" w:color="B8860B" w:sz="12"/>
        </w:pBdr>
        <w:shd w:fill="1B3A6B" w:val="clear"/>
        <w:bidi/>
        <w:spacing w:after="200" w:before="200"/>
        <w:ind w:left="200" w:right="200"/>
        <w:jc w:val="center"/>
      </w:pPr>
      <w:r>
        <w:rPr>
          <w:rFonts w:ascii="Traditional Arabic" w:cs="Traditional Arabic" w:eastAsia="Traditional Arabic" w:hAnsi="Traditional Arabic"/>
          <w:b/>
          <w:bCs/>
          <w:i w:val="false"/>
          <w:iCs w:val="false"/>
          <w:color w:val="FFFFFF"/>
          <w:sz w:val="38"/>
          <w:szCs w:val="38"/>
        </w:rPr>
        <w:t xml:space="preserve">الباب الأول</w:t>
      </w:r>
      <w:r>
        <w:rPr>
          <w:rFonts w:ascii="Traditional Arabic" w:cs="Traditional Arabic" w:eastAsia="Traditional Arabic" w:hAnsi="Traditional Arabic"/>
          <w:b w:val="false"/>
          <w:bCs w:val="false"/>
          <w:i w:val="false"/>
          <w:iCs w:val="false"/>
          <w:color w:val="FFFFFF"/>
          <w:sz w:val="30"/>
          <w:szCs w:val="30"/>
        </w:rPr>
        <w:t xml:space="preserve">  ·  </w:t>
      </w:r>
      <w:r>
        <w:rPr>
          <w:rFonts w:ascii="Traditional Arabic" w:cs="Traditional Arabic" w:eastAsia="Traditional Arabic" w:hAnsi="Traditional Arabic"/>
          <w:b/>
          <w:bCs/>
          <w:i w:val="false"/>
          <w:iCs w:val="false"/>
          <w:color w:val="FFFFFF"/>
          <w:sz w:val="30"/>
          <w:szCs w:val="30"/>
        </w:rPr>
        <w:t xml:space="preserve">الإطار النظري: من الآليات العصبية إلى البنية النفسية</w:t>
      </w:r>
    </w:p>
    <w:p>
      <w:pPr>
        <w:spacing w:after="80" w:before="8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الأول: نظرية كريس فريث — الوعي كأداة للمسؤولية والمشاركة</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1.1 الوعي وإشكالية الفاعلية: من التفرج إلى الفعل</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يرى كريس فريث في كتابه الرائد 'Making Up the Mind' (2007) أن الوعي ليس 'فيلماً داخلياً' يعرض التجارب الذاتية بشكل سلبي، بل هو أداة حيوية فاعلة تُمكّن الإنسان من الشعور بالفاعلية (Sense of Agency). الفاعلية بمعناها العصبي هي الإحساس بأن الفعل صادر عنّي أنا — لا عن قوة خارجية أو آلة بيولوجية — وهو ما يجعل المحاسبة الاجتماعية والأخلاقية ممكنة.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لكن فريث يكشف مفارقة عميقة: الدماغ يتخذ قراراته قبل وصولها إلى الوعي بزمن يمكن قياسه (نتائج ليبت الشهيرة). فما الوعي إذاً؟ فريث يُجيب: الوعي هو 'التقرير الرسمي' الذي يصدره الدماغ بعد اتخاذ القرار، مما يسمح بالمحاسبة الاجتماعية.</w:t>
      </w:r>
    </w:p>
    <w:p>
      <w:pPr>
        <w:pBdr>
          <w:top w:val="single" w:color="1A7A8A" w:sz="4"/>
          <w:left w:val="single" w:color="1A7A8A" w:sz="4"/>
          <w:bottom w:val="single" w:color="AAAAAA" w:sz="1"/>
          <w:right w:val="single" w:color="1A7A8A" w:sz="4"/>
        </w:pBdr>
        <w:shd w:fill="1A7A8A" w:val="clear"/>
        <w:bidi/>
        <w:spacing w:after="30" w:before="120"/>
        <w:ind w:left="160" w:right="160"/>
        <w:jc w:val="right"/>
      </w:pPr>
      <w:r>
        <w:rPr>
          <w:rFonts w:ascii="Traditional Arabic" w:cs="Traditional Arabic" w:eastAsia="Traditional Arabic" w:hAnsi="Traditional Arabic"/>
          <w:b/>
          <w:bCs/>
          <w:i w:val="false"/>
          <w:iCs w:val="false"/>
          <w:color w:val="FFFFFF"/>
          <w:sz w:val="26"/>
          <w:szCs w:val="26"/>
        </w:rPr>
        <w:t xml:space="preserve">◆ المفارقة العصبية عند فريث</w:t>
      </w:r>
    </w:p>
    <w:p>
      <w:pPr>
        <w:pBdr>
          <w:top w:val="single" w:color="AAAAAA" w:sz="1"/>
          <w:left w:val="single" w:color="1A7A8A" w:sz="4"/>
          <w:bottom w:val="single" w:color="1A7A8A" w:sz="4"/>
          <w:right w:val="single" w:color="1A7A8A" w:sz="4"/>
        </w:pBdr>
        <w:shd w:fill="F5F5F5" w:val="clear"/>
        <w:bidi/>
        <w:spacing w:after="120" w:before="30"/>
        <w:ind w:left="160" w:right="200"/>
        <w:jc w:val="right"/>
      </w:pPr>
      <w:r>
        <w:rPr>
          <w:rFonts w:ascii="Traditional Arabic" w:cs="Traditional Arabic" w:eastAsia="Traditional Arabic" w:hAnsi="Traditional Arabic"/>
          <w:b w:val="false"/>
          <w:bCs w:val="false"/>
          <w:i w:val="false"/>
          <w:iCs w:val="false"/>
          <w:color w:val="1A1A1A"/>
          <w:sz w:val="25"/>
          <w:szCs w:val="25"/>
        </w:rPr>
        <w:t xml:space="preserve">الوعي يأتي بعد القرار العصبي، لكنه ضروري للمسؤولية الاجتماعية. هذه المفارقة تُفضي إلى سؤال فلسفي عميق: هل الإرادة الحرة وهم نافع؟ النموذج الاستخلافي يرفض هذا الاختزال ويُثبت الإرادة كحقيقة وجودية روحية لا مجرد تقرير عصبي.</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1.2 قراءة العقول (Theory of Mind): الأساس العصبي للتفاعل الاجتماعي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يُعدّ مفهوم 'قراءة العقول' (Mentalizing / Theory of Mind) المحور الأساسي في علم النفس العصبي الاجتماعي عند فريث. تعني قراءة العقول القدرة على تمثيل الحالات العقلية للآخرين — نواياهم، معتقداتهم، رغباتهم — لفهم سلوكهم والتنبؤ به. وقد حدّد فريث وزميلته أوتا فريث الشبكة العصبية الدعّامة لهذه القدرة:</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600"/>
        <w:gridCol w:w="2800"/>
        <w:gridCol w:w="2600"/>
      </w:tblGrid>
      <w:tr>
        <w:trPr>
          <w:tblHeader/>
        </w:trPr>
        <w:tc>
          <w:tcPr>
            <w:tcW w:type="dxa" w:w="36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الدور الوظيفي</w:t>
            </w:r>
          </w:p>
        </w:tc>
        <w:tc>
          <w:tcPr>
            <w:tcW w:type="dxa" w:w="28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المنطقة العصبية</w:t>
            </w:r>
          </w:p>
        </w:tc>
        <w:tc>
          <w:tcPr>
            <w:tcW w:type="dxa" w:w="26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الاختصار</w:t>
            </w:r>
          </w:p>
        </w:tc>
      </w:tr>
      <w:tr>
        <w:tc>
          <w:tcPr>
            <w:tcW w:type="dxa" w:w="3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تمثيل معتقدات ورغبات الآخرين، الحكم الأخلاقي</w:t>
            </w:r>
          </w:p>
        </w:tc>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قشرة الفص الجبهي الأنسيّة</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MPFC</w:t>
            </w:r>
          </w:p>
        </w:tc>
      </w:tr>
      <w:tr>
        <w:tc>
          <w:tcPr>
            <w:tcW w:type="dxa" w:w="3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معالجة الإشارات الاجتماعية الحيوية (الحركة، النية)</w:t>
            </w:r>
          </w:p>
        </w:tc>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التلم الصدغي العلوي الخلفي</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pSTS</w:t>
            </w:r>
          </w:p>
        </w:tc>
      </w:tr>
      <w:tr>
        <w:tc>
          <w:tcPr>
            <w:tcW w:type="dxa" w:w="3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الاستدلال على الحالات العقلية، التمييز بين الذات والآخر</w:t>
            </w:r>
          </w:p>
        </w:tc>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الوصلة الصدغية الجدارية</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TPJ</w:t>
            </w:r>
          </w:p>
        </w:tc>
      </w:tr>
      <w:tr>
        <w:tc>
          <w:tcPr>
            <w:tcW w:type="dxa" w:w="3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ذاكرة الحلقات الاجتماعية والاستدلال المعرفي</w:t>
            </w:r>
          </w:p>
        </w:tc>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قشرة الفص الجبهي الأمامي</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aPFC</w:t>
            </w:r>
          </w:p>
        </w:tc>
      </w:tr>
    </w:tbl>
    <w:p>
      <w:pPr>
        <w:spacing w:after="60" w:before="60"/>
      </w:pPr>
      <w:r>
        <w:t xml:space="preserve"> </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هذه الشبكة — التي تُعرف أحياناً بـ'شبكة الأسلوبية الاجتماعية' (Social Brain Network) — تُميّز الإنسان بشكل لافت عن سائر الأنواع. وقد ربط فريث وفريث (1999) هذه القدرة بـ'تعاون البيولوجيا والثقافة' في تشكيل الإنسان الاجتماعي.</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1.3 نموذج الدماغ التنبؤي (Predictive Brain): الوعي كمحرك توقعات</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يتبنى فريث النموذج التنبؤي للدماغ (Predictive Coding / Active Inference) الذي طوّره كارل فريستون وآخرون: الدماغ لا يعالج العالم بشكل سلبي، بل يولّد باستمرار توقعات مسبقة (Priors) عن الواقع، ثم يُحدّثها وفق خطأ التنبؤ (Prediction Error) الوارد من الحواس.</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بموجب هذا النموذج، الوعي هو التقرير الذي يصدره الدماغ عن أفضل نموذج لديه للواقع الراهن. وهذا يعني أن ما 'نراه' ليس الواقع المباشر بل 'توقعنا المُحدَّث' للواقع — وهو ما يفسّر كثيراً من الأوهام الإدراكية.</w:t>
      </w:r>
    </w:p>
    <w:p>
      <w:pPr>
        <w:pBdr>
          <w:top w:val="single" w:color="5B2D8E" w:sz="4"/>
          <w:left w:val="single" w:color="5B2D8E" w:sz="4"/>
          <w:bottom w:val="single" w:color="AAAAAA" w:sz="1"/>
          <w:right w:val="single" w:color="5B2D8E" w:sz="4"/>
        </w:pBdr>
        <w:shd w:fill="5B2D8E" w:val="clear"/>
        <w:bidi/>
        <w:spacing w:after="30" w:before="120"/>
        <w:ind w:left="160" w:right="160"/>
        <w:jc w:val="right"/>
      </w:pPr>
      <w:r>
        <w:rPr>
          <w:rFonts w:ascii="Traditional Arabic" w:cs="Traditional Arabic" w:eastAsia="Traditional Arabic" w:hAnsi="Traditional Arabic"/>
          <w:b/>
          <w:bCs/>
          <w:i w:val="false"/>
          <w:iCs w:val="false"/>
          <w:color w:val="FFFFFF"/>
          <w:sz w:val="26"/>
          <w:szCs w:val="26"/>
        </w:rPr>
        <w:t xml:space="preserve">◆ التوقع والوعي: نظرة فريث</w:t>
      </w:r>
    </w:p>
    <w:p>
      <w:pPr>
        <w:pBdr>
          <w:top w:val="single" w:color="AAAAAA" w:sz="1"/>
          <w:left w:val="single" w:color="5B2D8E" w:sz="4"/>
          <w:bottom w:val="single" w:color="5B2D8E" w:sz="4"/>
          <w:right w:val="single" w:color="5B2D8E" w:sz="4"/>
        </w:pBdr>
        <w:shd w:fill="F5F5F5" w:val="clear"/>
        <w:bidi/>
        <w:spacing w:after="120" w:before="30"/>
        <w:ind w:left="160" w:right="200"/>
        <w:jc w:val="right"/>
      </w:pPr>
      <w:r>
        <w:rPr>
          <w:rFonts w:ascii="Traditional Arabic" w:cs="Traditional Arabic" w:eastAsia="Traditional Arabic" w:hAnsi="Traditional Arabic"/>
          <w:b w:val="false"/>
          <w:bCs w:val="false"/>
          <w:i w:val="false"/>
          <w:iCs w:val="false"/>
          <w:color w:val="1A1A1A"/>
          <w:sz w:val="25"/>
          <w:szCs w:val="25"/>
        </w:rPr>
        <w:t xml:space="preserve">ما يُدركه الإنسان هو نموذجه الداخلي للعالم لا العالم ذاته. هذه الفكرة ليست جديدة في التراث الإسلامي: القلب الصحيح يرى الأشياء على حقيقتها (بصيرة)، والقلب المريض يرى ما تُزيّنه له الأمارة (وهم). التزيين الشيطاني هو في جوهره تزوير لنماذج التوقع الداخلية.</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1.4 ما وراء المعرفة (Metacognition): مراقبة العقل لنفسه</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يُعنى فريث (2012) بشكل خاص بقدرة الإنسان على 'ما وراء المعرفة' (Metacognition): مراقبة العمليات المعرفية الذاتية والحكم عليها. يرى أن هذه القدرة هي ما يجعل التواصل والتعاون الاجتماعي ممكناً: إذ يحتاج الفرد أن يعرف 'ما يعرفه' ليُقرّر ما يُشارك الآخرين به.</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كذلك يربط فريث ما وراء المعرفة بالثقة المعرفية (Metacognitive Sensitivity): قدرة الفرد على تمييز متى يكون واثقاً من إدراكاته ومتى يكون مُخطئاً. ضعف هذه القدرة يُفسّر جزءاً من أعراض الفصام.</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1.5 تفسير الفصام: خلل في توازن التوقعات</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يُطوّر فريث نموذجاً تكاملياً لتفسير الفصام باعتباره فشلاً في موازنة نظام التوقعات:</w:t>
      </w:r>
    </w:p>
    <w:p>
      <w:pPr>
        <w:pStyle w:val="ListParagraph"/>
        <w:numPr>
          <w:ilvl w:val="0"/>
          <w:numId w:val="2"/>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الهلاوس: نتيجة إعطاء وزن مفرط للتوقعات المسبقة على حساب المدخلات الحسية؛ الدماغ 'يُكمل' الإدراك بما يتوقعه حتى في غياب الحافز الفعلي.</w:t>
      </w:r>
    </w:p>
    <w:p>
      <w:pPr>
        <w:pStyle w:val="ListParagraph"/>
        <w:numPr>
          <w:ilvl w:val="0"/>
          <w:numId w:val="2"/>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الأوهام (بما فيها الاضطهادية): نتيجة اختلال في 'قراءة العقول'؛ المريض يُنسب الأفعال الداخلية لمصادر خارجية وأعداء وهميين.</w:t>
      </w:r>
    </w:p>
    <w:p>
      <w:pPr>
        <w:pStyle w:val="ListParagraph"/>
        <w:numPr>
          <w:ilvl w:val="0"/>
          <w:numId w:val="2"/>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أعراض سلبية كالفتور الانفعالي: ارتباطها بضعف نشاط MPFC ونقص في معالجة الإشارات الاجتماعية.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هذا النموذج يُنتج توقعات علاجية قابلة للاختبار: تحسين الثقة المعرفية، وإعادة معايرة أوزان التوقعات يمكن أن يُخفف الأعراض.</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1.6 فريث وإشكالية الحرية الإرادية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من أعمق الأسئلة التي تطرحها نظرية فريث: هل الإرادة الحرة حقيقة أم وهم مفيد؟ يتبنى فريث موقفاً توفيقياً: الإرادة الحرة 'وهم ضروري' اجتماعياً. الدماغ يتخذ القرار، ثم الوعي يُبلّغه ويُتيح المحاسبة. لكن هذا لا يعني أن الإنسان 'يُخدع' — فالمحاسبة الاجتماعية حقيقية وتُنتج سلوكاً حقيقياً.</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هذا الموقف يُشكّل نقطة خلاف جوهرية مع النموذج الاستخلافي، الذي يُؤكّد أن الإرادة الحرة ليست وهماً بل هي الأساس الوجودي للمسؤولية الأخلاقية والتزكية.</w:t>
      </w:r>
    </w:p>
    <w:p>
      <w:pPr>
        <w:spacing w:after="80" w:before="8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الثاني: علم النفس الاستخلافي — النفس كبنية وجودية للاختيار والمسؤولية</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2.1 النفس اللوامة: الرقيب الأخلاقي وما وراء المعرفة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يتطابق مفهوم 'الشعور بالفاعلية' عند فريث وظيفياً مع وظيفة 'النفس اللوامة' في علم النفس الاستخلافي (الزراع، ص 1239، 1241). لكن اللوامة أعمق من الفاعلية العصبية؛ فهي: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الرقيب الداخلي الذي يراقب الأفعال والأفكار ويُصدر أحكاماً أخلاقية عليها لا مجرد حسابات تكيفية.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مسؤولة عن ما وراء المعرفة الأخلاقية (Moral Metacognition): مراقبة النفس بنظر قيمي لا مجرد معرفي.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المحرك للصعود نحو النفس المطمئنة: إذ لا يكفي الندم بل يُحوّله الجسر السلوكي إلى فعل إحساني (الزراع، ص 1239، 1244).</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الفرق الجوهري: ما وراء المعرفة عند فريث وظيفة كمبيوترية (الدماغ يراقب نماذجه). ما وراء المعرفة الأخلاقية عند الزراع هي قدرة روحية تُتيح للإنسان أن يُحاكم نفسه في ضوء مرجعية تتجاوز المنفعة الاجتماعية.</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2.2 القلب كعضو للإدراك الحقيقي: ما وراء الدماغ</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يرى علم النفس الاستخلافي أن القلب — بمعناه القرآني — هو العضو الحقيقي للإدراك والبصيرة، لا الدماغ وحده (الزراع، ص 1208-1210). هذا لا يعني إنكار الدماغ، بل وضعه في إطار هرمي: الدماغ أداة، والقلب مسرح.</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3000"/>
        <w:gridCol w:w="2600"/>
      </w:tblGrid>
      <w:tr>
        <w:trPr>
          <w:tblHeader/>
        </w:trPr>
        <w:tc>
          <w:tcPr>
            <w:tcW w:type="dxa" w:w="34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في النموذج الاستخلافي</w:t>
            </w:r>
          </w:p>
        </w:tc>
        <w:tc>
          <w:tcPr>
            <w:tcW w:type="dxa" w:w="3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في نموذج فريث</w:t>
            </w:r>
          </w:p>
        </w:tc>
        <w:tc>
          <w:tcPr>
            <w:tcW w:type="dxa" w:w="26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الوظيفة</w:t>
            </w:r>
          </w:p>
        </w:tc>
      </w:tr>
      <w:tr>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مسرح وجودي للإيمان والبصيرة والتوجّه نحو الله</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أداة معالجة وتوليد نماذج داخلية للعالم</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مركز الإدراك</w:t>
            </w:r>
          </w:p>
        </w:tc>
      </w:tr>
      <w:tr>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يعقل بالمعنى القيمي والأخلاقي والروحي</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يعالج المعلومات وييسر الاتصال الاجتماعي</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وظيفة العقل</w:t>
            </w:r>
          </w:p>
        </w:tc>
      </w:tr>
      <w:tr>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يتأثر بالذكر والصلاة والتوبة — طهارته مشروط للبصيرة</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يتأثر بالتجارب العصبية والاجتماعية والدوائية</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عوامل الصحة</w:t>
            </w:r>
          </w:p>
        </w:tc>
      </w:tr>
      <w:tr>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يعمى بالذنب والغفلة والشهوة</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يختلّ بخلل في توازن التوقعات والدوبامين</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أسباب الخلل</w:t>
            </w:r>
          </w:p>
        </w:tc>
      </w:tr>
    </w:tbl>
    <w:p>
      <w:pPr>
        <w:spacing w:after="60" w:before="6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2.3 البينذاتية والخبير الحي: المشاركة الاجتماعية الاستخلافية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يتجسد مفهوم 'مشاركة التجارب' عند فريث في مفهومَي 'البينذاتية' (Intersubjectivity) و'الخبير الحي' عند الزراع (ص 1098، 1165):</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الخبير الحي ليس مجرد من نجا من تجربة مؤلمة، بل من حوّل جرحه إلى رأسمال أخلاقي يُضخّه في المجتمع.</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هذا التحويل (الكينتسوغي النفسي) لا يمكن للنموذج العصبي تفسيره، لأنه يتجاوز التكيف الاجتماعي إلى خدمة رسالة أعلى.</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في علم الاجتماع الاستخلافي، التوبة الفردية تصير 'فاعلية مجتمعية' تُغيّر النسيج الأخلاقي للمجتمع (الزراع، ص 1165، 1406).</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2.4 الفصام الأخلاقي: تمزق المرجعيات في عصر الحداثة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في مقابل تفسير فريث للفصام كخلل عصبي في موازنة التوقعات، يطرح الزراع مفهوم 'الفصام الأخلاقي' (الزراع، ص 1162، 1250): تمزق بنيوي بين منظومة الوحي ومنظومة الحداثة المادية. هذا التمزق يولّد:</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'ديوناً وهمية': شعور بالذنب غير المُفسَّر في ضوء أخلاق دنيوية وحدها.</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قلقاً وجودياً مزمناً من فراغ المعنى وغياب الغاية.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تعطّل النفس اللوامة بين مرجعيتين متناقضتين لا تجد في أيّهما إجابة كافية.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والشيطان (البعد الرابع) يستهدف هذه الثغرة تحديداً: يُزيّن الباطل بمفردات العلم والحرية، ويُشوّه نماذج التوقع الداخلية لدى الإنسان — وهو ما يُشابه عصبياً 'الوزن المفرط للتوقعات' عند فريث الذي يقود إلى الوهم (الزراع، ص 941، 1186).</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2.5 الإنسان السُّنّني: التفرد بين البيولوجيا والاستخلاف</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يرى الزراع أن التفرد البشري لا يكمن فقط في قدرة الدماغ على تمثيل العلاقات المجردة (كما عند فريث)، بل في كون الإنسان خليفةً مُؤتمَناً يمتلك كرامة مستمدة من 'النفخة الإلهية' (الزراع، ص 1310، 1367). التطور هنا ليس بيولوجياً فحسب بل هو 'تزكية': انتقال من مستوى الأمارة (الاستجابة الانفعالية البدائية) إلى المطمئنة (التكامل العصبي الروحي) (الزراع، ص 1061-1062).</w:t>
      </w:r>
    </w:p>
    <w:p>
      <w:pPr>
        <w:spacing w:after="60" w:before="60"/>
      </w:pPr>
      <w:r>
        <w:t xml:space="preserve"> </w:t>
      </w:r>
    </w:p>
    <w:p>
      <w:r>
        <w:br w:type="page"/>
      </w:r>
    </w:p>
    <w:p>
      <w:pPr>
        <w:pBdr>
          <w:top w:val="single" w:color="B8860B" w:sz="12"/>
          <w:left w:val="single" w:color="B8860B" w:sz="12"/>
          <w:bottom w:val="single" w:color="B8860B" w:sz="12"/>
          <w:right w:val="single" w:color="B8860B" w:sz="12"/>
        </w:pBdr>
        <w:shd w:fill="1A7A8A" w:val="clear"/>
        <w:bidi/>
        <w:spacing w:after="200" w:before="200"/>
        <w:ind w:left="200" w:right="200"/>
        <w:jc w:val="center"/>
      </w:pPr>
      <w:r>
        <w:rPr>
          <w:rFonts w:ascii="Traditional Arabic" w:cs="Traditional Arabic" w:eastAsia="Traditional Arabic" w:hAnsi="Traditional Arabic"/>
          <w:b/>
          <w:bCs/>
          <w:i w:val="false"/>
          <w:iCs w:val="false"/>
          <w:color w:val="FFFFFF"/>
          <w:sz w:val="38"/>
          <w:szCs w:val="38"/>
        </w:rPr>
        <w:t xml:space="preserve">الباب الثاني</w:t>
      </w:r>
      <w:r>
        <w:rPr>
          <w:rFonts w:ascii="Traditional Arabic" w:cs="Traditional Arabic" w:eastAsia="Traditional Arabic" w:hAnsi="Traditional Arabic"/>
          <w:b w:val="false"/>
          <w:bCs w:val="false"/>
          <w:i w:val="false"/>
          <w:iCs w:val="false"/>
          <w:color w:val="FFFFFF"/>
          <w:sz w:val="30"/>
          <w:szCs w:val="30"/>
        </w:rPr>
        <w:t xml:space="preserve">  ·  </w:t>
      </w:r>
      <w:r>
        <w:rPr>
          <w:rFonts w:ascii="Traditional Arabic" w:cs="Traditional Arabic" w:eastAsia="Traditional Arabic" w:hAnsi="Traditional Arabic"/>
          <w:b/>
          <w:bCs/>
          <w:i w:val="false"/>
          <w:iCs w:val="false"/>
          <w:color w:val="FFFFFF"/>
          <w:sz w:val="30"/>
          <w:szCs w:val="30"/>
        </w:rPr>
        <w:t xml:space="preserve">المقارنة التحليلية: أوجه الالتقاء والافتراق</w:t>
      </w:r>
    </w:p>
    <w:p>
      <w:pPr>
        <w:spacing w:after="80" w:before="8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الثالث: الالتقاء الوظيفي — كيف تتكامل النظريتان؟</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3.1 الشعور بالفاعلية والنفس اللوامة: حوار عصبي أخلاقي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يتطابق 'الشعور بالفاعلية' (Sense of Agency) عند فريث مع وظيفة النفس اللوامة في النموذج الاستخلافي في ثلاثة أوجه:</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3000"/>
        <w:gridCol w:w="2800"/>
      </w:tblGrid>
      <w:tr>
        <w:trPr>
          <w:tblHeader/>
        </w:trPr>
        <w:tc>
          <w:tcPr>
            <w:tcW w:type="dxa" w:w="32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النموذج الاستخلافي</w:t>
            </w:r>
          </w:p>
        </w:tc>
        <w:tc>
          <w:tcPr>
            <w:tcW w:type="dxa" w:w="3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نموذج فريث</w:t>
            </w:r>
          </w:p>
        </w:tc>
        <w:tc>
          <w:tcPr>
            <w:tcW w:type="dxa" w:w="28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الوجه</w:t>
            </w:r>
          </w:p>
        </w:tc>
      </w:tr>
      <w:tr>
        <w:tc>
          <w:tcPr>
            <w:tcW w:type="dxa" w:w="32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اللوامة: تراقب الفعل وتُصدر حكماً أخلاقياً عليه</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الشعور بالفاعلية: يُخبر الإنسان أنه هو الفاعل</w:t>
            </w:r>
          </w:p>
        </w:tc>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المراقبة الذاتية</w:t>
            </w:r>
          </w:p>
        </w:tc>
      </w:tr>
      <w:tr>
        <w:tc>
          <w:tcPr>
            <w:tcW w:type="dxa" w:w="32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اللوامة تجعل المحاسبة الأخلاقية والتوبة ممكنة</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الفاعلية تجعل المحاسبة الاجتماعية ممكنة</w:t>
            </w:r>
          </w:p>
        </w:tc>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تأسيس المسؤولية</w:t>
            </w:r>
          </w:p>
        </w:tc>
      </w:tr>
      <w:tr>
        <w:tc>
          <w:tcPr>
            <w:tcW w:type="dxa" w:w="32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تعطّل اللوامة يُنتج استحواذ الأمارة والإفلات من الضمير</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خلل الفاعلية يُنتج ظاهرة النزوع اللاإرادي (Alien Control)</w:t>
            </w:r>
          </w:p>
        </w:tc>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نتائج الخلل</w:t>
            </w:r>
          </w:p>
        </w:tc>
      </w:tr>
    </w:tbl>
    <w:p>
      <w:pPr>
        <w:spacing w:after="60" w:before="60"/>
      </w:pPr>
      <w:r>
        <w:t xml:space="preserve"> </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لكن الفارق الجذري: الفاعلية عند فريث خاصية عصبية وظيفية قد تكون 'وهماً مفيداً'. اللوامة عند الزراع حقيقة وجودية روحية تُحاسَب عليها النفس أمام الله.</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3.2 نموذج التوقع والتزيين الشيطاني: أعمق نقاط التقاطع</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يُمثّل نموذج التوقع عند فريث ومفهوم التزيين في القرآن والنموذج الاستخلافي من أعمق نقاط التقاطع بين النظريتين:</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عند فريث: الهلاوس والأوهام تنشأ حين يُعطي الدماغ وزناً مفرطاً للتوقعات الداخلية على حساب المدخلات الحسية الفعلية.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عند الزراع: التزيين الشيطاني يعمل بالطريقة نفسها: يُدخل توقعات مشوَّهة إلى نفس الإنسان (الأمارة) فيرى الباطل حسناً والحسن باطلاً (الزراع، ص 941، 1186).</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كلاهما يُنتج 'واقعاً ذاتياً مُزيّفاً' يختلف عن الواقع الموضوعي؛ فريث يُسمّيه خطأ التوقع، والزراع يُسمّيه انحراف الفطرة.</w:t>
      </w:r>
    </w:p>
    <w:p>
      <w:pPr>
        <w:pBdr>
          <w:top w:val="single" w:color="8B0000" w:sz="4"/>
          <w:left w:val="single" w:color="8B0000" w:sz="4"/>
          <w:bottom w:val="single" w:color="AAAAAA" w:sz="1"/>
          <w:right w:val="single" w:color="8B0000" w:sz="4"/>
        </w:pBdr>
        <w:shd w:fill="8B0000" w:val="clear"/>
        <w:bidi/>
        <w:spacing w:after="30" w:before="120"/>
        <w:ind w:left="160" w:right="160"/>
        <w:jc w:val="right"/>
      </w:pPr>
      <w:r>
        <w:rPr>
          <w:rFonts w:ascii="Traditional Arabic" w:cs="Traditional Arabic" w:eastAsia="Traditional Arabic" w:hAnsi="Traditional Arabic"/>
          <w:b/>
          <w:bCs/>
          <w:i w:val="false"/>
          <w:iCs w:val="false"/>
          <w:color w:val="FFFFFF"/>
          <w:sz w:val="26"/>
          <w:szCs w:val="26"/>
        </w:rPr>
        <w:t xml:space="preserve">◆ التزيين كخطأ في التوقع</w:t>
      </w:r>
    </w:p>
    <w:p>
      <w:pPr>
        <w:pBdr>
          <w:top w:val="single" w:color="AAAAAA" w:sz="1"/>
          <w:left w:val="single" w:color="8B0000" w:sz="4"/>
          <w:bottom w:val="single" w:color="8B0000" w:sz="4"/>
          <w:right w:val="single" w:color="8B0000" w:sz="4"/>
        </w:pBdr>
        <w:shd w:fill="F5F5F5" w:val="clear"/>
        <w:bidi/>
        <w:spacing w:after="120" w:before="30"/>
        <w:ind w:left="160" w:right="200"/>
        <w:jc w:val="right"/>
      </w:pPr>
      <w:r>
        <w:rPr>
          <w:rFonts w:ascii="Traditional Arabic" w:cs="Traditional Arabic" w:eastAsia="Traditional Arabic" w:hAnsi="Traditional Arabic"/>
          <w:b w:val="false"/>
          <w:bCs w:val="false"/>
          <w:i w:val="false"/>
          <w:iCs w:val="false"/>
          <w:color w:val="1A1A1A"/>
          <w:sz w:val="25"/>
          <w:szCs w:val="25"/>
        </w:rPr>
        <w:t xml:space="preserve">يمكن ترجمة مفهوم التزيين الشيطاني بلغة علم الأعصاب: الشيطان يُدخل 'priors' (توقعات مسبقة) فاسدة إلى نظام معالجة الدماغ، فيُحوّل المكروه إلى مرغوب والمحرم إلى مباح — في تجربة ذاتية صادقة الإحساس للشخص المبتلى. الاستعاذة والذكر يُعيدان معايرة هذه التوقعات نحو الفطرة السليمة.</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3.3 قراءة العقول والوظيفة السُّننية: من التنبؤ إلى الحكمة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ما يسميه فريث 'قراءة العقول' (Mentalizing) يتوافق مع 'أخذ المنظور' في النموذج الاستخلافي، لكن مع إضافة جوهرية:</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3000"/>
        <w:gridCol w:w="2600"/>
      </w:tblGrid>
      <w:tr>
        <w:trPr>
          <w:tblHeader/>
        </w:trPr>
        <w:tc>
          <w:tcPr>
            <w:tcW w:type="dxa" w:w="34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الاستخلافي: الوظيفة السُّننية للقلب</w:t>
            </w:r>
          </w:p>
        </w:tc>
        <w:tc>
          <w:tcPr>
            <w:tcW w:type="dxa" w:w="3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فريث: قراءة العقول</w:t>
            </w:r>
          </w:p>
        </w:tc>
        <w:tc>
          <w:tcPr>
            <w:tcW w:type="dxa" w:w="26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الوجه</w:t>
            </w:r>
          </w:p>
        </w:tc>
      </w:tr>
      <w:tr>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فهم سنن الله في خلقه والاستدلال على الغاية الإلهية من العلاقات الإنسانية</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فهم نوايا الآخرين لتحسين التنبؤ بسلوكهم والتكيف معه</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الغاية من فهم الآخر</w:t>
            </w:r>
          </w:p>
        </w:tc>
      </w:tr>
      <w:tr>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القلب أداة للبصيرة تتجاوز الحسابات التنبؤية إلى الحكمة الغائية</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MPFC وTPJ وpSTS أداة لتمثيل الحالات العقلية للآخرين</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أداة الفهم</w:t>
            </w:r>
          </w:p>
        </w:tc>
      </w:tr>
      <w:tr>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قراءة النوايا مدخل إلى المسؤولية الأخلاقية وصون الحقوق والكرامات</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قراءة النوايا مدخل إلى التكيف الاجتماعي وتعظيم المنفعة التعاونية</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نتيجة الفهم</w:t>
            </w:r>
          </w:p>
        </w:tc>
      </w:tr>
    </w:tbl>
    <w:p>
      <w:pPr>
        <w:spacing w:after="60" w:before="6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3.4 المشاركة الاجتماعية: من التبادل المعرفي إلى العطاء الوجودي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يتقاطع مفهوم 'مشاركة التجارب' عند فريث مع مفهوم 'الخبير الحي' عند الزراع، لكن في مستويات مختلفة: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عند فريث: المشاركة تُحسّن قرارات المجموعة وتُقوّي تماسكها. وظيفتها تنسيقية أداتية.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عند الزراع: المشاركة هي ضخّ الجرح المُحوَّل بالتزكية كرأسمال أخلاقي يُغير النسيج المجتمعي. وظيفتها وجودية رسالية.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الخبير الحي يمارس 'قراءة عقول' من نوع خاص: يقرأ ما خفي من ألم الآخر لأنه عاشه بنفسه، فيُصبح أدقّ في المعالجة وأقوى في الأثر.</w:t>
      </w:r>
    </w:p>
    <w:p>
      <w:pPr>
        <w:spacing w:after="60" w:before="6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الرابع: الافتراق الجوهري — المرجعية والغاية والكيان</w:t>
      </w:r>
    </w:p>
    <w:p>
      <w:pPr>
        <w:bidi/>
        <w:spacing w:after="40" w:before="60"/>
        <w:jc w:val="center"/>
      </w:pPr>
      <w:r>
        <w:rPr>
          <w:rFonts w:ascii="Traditional Arabic" w:cs="Traditional Arabic" w:eastAsia="Traditional Arabic" w:hAnsi="Traditional Arabic"/>
          <w:b/>
          <w:bCs/>
          <w:i w:val="false"/>
          <w:iCs w:val="false"/>
          <w:color w:val="1B3A6B"/>
          <w:sz w:val="24"/>
          <w:szCs w:val="24"/>
        </w:rPr>
        <w:t xml:space="preserve">جدول المقارنة الشاملة: فريث والنموذج الاستخلافي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000"/>
      </w:tblGrid>
      <w:tr>
        <w:trPr>
          <w:tblHeader/>
        </w:trPr>
        <w:tc>
          <w:tcPr>
            <w:tcW w:type="dxa" w:w="2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المعيار</w:t>
            </w:r>
          </w:p>
        </w:tc>
        <w:tc>
          <w:tcPr>
            <w:tcW w:type="dxa" w:w="4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نظرية كريس فريث</w:t>
            </w:r>
          </w:p>
        </w:tc>
        <w:tc>
          <w:tcPr>
            <w:tcW w:type="dxa" w:w="3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علم النفس الاستخلافي</w:t>
            </w:r>
          </w:p>
        </w:tc>
      </w:tr>
      <w:tr>
        <w:tc>
          <w:tcPr>
            <w:tcW w:type="dxa" w:w="2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المصدر الإبستيمولوجي</w:t>
            </w:r>
          </w:p>
        </w:tc>
        <w:tc>
          <w:tcPr>
            <w:tcW w:type="dxa" w:w="4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علم الأعصاب والتجربة المخبرية</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الوحي والتراث الإسلامي + الفطرة</w:t>
            </w:r>
          </w:p>
        </w:tc>
      </w:tr>
      <w:tr>
        <w:tc>
          <w:tcPr>
            <w:tcW w:type="dxa" w:w="2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المنهج</w:t>
            </w:r>
          </w:p>
        </w:tc>
        <w:tc>
          <w:tcPr>
            <w:tcW w:type="dxa" w:w="4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تجريبي، كمي، اختزالي نسبياً</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تأصيلي، تركيبي، كلياني، غيبي</w:t>
            </w:r>
          </w:p>
        </w:tc>
      </w:tr>
      <w:tr>
        <w:tc>
          <w:tcPr>
            <w:tcW w:type="dxa" w:w="2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لغة الوصف</w:t>
            </w:r>
          </w:p>
        </w:tc>
        <w:tc>
          <w:tcPr>
            <w:tcW w:type="dxa" w:w="4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دوائر عصبية، توقعات، مدخلات حسية</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نفس، قلب، فطرة، شيطان، رحمة</w:t>
            </w:r>
          </w:p>
        </w:tc>
      </w:tr>
      <w:tr>
        <w:tc>
          <w:tcPr>
            <w:tcW w:type="dxa" w:w="2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محرك السلوك</w:t>
            </w:r>
          </w:p>
        </w:tc>
        <w:tc>
          <w:tcPr>
            <w:tcW w:type="dxa" w:w="4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التوقعات العصبية + المدخلات الحسية</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الفطرة (فجور وتقوى) + الإرادة + البعد الرابع</w:t>
            </w:r>
          </w:p>
        </w:tc>
      </w:tr>
      <w:tr>
        <w:tc>
          <w:tcPr>
            <w:tcW w:type="dxa" w:w="2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وظيفة الوعي</w:t>
            </w:r>
          </w:p>
        </w:tc>
        <w:tc>
          <w:tcPr>
            <w:tcW w:type="dxa" w:w="4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آلية للمسؤولية والتماسك الاجتماعي</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بوابة التزكية وتحقيق الاستخلاف</w:t>
            </w:r>
          </w:p>
        </w:tc>
      </w:tr>
      <w:tr>
        <w:tc>
          <w:tcPr>
            <w:tcW w:type="dxa" w:w="2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الإرادة الحرة</w:t>
            </w:r>
          </w:p>
        </w:tc>
        <w:tc>
          <w:tcPr>
            <w:tcW w:type="dxa" w:w="4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وهم وظيفي ضروري اجتماعياً</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حقيقة وجودية روحية تُحاسَب عليها</w:t>
            </w:r>
          </w:p>
        </w:tc>
      </w:tr>
      <w:tr>
        <w:tc>
          <w:tcPr>
            <w:tcW w:type="dxa" w:w="2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الخلل النفسي</w:t>
            </w:r>
          </w:p>
        </w:tc>
        <w:tc>
          <w:tcPr>
            <w:tcW w:type="dxa" w:w="4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فشل في موازنة نماذج الدماغ (فصام)</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الفصام الأخلاقي وتعطّل اللوامة</w:t>
            </w:r>
          </w:p>
        </w:tc>
      </w:tr>
      <w:tr>
        <w:tc>
          <w:tcPr>
            <w:tcW w:type="dxa" w:w="2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المركز الإدراكي</w:t>
            </w:r>
          </w:p>
        </w:tc>
        <w:tc>
          <w:tcPr>
            <w:tcW w:type="dxa" w:w="4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قشرة الفص الجبهي والشبكة الاجتماعية</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القلب مسرحاً وجودياً للبصيرة</w:t>
            </w:r>
          </w:p>
        </w:tc>
      </w:tr>
      <w:tr>
        <w:tc>
          <w:tcPr>
            <w:tcW w:type="dxa" w:w="2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الغاية</w:t>
            </w:r>
          </w:p>
        </w:tc>
        <w:tc>
          <w:tcPr>
            <w:tcW w:type="dxa" w:w="4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كفاءة التواصل والمشاركة الاجتماعية</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الوصول للمطمئنة وعمارة الأرض بالإحسان</w:t>
            </w:r>
          </w:p>
        </w:tc>
      </w:tr>
      <w:tr>
        <w:tc>
          <w:tcPr>
            <w:tcW w:type="dxa" w:w="2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البعد الأخروي</w:t>
            </w:r>
          </w:p>
        </w:tc>
        <w:tc>
          <w:tcPr>
            <w:tcW w:type="dxa" w:w="4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غائب تماماً</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حاضر ومركزي (الفلاح)</w:t>
            </w:r>
          </w:p>
        </w:tc>
      </w:tr>
      <w:tr>
        <w:tc>
          <w:tcPr>
            <w:tcW w:type="dxa" w:w="2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علاقة مع الآخر</w:t>
            </w:r>
          </w:p>
        </w:tc>
        <w:tc>
          <w:tcPr>
            <w:tcW w:type="dxa" w:w="4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تبادل معلوماتي لتحسين القرارات</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عطاء إحساني لتحقيق الاستخلاف الجماعي</w:t>
            </w:r>
          </w:p>
        </w:tc>
      </w:tr>
    </w:tbl>
    <w:p>
      <w:pPr>
        <w:spacing w:after="60" w:before="6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4.1 إشكالية الحرية الإرادية: أعمق نقاط الخلاف</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يُمثّل موقف فريث من الإرادة الحرة نقطة خلاف جوهرية مع النموذج الاستخلافي. فريث يتبنى ما يمكن تسميته 'الإرادة الوظيفية': الإنسان يتصرف كما لو كان حراً وهذا يُنتج مسؤولية اجتماعية حقيقية، لكنه في الجوهر ناتج عمليات عصبية سابقة للوعي.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النموذج الاستخلافي يرفض هذا جذرياً: الإرادة الحرة ليست وهماً مفيداً بل هي الحقيقة الوجودية الأساسية التي يقوم عليها الاستخلاف. الإنسان خليفة مُختار مُكلَّف — لا آلة بيولوجية تُصدر تقارير وعي متأخرة.</w:t>
      </w:r>
    </w:p>
    <w:p>
      <w:pPr>
        <w:pBdr>
          <w:top w:val="single" w:color="1B3A6B" w:sz="4"/>
          <w:left w:val="single" w:color="1B3A6B" w:sz="4"/>
          <w:bottom w:val="single" w:color="AAAAAA" w:sz="1"/>
          <w:right w:val="single" w:color="1B3A6B" w:sz="4"/>
        </w:pBdr>
        <w:shd w:fill="1B3A6B" w:val="clear"/>
        <w:bidi/>
        <w:spacing w:after="30" w:before="120"/>
        <w:ind w:left="160" w:right="160"/>
        <w:jc w:val="right"/>
      </w:pPr>
      <w:r>
        <w:rPr>
          <w:rFonts w:ascii="Traditional Arabic" w:cs="Traditional Arabic" w:eastAsia="Traditional Arabic" w:hAnsi="Traditional Arabic"/>
          <w:b/>
          <w:bCs/>
          <w:i w:val="false"/>
          <w:iCs w:val="false"/>
          <w:color w:val="FFFFFF"/>
          <w:sz w:val="26"/>
          <w:szCs w:val="26"/>
        </w:rPr>
        <w:t xml:space="preserve">◆ معضلة ليبت وحلّها الاستخلافي</w:t>
      </w:r>
    </w:p>
    <w:p>
      <w:pPr>
        <w:pBdr>
          <w:top w:val="single" w:color="AAAAAA" w:sz="1"/>
          <w:left w:val="single" w:color="1B3A6B" w:sz="4"/>
          <w:bottom w:val="single" w:color="1B3A6B" w:sz="4"/>
          <w:right w:val="single" w:color="1B3A6B" w:sz="4"/>
        </w:pBdr>
        <w:shd w:fill="F5F5F5" w:val="clear"/>
        <w:bidi/>
        <w:spacing w:after="120" w:before="30"/>
        <w:ind w:left="160" w:right="200"/>
        <w:jc w:val="right"/>
      </w:pPr>
      <w:r>
        <w:rPr>
          <w:rFonts w:ascii="Traditional Arabic" w:cs="Traditional Arabic" w:eastAsia="Traditional Arabic" w:hAnsi="Traditional Arabic"/>
          <w:b w:val="false"/>
          <w:bCs w:val="false"/>
          <w:i w:val="false"/>
          <w:iCs w:val="false"/>
          <w:color w:val="1A1A1A"/>
          <w:sz w:val="25"/>
          <w:szCs w:val="25"/>
        </w:rPr>
        <w:t xml:space="preserve">أثبتت تجارب بنيامين ليبت (1983) أن نشاط الدماغ الاستعدادي يسبق القرار الواعي بـ350 مللي ثانية. فريث يستخدم هذا للطعن في الإرادة الحرة. النموذج الاستخلافي يُجيب: النشاط العصبي ليس القرار ذاته، بل تهيّؤ للفعل لا يزال في نطاق الإرادة الإلهية التي أودعها الله في تركيب الإنسان. كذلك ليبت نفسه وجد أن الإنسان يستطيع إيقاف الفعل في آخر لحظة — وهذا هو 'حق النقض' الإرادي الذي يُثبت الحرية.</w:t>
      </w:r>
    </w:p>
    <w:p>
      <w:pPr>
        <w:spacing w:after="60" w:before="60"/>
      </w:pPr>
      <w:r>
        <w:t xml:space="preserve"> </w:t>
      </w:r>
    </w:p>
    <w:p>
      <w:r>
        <w:br w:type="page"/>
      </w:r>
    </w:p>
    <w:p>
      <w:pPr>
        <w:pBdr>
          <w:top w:val="single" w:color="B8860B" w:sz="12"/>
          <w:left w:val="single" w:color="B8860B" w:sz="12"/>
          <w:bottom w:val="single" w:color="B8860B" w:sz="12"/>
          <w:right w:val="single" w:color="B8860B" w:sz="12"/>
        </w:pBdr>
        <w:shd w:fill="8B0000" w:val="clear"/>
        <w:bidi/>
        <w:spacing w:after="200" w:before="200"/>
        <w:ind w:left="200" w:right="200"/>
        <w:jc w:val="center"/>
      </w:pPr>
      <w:r>
        <w:rPr>
          <w:rFonts w:ascii="Traditional Arabic" w:cs="Traditional Arabic" w:eastAsia="Traditional Arabic" w:hAnsi="Traditional Arabic"/>
          <w:b/>
          <w:bCs/>
          <w:i w:val="false"/>
          <w:iCs w:val="false"/>
          <w:color w:val="FFFFFF"/>
          <w:sz w:val="38"/>
          <w:szCs w:val="38"/>
        </w:rPr>
        <w:t xml:space="preserve">الباب الثالث</w:t>
      </w:r>
      <w:r>
        <w:rPr>
          <w:rFonts w:ascii="Traditional Arabic" w:cs="Traditional Arabic" w:eastAsia="Traditional Arabic" w:hAnsi="Traditional Arabic"/>
          <w:b w:val="false"/>
          <w:bCs w:val="false"/>
          <w:i w:val="false"/>
          <w:iCs w:val="false"/>
          <w:color w:val="FFFFFF"/>
          <w:sz w:val="30"/>
          <w:szCs w:val="30"/>
        </w:rPr>
        <w:t xml:space="preserve">  ·  </w:t>
      </w:r>
      <w:r>
        <w:rPr>
          <w:rFonts w:ascii="Traditional Arabic" w:cs="Traditional Arabic" w:eastAsia="Traditional Arabic" w:hAnsi="Traditional Arabic"/>
          <w:b/>
          <w:bCs/>
          <w:i w:val="false"/>
          <w:iCs w:val="false"/>
          <w:color w:val="FFFFFF"/>
          <w:sz w:val="30"/>
          <w:szCs w:val="30"/>
        </w:rPr>
        <w:t xml:space="preserve">نقد معمّق لنظرية فريث من منظور استخلافي</w:t>
      </w:r>
    </w:p>
    <w:p>
      <w:pPr>
        <w:spacing w:after="80" w:before="8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الخامس: القصور في تفسير الأبعاد الوجودية</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5.1 غياب مفهوم المعنى: الوعي لأجل ماذا؟</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نظرية فريث تُجيب بإتقان على سؤال 'كيف' يعمل الوعي. لكنها تغفل سؤالاً أعمق: 'لأجل ماذا' يوجد الوعي؟ لماذا يُدرك الإنسان جمال الكون، ويُحسّ بالمعنى أو الفراغ، ويبحث عن الله؟</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في النموذج التنبؤي، الوعي وسيلة تكيفية للبقاء. لكن هذا لا يُفسّر ظاهرة المتصوف الذي يُغامر بحياته طلباً للقرب من الله، أو الشهيد الذي يُقدّم نفسه لغاية تتجاوز البقاء. هذه التجارب تتجاوز إطار فريث التكيفي.</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5.2 الاختزال المنهجي: الوعي = نماذج عصبية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يقع فريث في شرك الاختزال المنهجي حين يُرجع الوعي كله إلى نماذج دماغية وتوقعات عصبية. وهذا يُنتج إشكاليات:</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إشكالية التجربة الذاتية (Qualia): الإحساس بألم الفقد أو فرحة اللقاء ليس نموذجاً عصبياً بل تجربة معيشة حيّة. فريث يصف الإشارة لا الحالة.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إشكالية الإرادة كما ذكرنا: اختزال القرار في عمليات سابقة للوعي يُفضي إلى التشكيك في المسؤولية الأخلاقية.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إشكالية الوعي الإلهي: لا تُجيب النظرية على تجارب 'الحضور الإلهي' وتجارب القرب من الله التي يُبلّغ عنها الملايين.</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5.3 الدماغ الاجتماعي والنفس الجماعية: الغائب الكبير</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يُبرز فريث بحق أن الدماغ بنية اجتماعية: يتطور في سياق اجتماعي، ويعمل في تفاعل مستمر مع الآخرين. لكن نموذجه يقف عند حدود المجموعة التكيفية (Adaptive Group).</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علم النفس الاستخلافي يُضيف مفهوم 'الأمة' كمشروع استخلافي جماعي يتجاوز مجرد التعاون التكيفي: الأمة مؤتمنة على رسالة إلهية، وضميرها الجماعي (اللوامة الجماعية) يظهر في مفاهيم الأمر بالمعروف والنهي عن المنكر، وهي آليات اجتماعية لا تُفسّرها نظرية 'الدماغ الاجتماعي'.</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5.4 تفسير الوسواس: بين نموذج فريث والنموذج الاستخلافي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يُقدّم فريث تفسيراً عصبياً للوسواس القهري بوصفه خللاً في تقدير خطأ التوقع (Prediction Error): حلقات عصبية تتكرر لأن الدماغ لا 'يُصدر إشارة اكتمال'. النموذج الاستخلافي يُضيف:</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علم النفس الاستخلافي</w:t>
            </w:r>
          </w:p>
        </w:tc>
        <w:tc>
          <w:tcPr>
            <w:tcW w:type="dxa" w:w="4500"/>
            <w:tcBorders>
              <w:top w:val="single" w:color="2E5DA6" w:sz="4"/>
              <w:left w:val="single" w:color="2E5DA6" w:sz="4"/>
              <w:bottom w:val="single" w:color="2E5DA6" w:sz="4"/>
              <w:right w:val="single" w:color="2E5DA6" w:sz="4"/>
            </w:tcBorders>
            <w:shd w:fill="1A7A8A"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نظرية كريس فريث</w:t>
            </w:r>
          </w:p>
        </w:tc>
      </w:tr>
      <w:tr>
        <w:tc>
          <w:tcPr>
            <w:tcW w:type="dxa" w:w="45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خلل في الدوائر العصبية لمعالجة خطأ التوقع (قشرة رباطية + قاعدة عقدية)</w:t>
            </w:r>
          </w:p>
        </w:tc>
        <w:tc>
          <w:tcPr>
            <w:tcW w:type="dxa" w:w="4500"/>
            <w:tcBorders>
              <w:top w:val="single" w:color="2E5DA6" w:sz="4"/>
              <w:left w:val="single" w:color="2E5DA6" w:sz="4"/>
              <w:bottom w:val="single" w:color="2E5DA6" w:sz="4"/>
              <w:right w:val="single" w:color="2E5DA6" w:sz="4"/>
            </w:tcBorders>
            <w:shd w:fill="E8F4F5"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وسواس شيطاني يستهدف ثغرة الفجور في النفس الأمارة</w:t>
            </w:r>
          </w:p>
        </w:tc>
      </w:tr>
      <w:tr>
        <w:tc>
          <w:tcPr>
            <w:tcW w:type="dxa" w:w="45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تدخلات دوائية (مثبطات السيروتونين) + العلاج المعرفي السلوكي (ERP)</w:t>
            </w:r>
          </w:p>
        </w:tc>
        <w:tc>
          <w:tcPr>
            <w:tcW w:type="dxa" w:w="4500"/>
            <w:tcBorders>
              <w:top w:val="single" w:color="2E5DA6" w:sz="4"/>
              <w:left w:val="single" w:color="2E5DA6" w:sz="4"/>
              <w:bottom w:val="single" w:color="2E5DA6" w:sz="4"/>
              <w:right w:val="single" w:color="2E5DA6" w:sz="4"/>
            </w:tcBorders>
            <w:shd w:fill="F8FDFD"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الاستعاذة، الذكر، تفعيل اللوامة، الجسر السلوكي</w:t>
            </w:r>
          </w:p>
        </w:tc>
      </w:tr>
      <w:tr>
        <w:tc>
          <w:tcPr>
            <w:tcW w:type="dxa" w:w="45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إعادة معايرة أوزان التوقعات الداخلية</w:t>
            </w:r>
          </w:p>
        </w:tc>
        <w:tc>
          <w:tcPr>
            <w:tcW w:type="dxa" w:w="4500"/>
            <w:tcBorders>
              <w:top w:val="single" w:color="2E5DA6" w:sz="4"/>
              <w:left w:val="single" w:color="2E5DA6" w:sz="4"/>
              <w:bottom w:val="single" w:color="2E5DA6" w:sz="4"/>
              <w:right w:val="single" w:color="2E5DA6" w:sz="4"/>
            </w:tcBorders>
            <w:shd w:fill="E8F4F5"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إعادة الاتصال بالفطرة وطرد الوسوسة بالإرادة الواعية</w:t>
            </w:r>
          </w:p>
        </w:tc>
      </w:tr>
      <w:tr>
        <w:tc>
          <w:tcPr>
            <w:tcW w:type="dxa" w:w="45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تحسين وظيفي: تقليل التكرار وزيادة المرونة</w:t>
            </w:r>
          </w:p>
        </w:tc>
        <w:tc>
          <w:tcPr>
            <w:tcW w:type="dxa" w:w="4500"/>
            <w:tcBorders>
              <w:top w:val="single" w:color="2E5DA6" w:sz="4"/>
              <w:left w:val="single" w:color="2E5DA6" w:sz="4"/>
              <w:bottom w:val="single" w:color="2E5DA6" w:sz="4"/>
              <w:right w:val="single" w:color="2E5DA6" w:sz="4"/>
            </w:tcBorders>
            <w:shd w:fill="F8FDFD"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تحول وجودي: انتقال من الأمارة نحو المطمئنة</w:t>
            </w:r>
          </w:p>
        </w:tc>
      </w:tr>
    </w:tbl>
    <w:p>
      <w:pPr>
        <w:spacing w:after="40" w:before="40"/>
      </w:pPr>
      <w:r>
        <w:t xml:space="preserve"> </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التكامل العلاجي هنا أمر ضروري: التدخل العصبي يُهيّئ التربة، والتدخل الاستخلافي يُزرع فيها المعنى والتحول.</w:t>
      </w:r>
    </w:p>
    <w:p>
      <w:pPr>
        <w:spacing w:after="60" w:before="6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السادس: نقد إضافي — ما يُغفله فريث</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6.1 غياب النية كمُحدِّد للمعنى الأخلاقي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نموذج فريث يُحلّل نوايا الآخرين (قراءة العقول) لكنه لا يُقدّم نظرية في النية الذاتية كمُحدِّد أخلاقي. في الإسلام 'الأعمال بالنيات' — نفس الفعل قد يكون ثواباً أو إثماً بحسب النية.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هذا يُنتج ثغرة في العلاج العصبي: دوائيان يُخرجان الإنسان من الفصام، أحدهما يعود مُقبلاً على الله والآخر مستمراً في الغفلة. الفرق ليس عصبياً بل في النية والإرادة.</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6.2 العمى الثقافي والعلماني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أُجريت معظم أبحاث فريث في بيئات غربية علمانية. وقد تختلف نتائجها حين يكون الإطار الثقافي-الديني مختلفاً. المجتمعات الإسلامية تمتلك بنى لتنظيم السلوك الاجتماعي (الصلاة جماعة، الزكاة، الصوم، الحج) لا تندرج في نموذج 'الدماغ الاجتماعي' التكيفي، لكنها تُنتج تأثيرات عصبية واجتماعية عميقة.</w:t>
      </w:r>
    </w:p>
    <w:p>
      <w:pPr>
        <w:spacing w:after="60" w:before="60"/>
      </w:pPr>
      <w:r>
        <w:t xml:space="preserve"> </w:t>
      </w:r>
    </w:p>
    <w:p>
      <w:r>
        <w:br w:type="page"/>
      </w:r>
    </w:p>
    <w:p>
      <w:pPr>
        <w:pBdr>
          <w:top w:val="single" w:color="B8860B" w:sz="12"/>
          <w:left w:val="single" w:color="B8860B" w:sz="12"/>
          <w:bottom w:val="single" w:color="B8860B" w:sz="12"/>
          <w:right w:val="single" w:color="B8860B" w:sz="12"/>
        </w:pBdr>
        <w:shd w:fill="1E6B3C" w:val="clear"/>
        <w:bidi/>
        <w:spacing w:after="200" w:before="200"/>
        <w:ind w:left="200" w:right="200"/>
        <w:jc w:val="center"/>
      </w:pPr>
      <w:r>
        <w:rPr>
          <w:rFonts w:ascii="Traditional Arabic" w:cs="Traditional Arabic" w:eastAsia="Traditional Arabic" w:hAnsi="Traditional Arabic"/>
          <w:b/>
          <w:bCs/>
          <w:i w:val="false"/>
          <w:iCs w:val="false"/>
          <w:color w:val="FFFFFF"/>
          <w:sz w:val="38"/>
          <w:szCs w:val="38"/>
        </w:rPr>
        <w:t xml:space="preserve">الباب الرابع</w:t>
      </w:r>
      <w:r>
        <w:rPr>
          <w:rFonts w:ascii="Traditional Arabic" w:cs="Traditional Arabic" w:eastAsia="Traditional Arabic" w:hAnsi="Traditional Arabic"/>
          <w:b w:val="false"/>
          <w:bCs w:val="false"/>
          <w:i w:val="false"/>
          <w:iCs w:val="false"/>
          <w:color w:val="FFFFFF"/>
          <w:sz w:val="30"/>
          <w:szCs w:val="30"/>
        </w:rPr>
        <w:t xml:space="preserve">  ·  </w:t>
      </w:r>
      <w:r>
        <w:rPr>
          <w:rFonts w:ascii="Traditional Arabic" w:cs="Traditional Arabic" w:eastAsia="Traditional Arabic" w:hAnsi="Traditional Arabic"/>
          <w:b/>
          <w:bCs/>
          <w:i w:val="false"/>
          <w:iCs w:val="false"/>
          <w:color w:val="FFFFFF"/>
          <w:sz w:val="30"/>
          <w:szCs w:val="30"/>
        </w:rPr>
        <w:t xml:space="preserve">التكامل الهرمي — نحو نموذج مقترح</w:t>
      </w:r>
    </w:p>
    <w:p>
      <w:pPr>
        <w:spacing w:after="80" w:before="8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السابع: مستويات التحليل الأربعة</w:t>
      </w:r>
    </w:p>
    <w:p>
      <w:pPr>
        <w:bidi/>
        <w:spacing w:after="40" w:before="60"/>
        <w:jc w:val="center"/>
      </w:pPr>
      <w:r>
        <w:rPr>
          <w:rFonts w:ascii="Traditional Arabic" w:cs="Traditional Arabic" w:eastAsia="Traditional Arabic" w:hAnsi="Traditional Arabic"/>
          <w:b/>
          <w:bCs/>
          <w:i w:val="false"/>
          <w:iCs w:val="false"/>
          <w:color w:val="1B3A6B"/>
          <w:sz w:val="24"/>
          <w:szCs w:val="24"/>
        </w:rPr>
        <w:t xml:space="preserve">جدول 5: الإطار الهرمي التكاملي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3400"/>
        <w:gridCol w:w="2800"/>
      </w:tblGrid>
      <w:tr>
        <w:trPr>
          <w:tblHeader/>
        </w:trPr>
        <w:tc>
          <w:tcPr>
            <w:tcW w:type="dxa" w:w="28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النظرية الأنسب</w:t>
            </w:r>
          </w:p>
        </w:tc>
        <w:tc>
          <w:tcPr>
            <w:tcW w:type="dxa" w:w="34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الوصف</w:t>
            </w:r>
          </w:p>
        </w:tc>
        <w:tc>
          <w:tcPr>
            <w:tcW w:type="dxa" w:w="28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المستوى</w:t>
            </w:r>
          </w:p>
        </w:tc>
      </w:tr>
      <w:tr>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فريث وعلم الأعصاب الاجتماعي</w:t>
            </w:r>
          </w:p>
        </w:tc>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الآليات العصبية للوعي، قراءة العقول، الشعور بالفاعلية</w:t>
            </w:r>
          </w:p>
        </w:tc>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البيولوجي العصبي</w:t>
            </w:r>
          </w:p>
        </w:tc>
      </w:tr>
      <w:tr>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علم النفس المعرفي الاجتماعي</w:t>
            </w:r>
          </w:p>
        </w:tc>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المعتقدات، النوايا، ما وراء المعرفة، التنظيم العاطفي</w:t>
            </w:r>
          </w:p>
        </w:tc>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النفسي المعرفي</w:t>
            </w:r>
          </w:p>
        </w:tc>
      </w:tr>
      <w:tr>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علم النفس الاستخلافي (الزراع)</w:t>
            </w:r>
          </w:p>
        </w:tc>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الفطرة، المحاسبة، التوبة، النية، الإحسان، الاستخلاف</w:t>
            </w:r>
          </w:p>
        </w:tc>
        <w:tc>
          <w:tcPr>
            <w:tcW w:type="dxa" w:w="28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الأخلاقي الروحي</w:t>
            </w:r>
          </w:p>
        </w:tc>
      </w:tr>
      <w:tr>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العقيدة الإسلامية</w:t>
            </w:r>
          </w:p>
        </w:tc>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الشيطان، الرحمة الإلهية، الملائكة، الغيب، الآخرة</w:t>
            </w:r>
          </w:p>
        </w:tc>
        <w:tc>
          <w:tcPr>
            <w:tcW w:type="dxa" w:w="28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الغيبي الإيماني</w:t>
            </w:r>
          </w:p>
        </w:tc>
      </w:tr>
    </w:tbl>
    <w:p>
      <w:pPr>
        <w:spacing w:after="60" w:before="60"/>
      </w:pPr>
      <w:r>
        <w:t xml:space="preserve"> </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فريث يبني الطابق السفلي (الآليات العصبية). الزراع يبني الطوابق العليا (المعنى، الغاية، الروح). المبنى المتكامل يُفسّر الإنسان في كامل أبعاده: جسداً وعقلاً ونفساً وروحاً.</w:t>
      </w:r>
    </w:p>
    <w:p>
      <w:pPr>
        <w:spacing w:after="40" w:before="40"/>
      </w:pPr>
      <w:r>
        <w:t xml:space="preserve"> </w:t>
      </w:r>
    </w:p>
    <w:p>
      <w:pPr>
        <w:pStyle w:val="Heading2"/>
        <w:pBdr>
          <w:right w:val="single" w:color="B8860B" w:sz="12" w:space="6"/>
        </w:pBdr>
        <w:bidi/>
        <w:spacing w:after="140" w:before="240"/>
        <w:jc w:val="right"/>
      </w:pPr>
      <w:r>
        <w:rPr>
          <w:rFonts w:ascii="Traditional Arabic" w:cs="Traditional Arabic" w:eastAsia="Traditional Arabic" w:hAnsi="Traditional Arabic"/>
          <w:b/>
          <w:bCs/>
          <w:color w:val="2E5DA6"/>
          <w:sz w:val="30"/>
          <w:szCs w:val="30"/>
        </w:rPr>
        <w:t xml:space="preserve">الفصل الثامن: نموذج التكامل التطبيقي</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8.1 من قراءة العقول إلى البصيرة القيمية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دمج 'قراءة العقول' مع 'الوظيفة السُّننية للقلب' يُنتج نموذجاً تطبيقياً:</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تظل الآليات العصبية (MPFC, pSTS) أداةً — لكن الغاية من قراءة العقول تصبح فهم سنن الله في خلقه لا مجرد التنبؤ بالسلوك.</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قراءة النوايا تصبح مدخلاً إلى المسؤولية الأخلاقية وصون الكرامات، لا فقط إلى التكيف التنافسي.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هذا يُحوّل قدرة عصبية (الإمباثيا العصبية) إلى فضيلة أخلاقية (الرحمة) إلى آلية استخلافية (خدمة الخلق).</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8.2 من مشاركة التجارب إلى العطاء الإحساني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'مشاركة التجارب' بالمعنى العصبي يصبح 'جسراً سلوكياً' بالمعنى الاستخلافي: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لا نكتفي بمشاركة الألم أو الفرح (وظيفة التواصل عند فريث).</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بل نُحوّل هذه المشاركة إلى فعل إحساني ملموس يُغيّر الواقع (وظيفة الاستخلاف عند الزراع).</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الخبير الحي لا يشارك تجربته فقط، بل يُضخّها كرأسمال أخلاقي يُثري المجتمع.</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8.3 بروتوكول علاجي تكاملي: الوسواس والفصام والقلق الوجودي</w:t>
      </w:r>
    </w:p>
    <w:p>
      <w:pPr>
        <w:bidi/>
        <w:spacing w:after="40" w:before="60"/>
        <w:jc w:val="center"/>
      </w:pPr>
      <w:r>
        <w:rPr>
          <w:rFonts w:ascii="Traditional Arabic" w:cs="Traditional Arabic" w:eastAsia="Traditional Arabic" w:hAnsi="Traditional Arabic"/>
          <w:b/>
          <w:bCs/>
          <w:i w:val="false"/>
          <w:iCs w:val="false"/>
          <w:color w:val="1B3A6B"/>
          <w:sz w:val="24"/>
          <w:szCs w:val="24"/>
        </w:rPr>
        <w:t xml:space="preserve">جدول 6: البروتوكول التكاملي للاضطرابات النفسية الثلاثة</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3000"/>
        <w:gridCol w:w="2600"/>
      </w:tblGrid>
      <w:tr>
        <w:trPr>
          <w:tblHeader/>
        </w:trPr>
        <w:tc>
          <w:tcPr>
            <w:tcW w:type="dxa" w:w="34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التدخل الاستخلافي</w:t>
            </w:r>
          </w:p>
        </w:tc>
        <w:tc>
          <w:tcPr>
            <w:tcW w:type="dxa" w:w="30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التدخل العصبي (فريث)</w:t>
            </w:r>
          </w:p>
        </w:tc>
        <w:tc>
          <w:tcPr>
            <w:tcW w:type="dxa" w:w="2600"/>
            <w:tcBorders>
              <w:top w:val="single" w:color="2E5DA6" w:sz="4"/>
              <w:left w:val="single" w:color="2E5DA6" w:sz="4"/>
              <w:bottom w:val="single" w:color="2E5DA6" w:sz="4"/>
              <w:right w:val="single" w:color="2E5DA6" w:sz="4"/>
            </w:tcBorders>
            <w:shd w:fill="1B3A6B" w:val="clear"/>
            <w:tcMar>
              <w:top w:type="dxa" w:w="80"/>
              <w:left w:type="dxa" w:w="140"/>
              <w:bottom w:type="dxa" w:w="80"/>
              <w:right w:type="dxa" w:w="140"/>
            </w:tcMar>
            <w:vAlign w:val="center"/>
          </w:tcPr>
          <w:p>
            <w:pPr>
              <w:bidi/>
              <w:spacing w:after="60" w:before="60"/>
              <w:jc w:val="center"/>
            </w:pPr>
            <w:r>
              <w:rPr>
                <w:rFonts w:ascii="Traditional Arabic" w:cs="Traditional Arabic" w:eastAsia="Traditional Arabic" w:hAnsi="Traditional Arabic"/>
                <w:b/>
                <w:bCs/>
                <w:i w:val="false"/>
                <w:iCs w:val="false"/>
                <w:color w:val="FFFFFF"/>
                <w:sz w:val="23"/>
                <w:szCs w:val="23"/>
              </w:rPr>
              <w:t xml:space="preserve">الاضطراب</w:t>
            </w:r>
          </w:p>
        </w:tc>
      </w:tr>
      <w:tr>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الاستعاذة لطرد الوسوسة، الذكر لإعادة معايرة الفطرة، الجسر السلوكي</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مثبطات السيروتونين + علاج التعرض ومنع الاستجابة (ERP)</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الوسواس القهري</w:t>
            </w:r>
          </w:p>
        </w:tc>
      </w:tr>
      <w:tr>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إعادة تفعيل اللوامة، التوبة، التشخيص الوجودي، دراسة التوحيد</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مضادات الذهان + العلاج المعرفي لتصحيح التوقعات</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الفصام</w:t>
            </w:r>
          </w:p>
        </w:tc>
      </w:tr>
      <w:tr>
        <w:tc>
          <w:tcPr>
            <w:tcW w:type="dxa" w:w="34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تفكيك الفصام الأخلاقي، المحاسبة اليومية، تحديد غاية وجودية استخلافية</w:t>
            </w:r>
          </w:p>
        </w:tc>
        <w:tc>
          <w:tcPr>
            <w:tcW w:type="dxa" w:w="30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العلاج المعرفي للتوقعات السلبية + التدخل الاجتماعي</w:t>
            </w:r>
          </w:p>
        </w:tc>
        <w:tc>
          <w:tcPr>
            <w:tcW w:type="dxa" w:w="2600"/>
            <w:tcBorders>
              <w:top w:val="single" w:color="2E5DA6" w:sz="4"/>
              <w:left w:val="single" w:color="2E5DA6" w:sz="4"/>
              <w:bottom w:val="single" w:color="2E5DA6" w:sz="4"/>
              <w:right w:val="single" w:color="2E5DA6" w:sz="4"/>
            </w:tcBorders>
            <w:shd w:fill="EAF0FB"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القلق الوجودي</w:t>
            </w:r>
          </w:p>
        </w:tc>
      </w:tr>
      <w:tr>
        <w:tc>
          <w:tcPr>
            <w:tcW w:type="dxa" w:w="34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الكينتسوغي النفسي: تحويل الجرح إلى حكمة ورسالة</w:t>
            </w:r>
          </w:p>
        </w:tc>
        <w:tc>
          <w:tcPr>
            <w:tcW w:type="dxa" w:w="30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لا مكافئ في النموذج العصبي وحده</w:t>
            </w:r>
          </w:p>
        </w:tc>
        <w:tc>
          <w:tcPr>
            <w:tcW w:type="dxa" w:w="2600"/>
            <w:tcBorders>
              <w:top w:val="single" w:color="2E5DA6" w:sz="4"/>
              <w:left w:val="single" w:color="2E5DA6" w:sz="4"/>
              <w:bottom w:val="single" w:color="2E5DA6" w:sz="4"/>
              <w:right w:val="single" w:color="2E5DA6" w:sz="4"/>
            </w:tcBorders>
            <w:shd w:fill="F8FBFF" w:val="clear"/>
            <w:tcMar>
              <w:top w:type="dxa" w:w="80"/>
              <w:left w:type="dxa" w:w="140"/>
              <w:bottom w:type="dxa" w:w="80"/>
              <w:right w:type="dxa" w:w="140"/>
            </w:tcMar>
            <w:vAlign w:val="center"/>
          </w:tcPr>
          <w:p>
            <w:pPr>
              <w:bidi/>
              <w:spacing w:after="60" w:before="60"/>
              <w:jc w:val="right"/>
            </w:pPr>
            <w:r>
              <w:rPr>
                <w:rFonts w:ascii="Traditional Arabic" w:cs="Traditional Arabic" w:eastAsia="Traditional Arabic" w:hAnsi="Traditional Arabic"/>
                <w:b w:val="false"/>
                <w:bCs w:val="false"/>
                <w:i w:val="false"/>
                <w:iCs w:val="false"/>
                <w:color w:val="1A1A1A"/>
                <w:sz w:val="23"/>
                <w:szCs w:val="23"/>
              </w:rPr>
              <w:t xml:space="preserve">مرحلة النمو ما بعد الأزمة</w:t>
            </w:r>
          </w:p>
        </w:tc>
      </w:tr>
    </w:tbl>
    <w:p>
      <w:pPr>
        <w:spacing w:after="60" w:before="6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8.4 التطبيق الإكلينيكي: حالة الفصام الأخلاقي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نموذج التطبيق الإكلينيكي لحالة 'الفصام الأخلاقي' — الشائع في المجتمعات التي تعيش توتر الهوية الحضارية: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التشخيص (مستوى فريث): اختلال في شبكة قراءة العقول، توترات بين التوقعات الثقافية المتعارضة.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التشخيص (مستوى الزراع): تمزق بين مرجعية الوحي ومرجعية الحداثة، ضعف في النفس اللوامة، استغلال شيطاني للثغرة.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التدخل المزدوج: في آنٍ واحد — تحسين المرونة المعرفية (عصبي) وإعادة توحيد المرجعية حول الوحي (استخلافي).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النتيجة المطلوبة: هوية متكاملة تجعل الدماغ والقلب في انسجام — النفس المطمئنة التي تعمل بوعي عصبي وبصيرة روحية معاً.</w:t>
      </w:r>
    </w:p>
    <w:p>
      <w:pPr>
        <w:spacing w:after="60" w:before="60"/>
      </w:pPr>
      <w:r>
        <w:t xml:space="preserve"> </w:t>
      </w:r>
    </w:p>
    <w:p>
      <w:r>
        <w:br w:type="page"/>
      </w:r>
    </w:p>
    <w:p>
      <w:pPr>
        <w:pBdr>
          <w:top w:val="single" w:color="B8860B" w:sz="8"/>
          <w:bottom w:val="single" w:color="B8860B" w:sz="8"/>
        </w:pBdr>
        <w:shd w:fill="F0F4FB" w:val="clear"/>
        <w:bidi/>
        <w:spacing w:after="120" w:before="200"/>
        <w:ind w:left="200" w:right="200"/>
        <w:jc w:val="center"/>
      </w:pPr>
      <w:r>
        <w:rPr>
          <w:rFonts w:ascii="Traditional Arabic" w:cs="Traditional Arabic" w:eastAsia="Traditional Arabic" w:hAnsi="Traditional Arabic"/>
          <w:b/>
          <w:bCs/>
          <w:i w:val="false"/>
          <w:iCs w:val="false"/>
          <w:color w:val="1B3A6B"/>
          <w:sz w:val="36"/>
          <w:szCs w:val="36"/>
        </w:rPr>
        <w:t xml:space="preserve">خاتمة: من الآلية إلى الغائية — رؤية تكاملية ختامية</w:t>
      </w:r>
    </w:p>
    <w:p>
      <w:pPr>
        <w:spacing w:after="60" w:before="60"/>
      </w:pPr>
      <w:r>
        <w:t xml:space="preserve"> </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نظرية كريس فريث تُقدّم فهماً عميقاً وموثّقاً للآليات العصبية التي تُمكّن الإنسان من:</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الشعور بالفاعلية والمسؤولية في سياق اجتماعي.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قراءة نوايا الآخرين والتفاعل معهم بعمق ودقة.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مشاركة تجاربه الداخلية لتعزيز التماسك الجماعي واتخاذ القرارات المشتركة.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تفسير اضطرابات كالفصام والوسواس من خلال خلل في موازنة التوقعات.</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إسهام فريث أساسي لفهم 'كيف' يعمل الوعي في الدماغ البشري الاجتماعي.</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غير أن هذه النظرية تعاني من قصور بنيوي حين تُقدَّم كإطار كامل للإنسان:</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اختزال الإرادة في وهم وظيفي مفيد يُهدم أساس المسؤولية الأخلاقية الحقيقية.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غياب سؤال المعنى والغاية: لأجل ماذا يوجد الوعي الإنساني؟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تجاهل البعد الغيبي الذي يُفسّر ظواهر لا تُردّها الآليات العصبية.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الاختزال الثقافي في أنماط الغرب العلماني والعجز عن تفسير ظواهر الإيمان.</w:t>
      </w:r>
    </w:p>
    <w:p>
      <w:pPr>
        <w:spacing w:after="40" w:before="40"/>
      </w:pPr>
      <w:r>
        <w:t xml:space="preserve"> </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في المقابل، يُقدّم علم النفس الاستخلافي تكاملاً بدلاً من رفض:</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يُقرّ بالآليات العصبية ويُوظّفها في خدمة الفهم التكاملي.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يُضيف البعد الأخلاقي الذي يُفرّق بين الخير والشر في البنية العميقة للفطرة.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يُثبت الإرادة الحرة كحقيقة وجودية تُؤسّس للتكليف والمحاسبة.</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يُقدّم آليات التحول الجذري: التوبة، الجسر السلوكي، الكينتسوغي النفسي.</w:t>
      </w:r>
    </w:p>
    <w:p>
      <w:pPr>
        <w:pStyle w:val="ListParagraph"/>
        <w:numPr>
          <w:ilvl w:val="0"/>
          <w:numId w:val="3"/>
        </w:numPr>
        <w:bidi/>
        <w:spacing w:after="40" w:before="40"/>
        <w:jc w:val="right"/>
      </w:pPr>
      <w:r>
        <w:rPr>
          <w:rFonts w:ascii="Traditional Arabic" w:cs="Traditional Arabic" w:eastAsia="Traditional Arabic" w:hAnsi="Traditional Arabic"/>
          <w:b w:val="false"/>
          <w:bCs w:val="false"/>
          <w:i w:val="false"/>
          <w:iCs w:val="false"/>
          <w:color w:val="1A1A1A"/>
          <w:sz w:val="25"/>
          <w:szCs w:val="25"/>
        </w:rPr>
        <w:t xml:space="preserve">يُضيف الغاية الوجودية: الاستخلاف والفلاح في الدنيا والآخرة.</w:t>
      </w:r>
    </w:p>
    <w:p>
      <w:pPr>
        <w:spacing w:after="60" w:before="60"/>
      </w:pPr>
      <w:r>
        <w:t xml:space="preserve"> </w:t>
      </w:r>
    </w:p>
    <w:p>
      <w:pPr>
        <w:pBdr>
          <w:top w:val="single" w:color="1E6B3C" w:sz="4"/>
          <w:left w:val="single" w:color="1E6B3C" w:sz="4"/>
          <w:bottom w:val="single" w:color="1E6B3C" w:sz="4"/>
          <w:right w:val="single" w:color="1E6B3C" w:sz="4"/>
        </w:pBdr>
        <w:shd w:fill="FDF6E3" w:val="clear"/>
        <w:bidi/>
        <w:spacing w:after="140" w:before="140"/>
        <w:ind w:left="280" w:right="280"/>
        <w:jc w:val="center"/>
      </w:pPr>
      <w:r>
        <w:rPr>
          <w:rFonts w:ascii="Traditional Arabic" w:cs="Traditional Arabic" w:eastAsia="Traditional Arabic" w:hAnsi="Traditional Arabic"/>
          <w:b w:val="false"/>
          <w:bCs w:val="false"/>
          <w:i w:val="false"/>
          <w:iCs w:val="false"/>
          <w:color w:val="1E6B3C"/>
          <w:sz w:val="28"/>
          <w:szCs w:val="28"/>
        </w:rPr>
        <w:t xml:space="preserve">﴿ </w:t>
      </w:r>
      <w:r>
        <w:rPr>
          <w:rFonts w:ascii="Traditional Arabic" w:cs="Traditional Arabic" w:eastAsia="Traditional Arabic" w:hAnsi="Traditional Arabic"/>
          <w:b/>
          <w:bCs/>
          <w:i w:val="false"/>
          <w:iCs w:val="false"/>
          <w:color w:val="1E6B3C"/>
          <w:sz w:val="28"/>
          <w:szCs w:val="28"/>
        </w:rPr>
        <w:t xml:space="preserve">هُوَ أَعْلَمُ بِكُمْ إِذْ أَنشَأَكُم مِّنَ الْأَرْضِ وَإِذْ أَنتُمْ أَجِنَّةٌ فِي بُطُونِ أُمَّهَاتِكُمْ فَلَا تُزَكُّوا أَنفُسَكُمْ هُوَ أَعْلَمُ بِمَنِ اتَّقَىٰ</w:t>
      </w:r>
      <w:r>
        <w:rPr>
          <w:rFonts w:ascii="Traditional Arabic" w:cs="Traditional Arabic" w:eastAsia="Traditional Arabic" w:hAnsi="Traditional Arabic"/>
          <w:b w:val="false"/>
          <w:bCs w:val="false"/>
          <w:i w:val="false"/>
          <w:iCs w:val="false"/>
          <w:color w:val="1E6B3C"/>
          <w:sz w:val="28"/>
          <w:szCs w:val="28"/>
        </w:rPr>
        <w:t xml:space="preserve"> ﴾</w:t>
      </w:r>
      <w:r>
        <w:rPr>
          <w:rFonts w:ascii="Traditional Arabic" w:cs="Traditional Arabic" w:eastAsia="Traditional Arabic" w:hAnsi="Traditional Arabic"/>
          <w:b w:val="false"/>
          <w:bCs w:val="false"/>
          <w:i/>
          <w:iCs/>
          <w:color w:val="B8860B"/>
          <w:sz w:val="22"/>
          <w:szCs w:val="22"/>
        </w:rPr>
        <w:t xml:space="preserve">  [النجم: 32]</w:t>
      </w:r>
    </w:p>
    <w:p>
      <w:pPr>
        <w:spacing w:after="60" w:before="60"/>
      </w:pPr>
      <w:r>
        <w:t xml:space="preserve"> </w:t>
      </w:r>
    </w:p>
    <w:p>
      <w:pPr>
        <w:bidi/>
        <w:spacing w:after="60" w:before="80"/>
        <w:jc w:val="center"/>
      </w:pPr>
      <w:r>
        <w:rPr>
          <w:rFonts w:ascii="Traditional Arabic" w:cs="Traditional Arabic" w:eastAsia="Traditional Arabic" w:hAnsi="Traditional Arabic"/>
          <w:b/>
          <w:bCs/>
          <w:i w:val="false"/>
          <w:iCs w:val="false"/>
          <w:color w:val="1B3A6B"/>
          <w:sz w:val="26"/>
          <w:szCs w:val="26"/>
        </w:rPr>
        <w:t xml:space="preserve">وما توفيقي إلا بالله، عليه توكلت وإليه أنيب.</w:t>
      </w:r>
    </w:p>
    <w:p>
      <w:pPr>
        <w:pBdr>
          <w:bottom w:val="single" w:color="B8860B" w:sz="4" w:space="1"/>
        </w:pBdr>
        <w:spacing w:after="60" w:before="60"/>
      </w:pPr>
      <w:r>
        <w:t xml:space="preserve"> </w:t>
      </w:r>
    </w:p>
    <w:p>
      <w:pPr>
        <w:spacing w:after="40" w:before="40"/>
      </w:pPr>
      <w:r>
        <w:t xml:space="preserve"> </w:t>
      </w:r>
    </w:p>
    <w:p>
      <w:pPr>
        <w:pStyle w:val="Heading1"/>
        <w:pBdr>
          <w:bottom w:val="single" w:color="B8860B" w:sz="8" w:space="4"/>
        </w:pBdr>
        <w:shd w:fill="F0F4FB" w:val="clear"/>
        <w:bidi/>
        <w:spacing w:after="180" w:before="300"/>
        <w:jc w:val="right"/>
      </w:pPr>
      <w:r>
        <w:rPr>
          <w:rFonts w:ascii="Traditional Arabic" w:cs="Traditional Arabic" w:eastAsia="Traditional Arabic" w:hAnsi="Traditional Arabic"/>
          <w:b/>
          <w:bCs/>
          <w:color w:val="1B3A6B"/>
          <w:sz w:val="36"/>
          <w:szCs w:val="36"/>
        </w:rPr>
        <w:t xml:space="preserve">المراجع والمصادر</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أولاً: المصادر الاستخلافية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الزراع، عبد السلام. (2023). علم النفس الاستخلافي: نموذج الأضلاع الثمانية (الأطروحة الاستخلافية). الصفحات: 1، 165، 167، 941، 1061-1062، 1083، 1098، 1160، 1162، 1165، 1186، 1208-1210، 1219، 1239-1244، 1250-1253، 1292، 1301، 1310، 1365، 1367، 1406.</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ابن القيم الجوزية. مدارج السالكين بين منازل إياك نعبد وإياك نستعين. تحقيق: محمد المعتصم بالله البغدادي. دار الكتاب العربي، بيروت.</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المحاسبي، الحارث. الرعاية لحقوق الله. تحقيق: عبد القادر أحمد عطا. دار الكتب العلمية، بيروت.</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الغزالي، أبو حامد. إحياء علوم الدين. دار المعرفة، بيروت.</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ثانياً: مراجع كريس فريث</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Frith, C. D. (2007). Making up the Mind: How the Brain Creates Our Mental World. Blackwell Publishing, Oxford.</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Frith, C. D., &amp; Frith, U. (1999). Interacting minds: a biological basis. Science, 286(5445), 1692-1695.</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Frith, C. D. (2012). The role of metacognition in human social interactions. Philosophical Transactions of the Royal Society B, 367(1594), 2213-2223.</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Frith, C. D., &amp; Frith, U. (2006). The neural basis of mentalizing. Neuron, 50(4), 531-534.</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Frith, U., &amp; Frith, C. D. (2003). Development and neurophysiology of mentalizing. Philosophical Transactions of the Royal Society B, 358(1431), 459-473.</w:t>
      </w:r>
    </w:p>
    <w:p>
      <w:pPr>
        <w:spacing w:after="40" w:before="40"/>
      </w:pPr>
      <w:r>
        <w:t xml:space="preserve"> </w:t>
      </w:r>
    </w:p>
    <w:p>
      <w:pPr>
        <w:pStyle w:val="Heading3"/>
        <w:bidi/>
        <w:spacing w:after="100" w:before="180"/>
        <w:jc w:val="right"/>
      </w:pPr>
      <w:r>
        <w:rPr>
          <w:rFonts w:ascii="Traditional Arabic" w:cs="Traditional Arabic" w:eastAsia="Traditional Arabic" w:hAnsi="Traditional Arabic"/>
          <w:b/>
          <w:bCs/>
          <w:color w:val="1A7A8A"/>
          <w:sz w:val="27"/>
          <w:szCs w:val="27"/>
        </w:rPr>
        <w:t xml:space="preserve">ثالثاً: مراجع مساعدة</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Friston, K. (2010). The free-energy principle: a unified brain theory? Nature Reviews Neuroscience, 11(2), 127-138.</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Libet, B., Gleason, C. A., Wright, E. W., &amp; Pearl, D. K. (1983). Time of conscious intention to act in relation to onset of cerebral activity. Brain, 106(3), 623-642.</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Chalmers, D. J. (1995). Facing up to the problem of consciousness. Journal of Consciousness Studies, 2(3), 200-219.</w:t>
      </w:r>
    </w:p>
    <w:p>
      <w:pPr>
        <w:bidi/>
        <w:spacing w:after="60" w:before="60"/>
        <w:jc w:val="right"/>
      </w:pPr>
      <w:r>
        <w:rPr>
          <w:rFonts w:ascii="Traditional Arabic" w:cs="Traditional Arabic" w:eastAsia="Traditional Arabic" w:hAnsi="Traditional Arabic"/>
          <w:b w:val="false"/>
          <w:bCs w:val="false"/>
          <w:i w:val="false"/>
          <w:iCs w:val="false"/>
          <w:color w:val="1A1A1A"/>
          <w:sz w:val="26"/>
          <w:szCs w:val="26"/>
        </w:rPr>
        <w:t xml:space="preserve">Clark, A. (2016). Surfing Uncertainty: Prediction, Action, and the Embodied Mind. Oxford University Press.</w:t>
      </w:r>
    </w:p>
    <w:p>
      <w:pPr>
        <w:spacing w:after="60" w:before="60"/>
      </w:pPr>
      <w:r>
        <w:t xml:space="preserve"> </w:t>
      </w:r>
    </w:p>
    <w:sectPr>
      <w:headerReference w:type="default" r:id="rId7"/>
      <w:footerReference w:type="default" r:id="rId8"/>
      <w:pgSz w:w="11906" w:h="16838" w:orient="portrait"/>
      <w:pgMar w:top="1440" w:right="180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60B" w:sz="4" w:space="2"/>
      </w:pBdr>
      <w:tabs>
        <w:tab w:val="left" w:pos="200"/>
      </w:tabs>
      <w:bidi/>
      <w:jc w:val="right"/>
    </w:pPr>
    <w:r>
      <w:rPr>
        <w:rFonts w:ascii="Traditional Arabic" w:cs="Traditional Arabic" w:eastAsia="Traditional Arabic" w:hAnsi="Traditional Arabic"/>
        <w:b w:val="false"/>
        <w:bCs w:val="false"/>
        <w:i w:val="false"/>
        <w:iCs w:val="false"/>
        <w:color w:val="888888"/>
        <w:sz w:val="18"/>
        <w:szCs w:val="18"/>
      </w:rPr>
      <w:t xml:space="preserve">الزراع — علم النفس الاستخلافي</w:t>
    </w:r>
    <w:r>
      <w:t xml:space="preserv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0B" w:sz="4" w:space="2"/>
      </w:pBdr>
      <w:tabs>
        <w:tab w:val="left" w:pos="200"/>
      </w:tabs>
      <w:bidi/>
      <w:jc w:val="right"/>
    </w:pPr>
    <w:r>
      <w:rPr>
        <w:rFonts w:ascii="Traditional Arabic" w:cs="Traditional Arabic" w:eastAsia="Traditional Arabic" w:hAnsi="Traditional Arabic"/>
        <w:b w:val="false"/>
        <w:bCs w:val="false"/>
        <w:i w:val="false"/>
        <w:iCs w:val="false"/>
        <w:color w:val="1B3A6B"/>
        <w:sz w:val="20"/>
        <w:szCs w:val="20"/>
      </w:rPr>
      <w:t xml:space="preserve">مقارنة فريث والاستخلافي</w:t>
    </w:r>
    <w:r>
      <w:t xml:space="preserve">	</w:t>
    </w:r>
    <w:r>
      <w:rPr>
        <w:rFonts w:ascii="Traditional Arabic" w:cs="Traditional Arabic" w:eastAsia="Traditional Arabic" w:hAnsi="Traditional Arabic"/>
        <w:b w:val="false"/>
        <w:bCs w:val="false"/>
        <w:i w:val="false"/>
        <w:iCs w:val="false"/>
        <w:color w:val="B8860B"/>
        <w:sz w:val="20"/>
        <w:szCs w:val="20"/>
      </w:rPr>
      <w:t xml:space="preserve">علم النفس الاستخلافي — نموذج TLRT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bidi/>
        <w:ind w:right="720" w:hanging="360"/>
      </w:pPr>
    </w:lvl>
  </w:abstractNum>
  <w:abstractNum w:abstractNumId="3" w15:restartNumberingAfterBreak="0">
    <w:multiLevelType w:val="hybridMultilevel"/>
    <w:lvl w:ilvl="0" w15:tentative="1">
      <w:start w:val="1"/>
      <w:numFmt w:val="decimal"/>
      <w:lvlText w:val="%1."/>
      <w:lvlJc w:val="right"/>
      <w:pPr>
        <w:bidi/>
        <w:ind w:righ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bidi/>
      <w:spacing w:after="180" w:before="300"/>
      <w:outlineLvl w:val="0"/>
    </w:pPr>
    <w:rPr>
      <w:rFonts w:ascii="Traditional Arabic" w:cs="Traditional Arabic" w:eastAsia="Traditional Arabic" w:hAnsi="Traditional Arabic"/>
      <w:b/>
      <w:bCs/>
      <w:color w:val="1B3A6B"/>
      <w:sz w:val="36"/>
      <w:szCs w:val="36"/>
    </w:rPr>
  </w:style>
  <w:style w:type="paragraph" w:styleId="Heading2">
    <w:name w:val="Heading 2"/>
    <w:basedOn w:val="Normal"/>
    <w:next w:val="Normal"/>
    <w:qFormat/>
    <w:pPr>
      <w:bidi/>
      <w:spacing w:after="140" w:before="240"/>
      <w:outlineLvl w:val="1"/>
    </w:pPr>
    <w:rPr>
      <w:rFonts w:ascii="Traditional Arabic" w:cs="Traditional Arabic" w:eastAsia="Traditional Arabic" w:hAnsi="Traditional Arabic"/>
      <w:b/>
      <w:bCs/>
      <w:color w:val="2E5DA6"/>
      <w:sz w:val="30"/>
      <w:szCs w:val="30"/>
    </w:rPr>
  </w:style>
  <w:style w:type="paragraph" w:styleId="Heading3">
    <w:name w:val="Heading 3"/>
    <w:basedOn w:val="Normal"/>
    <w:next w:val="Normal"/>
    <w:qFormat/>
    <w:pPr>
      <w:bidi/>
      <w:spacing w:after="100" w:before="180"/>
      <w:outlineLvl w:val="2"/>
    </w:pPr>
    <w:rPr>
      <w:rFonts w:ascii="Traditional Arabic" w:cs="Traditional Arabic" w:eastAsia="Traditional Arabic" w:hAnsi="Traditional Arabic"/>
      <w:b/>
      <w:bCs/>
      <w:color w:val="1A7A8A"/>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2026-04-03T22:10:53.893Z</dcterms:created>
  <dcterms:modified xsi:type="dcterms:W3CDTF">2026-04-03T22:10:53.894Z</dcterms:modified>
</cp:coreProperties>
</file>

<file path=docProps/custom.xml><?xml version="1.0" encoding="utf-8"?>
<Properties xmlns="http://schemas.openxmlformats.org/officeDocument/2006/custom-properties" xmlns:vt="http://schemas.openxmlformats.org/officeDocument/2006/docPropsVTypes"/>
</file>