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B7DA4" w14:textId="77777777" w:rsidR="009472FF" w:rsidRDefault="009472FF">
      <w:pPr>
        <w:spacing w:before="60" w:after="60"/>
      </w:pPr>
    </w:p>
    <w:p w14:paraId="01BFCD81" w14:textId="77777777" w:rsidR="009472FF" w:rsidRDefault="009472FF">
      <w:pPr>
        <w:spacing w:before="60" w:after="60"/>
      </w:pPr>
    </w:p>
    <w:p w14:paraId="363B87EF" w14:textId="77777777" w:rsidR="009472FF" w:rsidRDefault="009472FF">
      <w:pPr>
        <w:spacing w:before="60" w:after="60"/>
      </w:pPr>
    </w:p>
    <w:p w14:paraId="24DAACE7" w14:textId="77777777" w:rsidR="009472FF" w:rsidRDefault="009472FF">
      <w:pPr>
        <w:spacing w:before="60" w:after="60"/>
      </w:pPr>
    </w:p>
    <w:p w14:paraId="7427D290" w14:textId="6A864355" w:rsidR="009472FF" w:rsidRDefault="00000000">
      <w:pPr>
        <w:jc w:val="center"/>
      </w:pPr>
      <w:r>
        <w:rPr>
          <w:color w:val="0E7C7B"/>
          <w:sz w:val="26"/>
          <w:szCs w:val="26"/>
        </w:rPr>
        <w:t xml:space="preserve">بحث أكاديمي </w:t>
      </w:r>
    </w:p>
    <w:p w14:paraId="36C5C471" w14:textId="77777777" w:rsidR="009472FF" w:rsidRDefault="009472FF">
      <w:pPr>
        <w:spacing w:before="60" w:after="60"/>
      </w:pPr>
    </w:p>
    <w:p w14:paraId="5C0DECB4" w14:textId="77777777" w:rsidR="009472FF" w:rsidRDefault="00000000">
      <w:pPr>
        <w:pBdr>
          <w:top w:val="single" w:sz="14" w:space="6" w:color="B8860B"/>
          <w:bottom w:val="single" w:sz="14" w:space="6" w:color="B8860B"/>
        </w:pBdr>
        <w:spacing w:before="120" w:after="60"/>
        <w:jc w:val="center"/>
      </w:pPr>
      <w:r>
        <w:rPr>
          <w:b/>
          <w:bCs/>
          <w:color w:val="1B3A6B"/>
          <w:sz w:val="52"/>
          <w:szCs w:val="52"/>
        </w:rPr>
        <w:t>مأساة اللاهوتي</w:t>
      </w:r>
    </w:p>
    <w:p w14:paraId="1D3EA470" w14:textId="77777777" w:rsidR="009472FF" w:rsidRDefault="009472FF">
      <w:pPr>
        <w:spacing w:before="60" w:after="60"/>
      </w:pPr>
    </w:p>
    <w:p w14:paraId="07371783" w14:textId="77777777" w:rsidR="009472FF" w:rsidRDefault="00000000">
      <w:pPr>
        <w:spacing w:before="120" w:after="60"/>
        <w:jc w:val="center"/>
      </w:pPr>
      <w:r>
        <w:rPr>
          <w:b/>
          <w:bCs/>
          <w:color w:val="1B3A6B"/>
          <w:sz w:val="36"/>
          <w:szCs w:val="36"/>
        </w:rPr>
        <w:t>بين باسكال بوير وعلم النفس الاستخلافي</w:t>
      </w:r>
    </w:p>
    <w:p w14:paraId="678DA041" w14:textId="77777777" w:rsidR="009472FF" w:rsidRDefault="009472FF">
      <w:pPr>
        <w:spacing w:before="60" w:after="60"/>
      </w:pPr>
    </w:p>
    <w:p w14:paraId="3F49C923" w14:textId="77777777" w:rsidR="009472FF" w:rsidRDefault="00000000">
      <w:pPr>
        <w:jc w:val="center"/>
      </w:pPr>
      <w:r>
        <w:rPr>
          <w:i/>
          <w:iCs/>
          <w:color w:val="0E7C7B"/>
          <w:sz w:val="26"/>
          <w:szCs w:val="26"/>
        </w:rPr>
        <w:t>قراءة في الصراع بين الدين الرسمي والتدين الشعبي</w:t>
      </w:r>
    </w:p>
    <w:p w14:paraId="0CB6104C" w14:textId="77777777" w:rsidR="009472FF" w:rsidRDefault="00000000">
      <w:pPr>
        <w:jc w:val="center"/>
      </w:pPr>
      <w:r>
        <w:rPr>
          <w:i/>
          <w:iCs/>
          <w:color w:val="0E7C7B"/>
          <w:sz w:val="26"/>
          <w:szCs w:val="26"/>
        </w:rPr>
        <w:t>من منظور الأنثروبولوجيا المعرفية والتزكية النفسية</w:t>
      </w:r>
    </w:p>
    <w:p w14:paraId="3F9BD926" w14:textId="77777777" w:rsidR="009472FF" w:rsidRDefault="009472FF">
      <w:pPr>
        <w:spacing w:before="60" w:after="60"/>
      </w:pPr>
    </w:p>
    <w:p w14:paraId="58E660B8" w14:textId="77777777" w:rsidR="009472FF" w:rsidRDefault="009472FF">
      <w:pPr>
        <w:spacing w:before="60" w:after="60"/>
      </w:pPr>
    </w:p>
    <w:p w14:paraId="19194B7D" w14:textId="77777777" w:rsidR="009472FF" w:rsidRDefault="009472FF">
      <w:pPr>
        <w:spacing w:before="60" w:after="60"/>
      </w:pPr>
    </w:p>
    <w:p w14:paraId="7A71A950"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38CB6CF5" w14:textId="77777777">
        <w:tblPrEx>
          <w:tblCellMar>
            <w:top w:w="0" w:type="dxa"/>
            <w:bottom w:w="0" w:type="dxa"/>
          </w:tblCellMar>
        </w:tblPrEx>
        <w:tc>
          <w:tcPr>
            <w:tcW w:w="9026" w:type="dxa"/>
            <w:tcBorders>
              <w:top w:val="single" w:sz="6" w:space="0" w:color="0E7C7B"/>
              <w:left w:val="single" w:sz="6" w:space="0" w:color="0E7C7B"/>
              <w:bottom w:val="single" w:sz="6" w:space="0" w:color="0E7C7B"/>
              <w:right w:val="single" w:sz="6" w:space="0" w:color="0E7C7B"/>
            </w:tcBorders>
            <w:shd w:val="clear" w:color="auto" w:fill="D0EEEE"/>
            <w:tcMar>
              <w:top w:w="140" w:type="dxa"/>
              <w:left w:w="260" w:type="dxa"/>
              <w:bottom w:w="140" w:type="dxa"/>
              <w:right w:w="260" w:type="dxa"/>
            </w:tcMar>
          </w:tcPr>
          <w:p w14:paraId="75795706" w14:textId="77777777" w:rsidR="009472FF" w:rsidRDefault="00000000">
            <w:pPr>
              <w:spacing w:before="60" w:after="80"/>
              <w:jc w:val="right"/>
            </w:pPr>
            <w:r>
              <w:rPr>
                <w:b/>
                <w:bCs/>
                <w:color w:val="0E7C7B"/>
              </w:rPr>
              <w:t>الكلمات المفتاحية</w:t>
            </w:r>
          </w:p>
          <w:p w14:paraId="4B0C6FD9" w14:textId="77777777" w:rsidR="009472FF" w:rsidRDefault="00000000">
            <w:pPr>
              <w:spacing w:before="60" w:after="60" w:line="340" w:lineRule="auto"/>
              <w:jc w:val="right"/>
            </w:pPr>
            <w:r>
              <w:rPr>
                <w:color w:val="2C2C2C"/>
                <w:sz w:val="22"/>
                <w:szCs w:val="22"/>
              </w:rPr>
              <w:t>مأساة اللاهوتي — الدين الرسمي — التدين الشعبي — الأنثروبولوجيا المعرفية التطورية</w:t>
            </w:r>
          </w:p>
          <w:p w14:paraId="372BBC9D" w14:textId="77777777" w:rsidR="009472FF" w:rsidRDefault="00000000">
            <w:pPr>
              <w:spacing w:before="60" w:after="60" w:line="340" w:lineRule="auto"/>
              <w:jc w:val="right"/>
            </w:pPr>
            <w:r>
              <w:rPr>
                <w:color w:val="2C2C2C"/>
                <w:sz w:val="22"/>
                <w:szCs w:val="22"/>
              </w:rPr>
              <w:t>علم النفس الاستخلافي — النفس الأمارة — النفس اللوامة — النفس المطمئنة — التزكية</w:t>
            </w:r>
          </w:p>
          <w:p w14:paraId="23EF9247" w14:textId="77777777" w:rsidR="009472FF" w:rsidRDefault="00000000">
            <w:pPr>
              <w:spacing w:before="60" w:after="60" w:line="340" w:lineRule="auto"/>
              <w:jc w:val="right"/>
            </w:pPr>
            <w:r>
              <w:rPr>
                <w:color w:val="2C2C2C"/>
                <w:sz w:val="22"/>
                <w:szCs w:val="22"/>
              </w:rPr>
              <w:t>الفقه والتصوف — الفطرة — الاستخلاف — باسكال بوير — عبد السلام الزراع</w:t>
            </w:r>
          </w:p>
        </w:tc>
      </w:tr>
    </w:tbl>
    <w:p w14:paraId="6F1FD190" w14:textId="77777777" w:rsidR="009472FF" w:rsidRDefault="009472FF">
      <w:pPr>
        <w:spacing w:before="60" w:after="60"/>
      </w:pPr>
    </w:p>
    <w:p w14:paraId="32B763FF" w14:textId="77777777" w:rsidR="009472FF" w:rsidRDefault="009472FF">
      <w:pPr>
        <w:spacing w:before="60" w:after="60"/>
      </w:pPr>
    </w:p>
    <w:p w14:paraId="4083E9A8" w14:textId="77777777" w:rsidR="009472FF" w:rsidRDefault="009472FF">
      <w:pPr>
        <w:spacing w:before="60" w:after="60"/>
      </w:pPr>
    </w:p>
    <w:p w14:paraId="1FA79877" w14:textId="77777777" w:rsidR="009472FF" w:rsidRDefault="009472FF">
      <w:pPr>
        <w:spacing w:before="60" w:after="60"/>
      </w:pPr>
    </w:p>
    <w:p w14:paraId="7B90DD2D" w14:textId="77777777" w:rsidR="009472FF" w:rsidRDefault="00000000">
      <w:pPr>
        <w:jc w:val="center"/>
      </w:pPr>
      <w:r>
        <w:rPr>
          <w:color w:val="777777"/>
        </w:rPr>
        <w:t>2026م  —  1447هـ</w:t>
      </w:r>
    </w:p>
    <w:p w14:paraId="7F820047" w14:textId="77777777" w:rsidR="009472FF" w:rsidRDefault="00000000">
      <w:r>
        <w:br w:type="page"/>
      </w:r>
    </w:p>
    <w:p w14:paraId="3951AA71" w14:textId="77777777" w:rsidR="009472FF" w:rsidRDefault="009472FF">
      <w:pPr>
        <w:sectPr w:rsidR="009472FF">
          <w:pgSz w:w="11906" w:h="16838"/>
          <w:pgMar w:top="1440" w:right="1440" w:bottom="1440" w:left="1440" w:header="708" w:footer="708" w:gutter="0"/>
          <w:cols w:space="720"/>
          <w:docGrid w:linePitch="360"/>
        </w:sectPr>
      </w:pPr>
    </w:p>
    <w:p w14:paraId="0D047444" w14:textId="77777777" w:rsidR="009472FF" w:rsidRDefault="00000000">
      <w:pPr>
        <w:pStyle w:val="1"/>
        <w:pBdr>
          <w:bottom w:val="single" w:sz="10" w:space="4" w:color="1B3A6B"/>
        </w:pBdr>
        <w:bidi/>
        <w:jc w:val="right"/>
      </w:pPr>
      <w:r>
        <w:t>الملخص</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4251A692" w14:textId="77777777">
        <w:tblPrEx>
          <w:tblCellMar>
            <w:top w:w="0" w:type="dxa"/>
            <w:bottom w:w="0" w:type="dxa"/>
          </w:tblCellMar>
        </w:tblPrEx>
        <w:tc>
          <w:tcPr>
            <w:tcW w:w="9026" w:type="dxa"/>
            <w:tcBorders>
              <w:top w:val="single" w:sz="6" w:space="0" w:color="0E7C7B"/>
              <w:left w:val="single" w:sz="6" w:space="0" w:color="0E7C7B"/>
              <w:bottom w:val="single" w:sz="6" w:space="0" w:color="0E7C7B"/>
              <w:right w:val="single" w:sz="6" w:space="0" w:color="0E7C7B"/>
            </w:tcBorders>
            <w:shd w:val="clear" w:color="auto" w:fill="D0EEEE"/>
            <w:tcMar>
              <w:top w:w="140" w:type="dxa"/>
              <w:left w:w="260" w:type="dxa"/>
              <w:bottom w:w="140" w:type="dxa"/>
              <w:right w:w="260" w:type="dxa"/>
            </w:tcMar>
          </w:tcPr>
          <w:p w14:paraId="7EED058E" w14:textId="77777777" w:rsidR="009472FF" w:rsidRDefault="00000000">
            <w:pPr>
              <w:spacing w:before="60" w:after="80"/>
              <w:jc w:val="right"/>
            </w:pPr>
            <w:r>
              <w:rPr>
                <w:b/>
                <w:bCs/>
                <w:color w:val="0E7C7B"/>
              </w:rPr>
              <w:t>ملخص البحث</w:t>
            </w:r>
          </w:p>
          <w:p w14:paraId="65FB02E8" w14:textId="77777777" w:rsidR="009472FF" w:rsidRDefault="00000000">
            <w:pPr>
              <w:spacing w:before="60" w:after="60" w:line="340" w:lineRule="auto"/>
              <w:jc w:val="right"/>
            </w:pPr>
            <w:r>
              <w:rPr>
                <w:color w:val="2C2C2C"/>
                <w:sz w:val="22"/>
                <w:szCs w:val="22"/>
              </w:rPr>
              <w:t>يتناول هذا البحث مفهوم «مأساة اللاهوتي» (La tragédie du théologien) الذي صاغه الأنثروبولوجي المعرفي الفرنسي-الأمريكي باسكال بوير في كتابه «الدين مُفسَّراً» (Religion Explained, 2001)، ويُعيد قراءته وتعميقه من منظور علم النفس الاستخلافي لعبد السلام الزراع.</w:t>
            </w:r>
          </w:p>
          <w:p w14:paraId="69AB74E4" w14:textId="77777777" w:rsidR="009472FF" w:rsidRDefault="009472FF">
            <w:pPr>
              <w:spacing w:before="60" w:after="60" w:line="340" w:lineRule="auto"/>
              <w:jc w:val="right"/>
            </w:pPr>
          </w:p>
          <w:p w14:paraId="71B03D45" w14:textId="77777777" w:rsidR="009472FF" w:rsidRDefault="00000000">
            <w:pPr>
              <w:spacing w:before="60" w:after="60" w:line="340" w:lineRule="auto"/>
              <w:jc w:val="right"/>
            </w:pPr>
            <w:r>
              <w:rPr>
                <w:color w:val="2C2C2C"/>
                <w:sz w:val="22"/>
                <w:szCs w:val="22"/>
              </w:rPr>
              <w:t>يكشف بوير أن الفجوة بين الدين الرسمي والتدين الشعبي ليست نتاجَ صراعٍ على السلطة فحسب، بل هي قبل ذلك نتاجُ آليات معرفية بشرية راسخة تعجز عن معالجة التجريد الديني الكامل. في المقابل، يُقدّم علم النفس الاستخلافي تفسيراً أعمق: هذا الصراع هو تجسيد للتوتر البنيوي بين النفس اللوامة (الساعية إلى العمق العقدي) والنفس الأمارة (المنجذبة إلى الصور الحسية والكرامات).</w:t>
            </w:r>
          </w:p>
          <w:p w14:paraId="112B763B" w14:textId="77777777" w:rsidR="009472FF" w:rsidRDefault="009472FF">
            <w:pPr>
              <w:spacing w:before="60" w:after="60" w:line="340" w:lineRule="auto"/>
              <w:jc w:val="right"/>
            </w:pPr>
          </w:p>
          <w:p w14:paraId="4B637A24" w14:textId="77777777" w:rsidR="009472FF" w:rsidRDefault="00000000">
            <w:pPr>
              <w:spacing w:before="60" w:after="60" w:line="340" w:lineRule="auto"/>
              <w:jc w:val="right"/>
            </w:pPr>
            <w:r>
              <w:rPr>
                <w:color w:val="2C2C2C"/>
                <w:sz w:val="22"/>
                <w:szCs w:val="22"/>
              </w:rPr>
              <w:t>يخلص البحث إلى أن «مأساة اللاهوتي» ليست قدراً محتوماً، بل هي اختبار نفسي وجودي قابل للتجاوز بالتزكية: حين يرتقي الفقيه إلى الرحمة ويلتزم الصوفي بالورع، تتحقق النفس المطمئنة التي تجمع العمق الفقهي والذوق الروحي في توحيد لا تناقض.</w:t>
            </w:r>
          </w:p>
        </w:tc>
      </w:tr>
    </w:tbl>
    <w:p w14:paraId="517013AB" w14:textId="77777777" w:rsidR="009472FF" w:rsidRDefault="009472FF">
      <w:pPr>
        <w:spacing w:before="60" w:after="60"/>
      </w:pPr>
    </w:p>
    <w:p w14:paraId="53AF5EC9" w14:textId="77777777" w:rsidR="009472FF" w:rsidRDefault="00000000">
      <w:r>
        <w:br w:type="page"/>
      </w:r>
    </w:p>
    <w:p w14:paraId="09D432CB" w14:textId="77777777" w:rsidR="009472FF" w:rsidRDefault="00000000">
      <w:pPr>
        <w:pStyle w:val="1"/>
        <w:pBdr>
          <w:bottom w:val="single" w:sz="10" w:space="4" w:color="1B3A6B"/>
        </w:pBdr>
        <w:bidi/>
        <w:jc w:val="right"/>
      </w:pPr>
      <w:r>
        <w:t>مقدمة: إشكالية التوتر بين الدين الرسمي والتدين الشعبي</w:t>
      </w:r>
    </w:p>
    <w:p w14:paraId="2CAD4D32" w14:textId="77777777" w:rsidR="009472FF" w:rsidRDefault="00000000">
      <w:pPr>
        <w:spacing w:before="100" w:after="100" w:line="360" w:lineRule="auto"/>
        <w:jc w:val="right"/>
      </w:pPr>
      <w:r>
        <w:rPr>
          <w:color w:val="2C2C2C"/>
        </w:rPr>
        <w:t>يُعدّ التوتر بين الدين الرسمي — الذي تمثله المؤسسات الدينية والعقائد المجردة والنصوص القانونية — والتدين الشعبي — المليء بالكرامات والأولياء والتصورات الحسية للقداسة — ظاهرةً عالمية رصدها المؤرخون وعلماء الاجتماع والأنثروبولوجيا عبر الحضارات والأزمنة.</w:t>
      </w:r>
    </w:p>
    <w:p w14:paraId="0F773A87"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346CB0E4" w14:textId="77777777">
        <w:tblPrEx>
          <w:tblCellMar>
            <w:top w:w="0" w:type="dxa"/>
            <w:bottom w:w="0" w:type="dxa"/>
          </w:tblCellMar>
        </w:tblPrEx>
        <w:tc>
          <w:tcPr>
            <w:tcW w:w="9026" w:type="dxa"/>
            <w:tcBorders>
              <w:top w:val="single" w:sz="6" w:space="0" w:color="1B3A6B"/>
              <w:left w:val="single" w:sz="6" w:space="0" w:color="1B3A6B"/>
              <w:bottom w:val="single" w:sz="6" w:space="0" w:color="1B3A6B"/>
              <w:right w:val="single" w:sz="6" w:space="0" w:color="1B3A6B"/>
            </w:tcBorders>
            <w:shd w:val="clear" w:color="auto" w:fill="D6E4F0"/>
            <w:tcMar>
              <w:top w:w="140" w:type="dxa"/>
              <w:left w:w="260" w:type="dxa"/>
              <w:bottom w:w="140" w:type="dxa"/>
              <w:right w:w="260" w:type="dxa"/>
            </w:tcMar>
          </w:tcPr>
          <w:p w14:paraId="6C0D0BD5" w14:textId="77777777" w:rsidR="009472FF" w:rsidRDefault="00000000">
            <w:pPr>
              <w:spacing w:before="60" w:after="80"/>
              <w:jc w:val="right"/>
            </w:pPr>
            <w:r>
              <w:rPr>
                <w:b/>
                <w:bCs/>
                <w:color w:val="1B3A6B"/>
              </w:rPr>
              <w:t>ثلاثة شواهد تاريخية على ديمومة هذا التوتر</w:t>
            </w:r>
          </w:p>
          <w:p w14:paraId="4B8BCC76" w14:textId="77777777" w:rsidR="009472FF" w:rsidRDefault="00000000">
            <w:pPr>
              <w:spacing w:before="60" w:after="60" w:line="340" w:lineRule="auto"/>
              <w:jc w:val="right"/>
            </w:pPr>
            <w:r>
              <w:rPr>
                <w:color w:val="2C2C2C"/>
                <w:sz w:val="22"/>
                <w:szCs w:val="22"/>
              </w:rPr>
              <w:t>في المسيحية: برزت ظاهرة تبجيل القديسين رغم التحفظ المتكرر من الكنيسة الرسمية، حتى غدت الأضرحة والمزارات مراكز للتدين الشعبي التي تتجاوز أحياناً الكنيسة ذاتها.</w:t>
            </w:r>
          </w:p>
          <w:p w14:paraId="4D2F9BDD" w14:textId="77777777" w:rsidR="009472FF" w:rsidRDefault="00000000">
            <w:pPr>
              <w:spacing w:before="60" w:after="60" w:line="340" w:lineRule="auto"/>
              <w:jc w:val="right"/>
            </w:pPr>
            <w:r>
              <w:rPr>
                <w:color w:val="2C2C2C"/>
                <w:sz w:val="22"/>
                <w:szCs w:val="22"/>
              </w:rPr>
              <w:t>في الإسلام: احتدّ الصراع بين الفقهاء (نخبة النص والقانون) والصوفية (نخبة القلب والإحسان) — وهو ما سيكون محور تحليلنا الرئيسي في هذا البحث.</w:t>
            </w:r>
          </w:p>
          <w:p w14:paraId="367B54B0" w14:textId="77777777" w:rsidR="009472FF" w:rsidRDefault="00000000">
            <w:pPr>
              <w:spacing w:before="60" w:after="60" w:line="340" w:lineRule="auto"/>
              <w:jc w:val="right"/>
            </w:pPr>
            <w:r>
              <w:rPr>
                <w:color w:val="2C2C2C"/>
                <w:sz w:val="22"/>
                <w:szCs w:val="22"/>
              </w:rPr>
              <w:t>في اليهودية: تتجلى الفجوة بين الحاخامية المؤسسية التشريعية والتدين الشعبي عند القبور والأضرحة، كمزار راحيل الأمة وقبر الرمبم.</w:t>
            </w:r>
          </w:p>
        </w:tc>
      </w:tr>
    </w:tbl>
    <w:p w14:paraId="48CAE335" w14:textId="77777777" w:rsidR="009472FF" w:rsidRDefault="009472FF">
      <w:pPr>
        <w:spacing w:before="60" w:after="60"/>
      </w:pPr>
    </w:p>
    <w:p w14:paraId="2A7B53ED" w14:textId="77777777" w:rsidR="009472FF" w:rsidRDefault="00000000">
      <w:pPr>
        <w:spacing w:before="100" w:after="100" w:line="360" w:lineRule="auto"/>
        <w:jc w:val="right"/>
      </w:pPr>
      <w:r>
        <w:rPr>
          <w:color w:val="2C2C2C"/>
        </w:rPr>
        <w:t>قدّم الأنثروبولوجيا المعرفي باسكال بوير (Pascal Boyer) مفهوماً أصيلاً لتفسير هذه الظاهرة أسماه «مأساة اللاهوتي» (La tragédie du théologien). يرى بوير أن هذه المأساة تنبع من طبيعة عمل العقل البشري ذاته، وليس من مجرد صراع على السلطة أو انتهازية سياسية. فالدين الرسمي، في سعيه للاتساق العقائدي والتجريد الفلسفي، يبتعد تدريجياً عن الأنظمة المعرفية الفطرية التي يستخدمها الناس تلقائياً لفهم العالم.</w:t>
      </w:r>
    </w:p>
    <w:p w14:paraId="584F859C" w14:textId="77777777" w:rsidR="009472FF" w:rsidRDefault="009472FF">
      <w:pPr>
        <w:spacing w:before="60" w:after="60"/>
      </w:pPr>
    </w:p>
    <w:p w14:paraId="7DC59BB1" w14:textId="77777777" w:rsidR="009472FF" w:rsidRDefault="00000000">
      <w:pPr>
        <w:spacing w:before="100" w:after="100" w:line="360" w:lineRule="auto"/>
        <w:jc w:val="right"/>
      </w:pPr>
      <w:r>
        <w:rPr>
          <w:color w:val="2C2C2C"/>
        </w:rPr>
        <w:t>في هذا البحث، سنقوم بتحليل مفهوم «مأساة اللاهوتي» عند بوير تحليلاً أكاديمياً معمّقاً، مع ترجمة اقتباساته الفرنسية إلى العربية، ثم نقدّم قراءةً نقديةً وتأسيسيةً لهذا المفهوم من منظور علم النفس الاستخلافي. وسنُثبت أن هذه المأساة ليست قدراً محتوماً، بل هي تجسيد لصراع بين النفس اللوامة الساعية إلى العمق والالتزام، والنفس الأمارة المائلة إلى الاختصارات الحسية والصور المباشرة. والحل — خلافاً لما يوحي به بوير — يكمن في تزكية النفس لترتقي إلى مقام النفس المطمئنة.</w:t>
      </w:r>
    </w:p>
    <w:p w14:paraId="20F2D654" w14:textId="77777777" w:rsidR="009472FF" w:rsidRDefault="009472FF">
      <w:pPr>
        <w:spacing w:before="60" w:after="60"/>
      </w:pPr>
    </w:p>
    <w:p w14:paraId="1F15261D" w14:textId="77777777" w:rsidR="009472FF" w:rsidRDefault="00000000">
      <w:r>
        <w:br w:type="page"/>
      </w:r>
    </w:p>
    <w:p w14:paraId="0963F8F6" w14:textId="77777777" w:rsidR="009472FF" w:rsidRDefault="00000000">
      <w:pPr>
        <w:pStyle w:val="1"/>
        <w:pBdr>
          <w:bottom w:val="single" w:sz="10" w:space="4" w:color="1B3A6B"/>
        </w:pBdr>
        <w:bidi/>
        <w:jc w:val="right"/>
      </w:pPr>
      <w:r>
        <w:t>الباب الأول: باسكال بوير ومفهوم «مأساة اللاهوتي» — الأسس المعرفية</w:t>
      </w:r>
    </w:p>
    <w:p w14:paraId="5B52A159" w14:textId="77777777" w:rsidR="009472FF" w:rsidRDefault="00000000">
      <w:pPr>
        <w:pStyle w:val="2"/>
        <w:bidi/>
        <w:jc w:val="right"/>
      </w:pPr>
      <w:r>
        <w:t>1.1  بوير ونظرية الدين التطورية المعرفية</w:t>
      </w:r>
    </w:p>
    <w:p w14:paraId="0C04C514" w14:textId="77777777" w:rsidR="009472FF" w:rsidRDefault="00000000">
      <w:pPr>
        <w:spacing w:before="100" w:after="100" w:line="360" w:lineRule="auto"/>
        <w:jc w:val="right"/>
      </w:pPr>
      <w:r>
        <w:rPr>
          <w:color w:val="2C2C2C"/>
        </w:rPr>
        <w:t>يرى باسكال بوير أن الدين ليس نتاجاً ثقافياً صرفاً، ولا هو اختراعٌ للكهنة لخداع العامة، بل هو نتاجٌ ثانوي (by-product) لآليات معرفية عامة تطورت أساساً لحل مشاكل البقاء والتكيف في البيئة الأولى للإنسان.</w:t>
      </w:r>
    </w:p>
    <w:p w14:paraId="2E093967"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724E505A" w14:textId="77777777">
        <w:tblPrEx>
          <w:tblCellMar>
            <w:top w:w="0" w:type="dxa"/>
            <w:bottom w:w="0" w:type="dxa"/>
          </w:tblCellMar>
        </w:tblPrEx>
        <w:tc>
          <w:tcPr>
            <w:tcW w:w="9026" w:type="dxa"/>
            <w:tcBorders>
              <w:top w:val="single" w:sz="6" w:space="0" w:color="0E7C7B"/>
              <w:left w:val="single" w:sz="6" w:space="0" w:color="0E7C7B"/>
              <w:bottom w:val="single" w:sz="6" w:space="0" w:color="0E7C7B"/>
              <w:right w:val="single" w:sz="6" w:space="0" w:color="0E7C7B"/>
            </w:tcBorders>
            <w:shd w:val="clear" w:color="auto" w:fill="D0EEEE"/>
            <w:tcMar>
              <w:top w:w="140" w:type="dxa"/>
              <w:left w:w="260" w:type="dxa"/>
              <w:bottom w:w="140" w:type="dxa"/>
              <w:right w:w="260" w:type="dxa"/>
            </w:tcMar>
          </w:tcPr>
          <w:p w14:paraId="32EBF38B" w14:textId="77777777" w:rsidR="009472FF" w:rsidRDefault="00000000">
            <w:pPr>
              <w:spacing w:before="60" w:after="80"/>
              <w:jc w:val="right"/>
            </w:pPr>
            <w:r>
              <w:rPr>
                <w:b/>
                <w:bCs/>
                <w:color w:val="0E7C7B"/>
              </w:rPr>
              <w:t>الأنظمة المعرفية الأربعة التي تستند إليها المفاهيم الدينية</w:t>
            </w:r>
          </w:p>
          <w:p w14:paraId="20EAEE25" w14:textId="77777777" w:rsidR="009472FF" w:rsidRDefault="00000000">
            <w:pPr>
              <w:spacing w:before="60" w:after="60" w:line="340" w:lineRule="auto"/>
              <w:jc w:val="right"/>
            </w:pPr>
            <w:r>
              <w:rPr>
                <w:color w:val="2C2C2C"/>
                <w:sz w:val="22"/>
                <w:szCs w:val="22"/>
              </w:rPr>
              <w:t>علم النفس الحدسي (Intuitive Psychology): قدرتنا الفطرية على فهم الآخرين كوكلاء ذوي أهداف ومعتقدات ورغبات.</w:t>
            </w:r>
          </w:p>
          <w:p w14:paraId="6FBEC254" w14:textId="77777777" w:rsidR="009472FF" w:rsidRDefault="00000000">
            <w:pPr>
              <w:spacing w:before="60" w:after="60" w:line="340" w:lineRule="auto"/>
              <w:jc w:val="right"/>
            </w:pPr>
            <w:r>
              <w:rPr>
                <w:color w:val="2C2C2C"/>
                <w:sz w:val="22"/>
                <w:szCs w:val="22"/>
              </w:rPr>
              <w:t>البيولوجيا الحدسية (Intuitive Biology): قدرتنا على تصنيف الكائنات الحية وفهم أنماط نموها وتكاثرها.</w:t>
            </w:r>
          </w:p>
          <w:p w14:paraId="0431F5E6" w14:textId="77777777" w:rsidR="009472FF" w:rsidRDefault="00000000">
            <w:pPr>
              <w:spacing w:before="60" w:after="60" w:line="340" w:lineRule="auto"/>
              <w:jc w:val="right"/>
            </w:pPr>
            <w:r>
              <w:rPr>
                <w:color w:val="2C2C2C"/>
                <w:sz w:val="22"/>
                <w:szCs w:val="22"/>
              </w:rPr>
              <w:t>الفيزياء الحدسية (Intuitive Physics): قدرتنا على توقع حركة الأجسام وسقوطها والتنبؤ بسلوكها المادي.</w:t>
            </w:r>
          </w:p>
          <w:p w14:paraId="0BB322E5" w14:textId="77777777" w:rsidR="009472FF" w:rsidRDefault="00000000">
            <w:pPr>
              <w:spacing w:before="60" w:after="60" w:line="340" w:lineRule="auto"/>
              <w:jc w:val="right"/>
            </w:pPr>
            <w:r>
              <w:rPr>
                <w:color w:val="2C2C2C"/>
                <w:sz w:val="22"/>
                <w:szCs w:val="22"/>
              </w:rPr>
              <w:t>نظام كشف الهدف والوكالة (Agency Detection Device): ميلنا الفطري لافتراض وجود فاعل واعٍ خلف الأحداث الغامضة.</w:t>
            </w:r>
          </w:p>
        </w:tc>
      </w:tr>
    </w:tbl>
    <w:p w14:paraId="416D907F" w14:textId="77777777" w:rsidR="009472FF" w:rsidRDefault="009472FF">
      <w:pPr>
        <w:spacing w:before="60" w:after="60"/>
      </w:pPr>
    </w:p>
    <w:p w14:paraId="234D1F19" w14:textId="77777777" w:rsidR="009472FF" w:rsidRDefault="00000000">
      <w:pPr>
        <w:spacing w:before="100" w:after="100" w:line="360" w:lineRule="auto"/>
        <w:jc w:val="right"/>
      </w:pPr>
      <w:r>
        <w:rPr>
          <w:color w:val="2C2C2C"/>
        </w:rPr>
        <w:t>المفاهيم الدينية الناجحة، حسب بوير، هي تلك التي تنتهك توقعاتنا الحدسية بشكل محدود ومحسوب: مفهوم «الشبح» مثلاً ينتهك الفيزياء الحدسية بكونه غير مادي، لكنه يحتفظ بعلم النفس الحدسي لكونه «شخصاً» له أهداف ومعتقدات. هذا التوازن المزدوج — الغرابة الجاذبة للانتباه مع القابلية للاستنتاج — هو سرّ انتشار المفاهيم الدينية وثباتها عبر الأجيال.</w:t>
      </w:r>
    </w:p>
    <w:p w14:paraId="60AEB615" w14:textId="77777777" w:rsidR="009472FF" w:rsidRDefault="009472FF">
      <w:pPr>
        <w:spacing w:before="60" w:after="60"/>
      </w:pPr>
    </w:p>
    <w:p w14:paraId="298C1FB8" w14:textId="77777777" w:rsidR="009472FF" w:rsidRDefault="00000000">
      <w:pPr>
        <w:pStyle w:val="2"/>
        <w:bidi/>
        <w:jc w:val="right"/>
      </w:pPr>
      <w:r>
        <w:t>1.2  «مأساة اللاهوتي» — التعريف والجذور المعرفية</w:t>
      </w:r>
    </w:p>
    <w:p w14:paraId="7FA99262" w14:textId="77777777" w:rsidR="009472FF" w:rsidRDefault="00000000">
      <w:pPr>
        <w:spacing w:before="100" w:after="100" w:line="360" w:lineRule="auto"/>
        <w:jc w:val="right"/>
      </w:pPr>
      <w:r>
        <w:rPr>
          <w:color w:val="2C2C2C"/>
        </w:rPr>
        <w:t>في كتابه «الدين مُفسَّراً» (Religion Explained, 2001) الذي صدر بالفرنسية تحت عنوان «وخلق الإنسان الآلهة» (Et l'homme créa les dieux)، يطرح بوير مفهوم «مأساة اللاهوتي» في الفصل الثامن والتاسع.</w:t>
      </w:r>
    </w:p>
    <w:p w14:paraId="2761B0D0"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3207BDCF" w14:textId="77777777">
        <w:tblPrEx>
          <w:tblCellMar>
            <w:top w:w="0" w:type="dxa"/>
            <w:bottom w:w="0" w:type="dxa"/>
          </w:tblCellMar>
        </w:tblPrEx>
        <w:tc>
          <w:tcPr>
            <w:tcW w:w="9026" w:type="dxa"/>
            <w:tcBorders>
              <w:top w:val="single" w:sz="6" w:space="0" w:color="7B1F2E"/>
              <w:left w:val="single" w:sz="6" w:space="0" w:color="7B1F2E"/>
              <w:bottom w:val="single" w:sz="6" w:space="0" w:color="7B1F2E"/>
              <w:right w:val="single" w:sz="6" w:space="0" w:color="7B1F2E"/>
            </w:tcBorders>
            <w:shd w:val="clear" w:color="auto" w:fill="F9E8EC"/>
            <w:tcMar>
              <w:top w:w="180" w:type="dxa"/>
              <w:left w:w="300" w:type="dxa"/>
              <w:bottom w:w="180" w:type="dxa"/>
              <w:right w:w="300" w:type="dxa"/>
            </w:tcMar>
          </w:tcPr>
          <w:p w14:paraId="69C8F519" w14:textId="77777777" w:rsidR="009472FF" w:rsidRDefault="00000000">
            <w:pPr>
              <w:bidi w:val="0"/>
              <w:spacing w:before="60" w:after="60"/>
            </w:pPr>
            <w:r>
              <w:rPr>
                <w:b/>
                <w:bCs/>
                <w:color w:val="7B1F2E"/>
                <w:sz w:val="20"/>
                <w:szCs w:val="20"/>
              </w:rPr>
              <w:t>النص الأصلي بالفرنسية:</w:t>
            </w:r>
          </w:p>
          <w:p w14:paraId="5D6FC29B" w14:textId="77777777" w:rsidR="009472FF" w:rsidRDefault="00000000">
            <w:pPr>
              <w:bidi w:val="0"/>
              <w:spacing w:before="60" w:after="120" w:line="320" w:lineRule="auto"/>
            </w:pPr>
            <w:r>
              <w:rPr>
                <w:i/>
                <w:iCs/>
                <w:color w:val="3D0010"/>
                <w:sz w:val="21"/>
                <w:szCs w:val="21"/>
              </w:rPr>
              <w:t>Les théologiens élaborent des doctrines complexes, cohérentes et abstraites. Mais l'esprit humain ordinaire n'est pas bien équipé pour traiter, mémoriser et transmettre ce type d'informations. En conséquence, les croyants ont tendance à « rabattre » spontanément ces doctrines sur des représentations plus intuitives, plus concrètes et plus proches de leurs systèmes d'inférence de base. C'est là la tragédie du théologien : plus il essaie de préciser et de purifier sa doctrine, plus il crée un fossé avec la religiosité populaire.</w:t>
            </w:r>
          </w:p>
          <w:p w14:paraId="23899E2F" w14:textId="77777777" w:rsidR="009472FF" w:rsidRDefault="00000000">
            <w:pPr>
              <w:spacing w:before="100" w:after="60"/>
              <w:jc w:val="right"/>
            </w:pPr>
            <w:r>
              <w:rPr>
                <w:b/>
                <w:bCs/>
                <w:color w:val="1B3A6B"/>
                <w:sz w:val="20"/>
                <w:szCs w:val="20"/>
              </w:rPr>
              <w:t>الترجمة العربية:</w:t>
            </w:r>
          </w:p>
          <w:p w14:paraId="71863DCC" w14:textId="77777777" w:rsidR="009472FF" w:rsidRDefault="00000000">
            <w:pPr>
              <w:spacing w:before="60" w:after="100" w:line="340" w:lineRule="auto"/>
              <w:jc w:val="right"/>
            </w:pPr>
            <w:r>
              <w:rPr>
                <w:color w:val="1B3A6B"/>
                <w:sz w:val="23"/>
                <w:szCs w:val="23"/>
              </w:rPr>
              <w:t>يُطوّر اللاهوتيون عقائد مركبة ومتسقة ومجردة. غير أن العقل البشري العادي ليس مُهيَّأً جيداً لمعالجة هذا النوع من المعلومات وحفظها وتناقلها. ونتيجةً لذلك، يميل المؤمنون تلقائياً إلى «إرجاع» هذه العقائد إلى تمثيلات أكثر حدسيةً وملموسيةً وأقرب إلى أنظمة استنتاجهم الأساسية. وهنا تكمن مأساة اللاهوتي: كلما ازداد تدقيقه في عقيدته وتنقيتها، اتسعت الهوّة بينه وبين التدين الشعبي.</w:t>
            </w:r>
          </w:p>
          <w:p w14:paraId="45FDBB50" w14:textId="77777777" w:rsidR="009472FF" w:rsidRDefault="00000000">
            <w:pPr>
              <w:bidi w:val="0"/>
              <w:spacing w:before="60" w:after="40"/>
            </w:pPr>
            <w:r>
              <w:rPr>
                <w:i/>
                <w:iCs/>
                <w:color w:val="777777"/>
                <w:sz w:val="19"/>
                <w:szCs w:val="19"/>
              </w:rPr>
              <w:t>Boyer, P. (2001). Religion Explained. New York: Basic Books, p. 294.</w:t>
            </w:r>
          </w:p>
        </w:tc>
      </w:tr>
    </w:tbl>
    <w:p w14:paraId="6E098E8E" w14:textId="77777777" w:rsidR="009472FF" w:rsidRDefault="009472FF">
      <w:pPr>
        <w:spacing w:before="60" w:after="60"/>
      </w:pPr>
    </w:p>
    <w:p w14:paraId="7FAECE0D" w14:textId="77777777" w:rsidR="009472FF" w:rsidRDefault="00000000">
      <w:pPr>
        <w:pStyle w:val="3"/>
        <w:bidi/>
        <w:jc w:val="right"/>
      </w:pPr>
      <w:r>
        <w:t>1.2.1  المراحل الأربع لمأساة اللاهوتي</w:t>
      </w:r>
    </w:p>
    <w:p w14:paraId="7023BB49" w14:textId="77777777" w:rsidR="009472FF" w:rsidRDefault="00000000">
      <w:pPr>
        <w:spacing w:before="100" w:after="100" w:line="360" w:lineRule="auto"/>
        <w:jc w:val="right"/>
      </w:pPr>
      <w:r>
        <w:rPr>
          <w:color w:val="2C2C2C"/>
        </w:rPr>
        <w:t>يُفصّل بوير هذه المأساة في أربع مراحل متتالية يُشكّل كل منها نتيجةَ سابقتها ومقدمةَ تاليتها:</w:t>
      </w:r>
    </w:p>
    <w:p w14:paraId="25D4D562" w14:textId="77777777" w:rsidR="009472FF" w:rsidRDefault="009472FF">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600"/>
        <w:gridCol w:w="2600"/>
        <w:gridCol w:w="2326"/>
      </w:tblGrid>
      <w:tr w:rsidR="009472FF" w14:paraId="3FF9B58E" w14:textId="77777777">
        <w:tblPrEx>
          <w:tblCellMar>
            <w:top w:w="0" w:type="dxa"/>
            <w:bottom w:w="0" w:type="dxa"/>
          </w:tblCellMar>
        </w:tblPrEx>
        <w:tc>
          <w:tcPr>
            <w:tcW w:w="1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10ADFCC" w14:textId="77777777" w:rsidR="009472FF" w:rsidRDefault="00000000">
            <w:pPr>
              <w:jc w:val="center"/>
            </w:pPr>
            <w:r>
              <w:rPr>
                <w:b/>
                <w:bCs/>
                <w:color w:val="FFFFFF"/>
                <w:sz w:val="21"/>
                <w:szCs w:val="21"/>
              </w:rPr>
              <w:t>المرحلة</w:t>
            </w:r>
          </w:p>
        </w:tc>
        <w:tc>
          <w:tcPr>
            <w:tcW w:w="2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9389516" w14:textId="77777777" w:rsidR="009472FF" w:rsidRDefault="00000000">
            <w:pPr>
              <w:jc w:val="center"/>
            </w:pPr>
            <w:r>
              <w:rPr>
                <w:b/>
                <w:bCs/>
                <w:color w:val="FFFFFF"/>
                <w:sz w:val="21"/>
                <w:szCs w:val="21"/>
              </w:rPr>
              <w:t>الوصف المعرفي</w:t>
            </w:r>
          </w:p>
        </w:tc>
        <w:tc>
          <w:tcPr>
            <w:tcW w:w="2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ABC5020" w14:textId="77777777" w:rsidR="009472FF" w:rsidRDefault="00000000">
            <w:pPr>
              <w:jc w:val="center"/>
            </w:pPr>
            <w:r>
              <w:rPr>
                <w:b/>
                <w:bCs/>
                <w:color w:val="FFFFFF"/>
                <w:sz w:val="21"/>
                <w:szCs w:val="21"/>
              </w:rPr>
              <w:t>المقابل في النفس</w:t>
            </w:r>
          </w:p>
        </w:tc>
        <w:tc>
          <w:tcPr>
            <w:tcW w:w="2326"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55A9B04" w14:textId="77777777" w:rsidR="009472FF" w:rsidRDefault="00000000">
            <w:pPr>
              <w:jc w:val="center"/>
            </w:pPr>
            <w:r>
              <w:rPr>
                <w:b/>
                <w:bCs/>
                <w:color w:val="FFFFFF"/>
                <w:sz w:val="21"/>
                <w:szCs w:val="21"/>
              </w:rPr>
              <w:t>النتيجة الاجتماعية</w:t>
            </w:r>
          </w:p>
        </w:tc>
      </w:tr>
      <w:tr w:rsidR="009472FF" w14:paraId="08557A59" w14:textId="77777777">
        <w:tblPrEx>
          <w:tblCellMar>
            <w:top w:w="0" w:type="dxa"/>
            <w:bottom w:w="0" w:type="dxa"/>
          </w:tblCellMar>
        </w:tblPrEx>
        <w:tc>
          <w:tcPr>
            <w:tcW w:w="15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69B6DEE7" w14:textId="77777777" w:rsidR="009472FF" w:rsidRDefault="00000000">
            <w:pPr>
              <w:spacing w:line="320" w:lineRule="auto"/>
              <w:jc w:val="right"/>
            </w:pPr>
            <w:r>
              <w:rPr>
                <w:color w:val="2C2C2C"/>
                <w:sz w:val="21"/>
                <w:szCs w:val="21"/>
              </w:rPr>
              <w:t>التجريد</w:t>
            </w:r>
          </w:p>
        </w:tc>
        <w:tc>
          <w:tcPr>
            <w:tcW w:w="26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2792275A" w14:textId="77777777" w:rsidR="009472FF" w:rsidRDefault="00000000">
            <w:pPr>
              <w:spacing w:line="320" w:lineRule="auto"/>
              <w:jc w:val="right"/>
            </w:pPr>
            <w:r>
              <w:rPr>
                <w:color w:val="2C2C2C"/>
                <w:sz w:val="21"/>
                <w:szCs w:val="21"/>
              </w:rPr>
              <w:t>اللاهوتي يُنقّي العقيدة من الصور الحسية والتناقضات</w:t>
            </w:r>
          </w:p>
        </w:tc>
        <w:tc>
          <w:tcPr>
            <w:tcW w:w="26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2CFC5C99" w14:textId="77777777" w:rsidR="009472FF" w:rsidRDefault="00000000">
            <w:pPr>
              <w:spacing w:line="320" w:lineRule="auto"/>
              <w:jc w:val="right"/>
            </w:pPr>
            <w:r>
              <w:rPr>
                <w:color w:val="2C2C2C"/>
                <w:sz w:val="21"/>
                <w:szCs w:val="21"/>
              </w:rPr>
              <w:t>النفس اللوامة في أعلى يقظتها — تبحث عن الحق الخالص</w:t>
            </w:r>
          </w:p>
        </w:tc>
        <w:tc>
          <w:tcPr>
            <w:tcW w:w="2326"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68791632" w14:textId="77777777" w:rsidR="009472FF" w:rsidRDefault="00000000">
            <w:pPr>
              <w:spacing w:line="320" w:lineRule="auto"/>
              <w:jc w:val="right"/>
            </w:pPr>
            <w:r>
              <w:rPr>
                <w:color w:val="2C2C2C"/>
                <w:sz w:val="21"/>
                <w:szCs w:val="21"/>
              </w:rPr>
              <w:t>تضعف الجاذبية العاطفية للمعتقد — يشعر العامة بالبُعد</w:t>
            </w:r>
          </w:p>
        </w:tc>
      </w:tr>
      <w:tr w:rsidR="009472FF" w14:paraId="1EF2F16D" w14:textId="77777777">
        <w:tblPrEx>
          <w:tblCellMar>
            <w:top w:w="0" w:type="dxa"/>
            <w:bottom w:w="0" w:type="dxa"/>
          </w:tblCellMar>
        </w:tblPrEx>
        <w:tc>
          <w:tcPr>
            <w:tcW w:w="15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52435750" w14:textId="77777777" w:rsidR="009472FF" w:rsidRDefault="00000000">
            <w:pPr>
              <w:spacing w:line="320" w:lineRule="auto"/>
              <w:jc w:val="right"/>
            </w:pPr>
            <w:r>
              <w:rPr>
                <w:color w:val="2C2C2C"/>
                <w:sz w:val="21"/>
                <w:szCs w:val="21"/>
              </w:rPr>
              <w:t>التحريف التلقائي</w:t>
            </w:r>
          </w:p>
        </w:tc>
        <w:tc>
          <w:tcPr>
            <w:tcW w:w="26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7C796DA1" w14:textId="77777777" w:rsidR="009472FF" w:rsidRDefault="00000000">
            <w:pPr>
              <w:spacing w:line="320" w:lineRule="auto"/>
              <w:jc w:val="right"/>
            </w:pPr>
            <w:r>
              <w:rPr>
                <w:color w:val="2C2C2C"/>
                <w:sz w:val="21"/>
                <w:szCs w:val="21"/>
              </w:rPr>
              <w:t>المؤمن العادي يُعيد إدخال الصور الحسية دون وعي</w:t>
            </w:r>
          </w:p>
        </w:tc>
        <w:tc>
          <w:tcPr>
            <w:tcW w:w="26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596FA3F6" w14:textId="77777777" w:rsidR="009472FF" w:rsidRDefault="00000000">
            <w:pPr>
              <w:spacing w:line="320" w:lineRule="auto"/>
              <w:jc w:val="right"/>
            </w:pPr>
            <w:r>
              <w:rPr>
                <w:color w:val="2C2C2C"/>
                <w:sz w:val="21"/>
                <w:szCs w:val="21"/>
              </w:rPr>
              <w:t>النفس الأمارة تستردّ ما سُلب منها من الملموس والمحسوس</w:t>
            </w:r>
          </w:p>
        </w:tc>
        <w:tc>
          <w:tcPr>
            <w:tcW w:w="2326"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2AF1F28E" w14:textId="77777777" w:rsidR="009472FF" w:rsidRDefault="00000000">
            <w:pPr>
              <w:spacing w:line="320" w:lineRule="auto"/>
              <w:jc w:val="right"/>
            </w:pPr>
            <w:r>
              <w:rPr>
                <w:color w:val="2C2C2C"/>
                <w:sz w:val="21"/>
                <w:szCs w:val="21"/>
              </w:rPr>
              <w:t>تظهر فجوة بين العقيدة الرسمية والمعتقد الفعلي</w:t>
            </w:r>
          </w:p>
        </w:tc>
      </w:tr>
      <w:tr w:rsidR="009472FF" w14:paraId="4F3AE461" w14:textId="77777777">
        <w:tblPrEx>
          <w:tblCellMar>
            <w:top w:w="0" w:type="dxa"/>
            <w:bottom w:w="0" w:type="dxa"/>
          </w:tblCellMar>
        </w:tblPrEx>
        <w:tc>
          <w:tcPr>
            <w:tcW w:w="15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6924B325" w14:textId="77777777" w:rsidR="009472FF" w:rsidRDefault="00000000">
            <w:pPr>
              <w:spacing w:line="320" w:lineRule="auto"/>
              <w:jc w:val="right"/>
            </w:pPr>
            <w:r>
              <w:rPr>
                <w:color w:val="2C2C2C"/>
                <w:sz w:val="21"/>
                <w:szCs w:val="21"/>
              </w:rPr>
              <w:t>مقاومة المؤسسة</w:t>
            </w:r>
          </w:p>
        </w:tc>
        <w:tc>
          <w:tcPr>
            <w:tcW w:w="26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3FF97665" w14:textId="77777777" w:rsidR="009472FF" w:rsidRDefault="00000000">
            <w:pPr>
              <w:spacing w:line="320" w:lineRule="auto"/>
              <w:jc w:val="right"/>
            </w:pPr>
            <w:r>
              <w:rPr>
                <w:color w:val="2C2C2C"/>
                <w:sz w:val="21"/>
                <w:szCs w:val="21"/>
              </w:rPr>
              <w:t>رجال الدين يسعون لتصحيح البدع والانحرافات</w:t>
            </w:r>
          </w:p>
        </w:tc>
        <w:tc>
          <w:tcPr>
            <w:tcW w:w="26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603FE65E" w14:textId="77777777" w:rsidR="009472FF" w:rsidRDefault="00000000">
            <w:pPr>
              <w:spacing w:line="320" w:lineRule="auto"/>
              <w:jc w:val="right"/>
            </w:pPr>
            <w:r>
              <w:rPr>
                <w:color w:val="2C2C2C"/>
                <w:sz w:val="21"/>
                <w:szCs w:val="21"/>
              </w:rPr>
              <w:t>تصادم بين لوامة الفقيه وأمارة المؤمن العادي</w:t>
            </w:r>
          </w:p>
        </w:tc>
        <w:tc>
          <w:tcPr>
            <w:tcW w:w="2326"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0E7590A6" w14:textId="77777777" w:rsidR="009472FF" w:rsidRDefault="00000000">
            <w:pPr>
              <w:spacing w:line="320" w:lineRule="auto"/>
              <w:jc w:val="right"/>
            </w:pPr>
            <w:r>
              <w:rPr>
                <w:color w:val="2C2C2C"/>
                <w:sz w:val="21"/>
                <w:szCs w:val="21"/>
              </w:rPr>
              <w:t>تتسع الهوّة وتُصبح مصدر توتر واجتماعي-ديني</w:t>
            </w:r>
          </w:p>
        </w:tc>
      </w:tr>
      <w:tr w:rsidR="009472FF" w14:paraId="5349CC69" w14:textId="77777777">
        <w:tblPrEx>
          <w:tblCellMar>
            <w:top w:w="0" w:type="dxa"/>
            <w:bottom w:w="0" w:type="dxa"/>
          </w:tblCellMar>
        </w:tblPrEx>
        <w:tc>
          <w:tcPr>
            <w:tcW w:w="15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2158404C" w14:textId="77777777" w:rsidR="009472FF" w:rsidRDefault="00000000">
            <w:pPr>
              <w:spacing w:line="320" w:lineRule="auto"/>
              <w:jc w:val="right"/>
            </w:pPr>
            <w:r>
              <w:rPr>
                <w:color w:val="2C2C2C"/>
                <w:sz w:val="21"/>
                <w:szCs w:val="21"/>
              </w:rPr>
              <w:t>الانشقاق الكاريزمي</w:t>
            </w:r>
          </w:p>
        </w:tc>
        <w:tc>
          <w:tcPr>
            <w:tcW w:w="26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51A75C08" w14:textId="77777777" w:rsidR="009472FF" w:rsidRDefault="00000000">
            <w:pPr>
              <w:spacing w:line="320" w:lineRule="auto"/>
              <w:jc w:val="right"/>
            </w:pPr>
            <w:r>
              <w:rPr>
                <w:color w:val="2C2C2C"/>
                <w:sz w:val="21"/>
                <w:szCs w:val="21"/>
              </w:rPr>
              <w:t>الناس يبحثون عن بدائل أكثر حسيةً وإشباعاً</w:t>
            </w:r>
          </w:p>
        </w:tc>
        <w:tc>
          <w:tcPr>
            <w:tcW w:w="26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1C827022" w14:textId="77777777" w:rsidR="009472FF" w:rsidRDefault="00000000">
            <w:pPr>
              <w:spacing w:line="320" w:lineRule="auto"/>
              <w:jc w:val="right"/>
            </w:pPr>
            <w:r>
              <w:rPr>
                <w:color w:val="2C2C2C"/>
                <w:sz w:val="21"/>
                <w:szCs w:val="21"/>
              </w:rPr>
              <w:t>النفس الأمارة تجد ملجأها في الولي والشيخ والكرامة</w:t>
            </w:r>
          </w:p>
        </w:tc>
        <w:tc>
          <w:tcPr>
            <w:tcW w:w="2326"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531477EE" w14:textId="77777777" w:rsidR="009472FF" w:rsidRDefault="00000000">
            <w:pPr>
              <w:spacing w:line="320" w:lineRule="auto"/>
              <w:jc w:val="right"/>
            </w:pPr>
            <w:r>
              <w:rPr>
                <w:color w:val="2C2C2C"/>
                <w:sz w:val="21"/>
                <w:szCs w:val="21"/>
              </w:rPr>
              <w:t>ظهور دين شعبي موازٍ أو معارض للدين الرسمي</w:t>
            </w:r>
          </w:p>
        </w:tc>
      </w:tr>
    </w:tbl>
    <w:p w14:paraId="5133C803" w14:textId="77777777" w:rsidR="009472FF" w:rsidRDefault="009472FF">
      <w:pPr>
        <w:spacing w:before="60" w:after="60"/>
      </w:pPr>
    </w:p>
    <w:p w14:paraId="4A8CFC32" w14:textId="77777777" w:rsidR="009472FF" w:rsidRDefault="00000000">
      <w:pPr>
        <w:jc w:val="right"/>
      </w:pPr>
      <w:r>
        <w:rPr>
          <w:i/>
          <w:iCs/>
          <w:color w:val="777777"/>
          <w:sz w:val="20"/>
          <w:szCs w:val="20"/>
        </w:rPr>
        <w:t>المصدر: Boyer, P. (2001), pp. 295–298, مع تكييف استخلافي.</w:t>
      </w:r>
    </w:p>
    <w:p w14:paraId="1DB3F397" w14:textId="77777777" w:rsidR="009472FF" w:rsidRDefault="00000000">
      <w:pPr>
        <w:jc w:val="right"/>
      </w:pPr>
      <w:r>
        <w:rPr>
          <w:rStyle w:val="a5"/>
        </w:rPr>
        <w:footnoteReference w:id="1"/>
      </w:r>
    </w:p>
    <w:p w14:paraId="1B94B123" w14:textId="77777777" w:rsidR="009472FF" w:rsidRDefault="009472FF">
      <w:pPr>
        <w:spacing w:before="60" w:after="60"/>
      </w:pPr>
    </w:p>
    <w:p w14:paraId="325C57EB" w14:textId="77777777" w:rsidR="009472FF" w:rsidRDefault="00000000">
      <w:pPr>
        <w:pStyle w:val="2"/>
        <w:bidi/>
        <w:jc w:val="right"/>
      </w:pPr>
      <w:r>
        <w:t>1.3  مثال بوير: الصراع بين الفقهاء والصوفية في الإسلام</w:t>
      </w:r>
    </w:p>
    <w:p w14:paraId="1BA5A1CC" w14:textId="77777777" w:rsidR="009472FF" w:rsidRDefault="00000000">
      <w:pPr>
        <w:spacing w:before="100" w:after="100" w:line="360" w:lineRule="auto"/>
        <w:jc w:val="right"/>
      </w:pPr>
      <w:r>
        <w:rPr>
          <w:color w:val="2C2C2C"/>
        </w:rPr>
        <w:t>يُقدّم بوير الصراعَ بين الفقهاء والصوفية في الإسلام بوصفه مثالاً نموذجياً على مأساة اللاهوتي في عملها التاريخي. يلاحظ أن الفقهاء، في سعيهم لتطبيق الشريعة بدقة واتساق، ركزوا على الأعمال الظاهرة والقوانين المجردة؛ في حين قدّم الصوفية نموذجاً للقداسة أكثر حسيةً وجاذبيةً للجمهور: الكرامات، والأولياء، والذكر الجماعي، والشعور بالقرب المباشر من الله دون وساطة قانونية.</w:t>
      </w:r>
    </w:p>
    <w:p w14:paraId="3C3CD744"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3E2BF365" w14:textId="77777777">
        <w:tblPrEx>
          <w:tblCellMar>
            <w:top w:w="0" w:type="dxa"/>
            <w:bottom w:w="0" w:type="dxa"/>
          </w:tblCellMar>
        </w:tblPrEx>
        <w:tc>
          <w:tcPr>
            <w:tcW w:w="9026" w:type="dxa"/>
            <w:tcBorders>
              <w:top w:val="single" w:sz="6" w:space="0" w:color="7B1F2E"/>
              <w:left w:val="single" w:sz="6" w:space="0" w:color="7B1F2E"/>
              <w:bottom w:val="single" w:sz="6" w:space="0" w:color="7B1F2E"/>
              <w:right w:val="single" w:sz="6" w:space="0" w:color="7B1F2E"/>
            </w:tcBorders>
            <w:shd w:val="clear" w:color="auto" w:fill="F9E8EC"/>
            <w:tcMar>
              <w:top w:w="180" w:type="dxa"/>
              <w:left w:w="300" w:type="dxa"/>
              <w:bottom w:w="180" w:type="dxa"/>
              <w:right w:w="300" w:type="dxa"/>
            </w:tcMar>
          </w:tcPr>
          <w:p w14:paraId="051B2279" w14:textId="77777777" w:rsidR="009472FF" w:rsidRDefault="00000000">
            <w:pPr>
              <w:bidi w:val="0"/>
              <w:spacing w:before="60" w:after="60"/>
            </w:pPr>
            <w:r>
              <w:rPr>
                <w:b/>
                <w:bCs/>
                <w:color w:val="7B1F2E"/>
                <w:sz w:val="20"/>
                <w:szCs w:val="20"/>
              </w:rPr>
              <w:t>النص الأصلي بالفرنسية:</w:t>
            </w:r>
          </w:p>
          <w:p w14:paraId="7D063C78" w14:textId="77777777" w:rsidR="009472FF" w:rsidRDefault="00000000">
            <w:pPr>
              <w:bidi w:val="0"/>
              <w:spacing w:before="60" w:after="120" w:line="320" w:lineRule="auto"/>
            </w:pPr>
            <w:r>
              <w:rPr>
                <w:i/>
                <w:iCs/>
                <w:color w:val="3D0010"/>
                <w:sz w:val="21"/>
                <w:szCs w:val="21"/>
              </w:rPr>
              <w:t>Le soufisme a souvent été perçu par l'orthodoxie comme une menace, car il introduisait une médiation humaine (le saint, le cheikh) entre le croyant et Dieu, contournant l'autorité du savant (faqih) et du juge (qadi). Pourtant, c'est précisément cette médiation concrète, incarnée, qui rendait le soufisme si attractif pour les masses.</w:t>
            </w:r>
          </w:p>
          <w:p w14:paraId="734AB07E" w14:textId="77777777" w:rsidR="009472FF" w:rsidRDefault="00000000">
            <w:pPr>
              <w:spacing w:before="100" w:after="60"/>
              <w:jc w:val="right"/>
            </w:pPr>
            <w:r>
              <w:rPr>
                <w:b/>
                <w:bCs/>
                <w:color w:val="1B3A6B"/>
                <w:sz w:val="20"/>
                <w:szCs w:val="20"/>
              </w:rPr>
              <w:t>الترجمة العربية:</w:t>
            </w:r>
          </w:p>
          <w:p w14:paraId="1361B701" w14:textId="77777777" w:rsidR="009472FF" w:rsidRDefault="00000000">
            <w:pPr>
              <w:spacing w:before="60" w:after="100" w:line="340" w:lineRule="auto"/>
              <w:jc w:val="right"/>
            </w:pPr>
            <w:r>
              <w:rPr>
                <w:color w:val="1B3A6B"/>
                <w:sz w:val="23"/>
                <w:szCs w:val="23"/>
              </w:rPr>
              <w:t>كثيراً ما نظر أهل الأرثوذكسية الدينية إلى التصوف بوصفه تهديداً، إذ كان يُدخل وساطةً بشريةً — الولي، الشيخ — بين المؤمن وربه، متجاوزاً سلطة العالم (الفقيه) والقاضي (القاضي). ومع ذلك، فإن هذه الوساطة الملموسة المتجسّدة بالذات هي ما جعل التصوف بالغ الجاذبية للجماهير.</w:t>
            </w:r>
          </w:p>
          <w:p w14:paraId="26B66420" w14:textId="77777777" w:rsidR="009472FF" w:rsidRDefault="00000000">
            <w:pPr>
              <w:bidi w:val="0"/>
              <w:spacing w:before="60" w:after="40"/>
            </w:pPr>
            <w:r>
              <w:rPr>
                <w:i/>
                <w:iCs/>
                <w:color w:val="777777"/>
                <w:sz w:val="19"/>
                <w:szCs w:val="19"/>
              </w:rPr>
              <w:t>Boyer, P. (2001). Religion Explained. p. 306.</w:t>
            </w:r>
          </w:p>
        </w:tc>
      </w:tr>
    </w:tbl>
    <w:p w14:paraId="37254661" w14:textId="77777777" w:rsidR="009472FF" w:rsidRDefault="009472FF">
      <w:pPr>
        <w:spacing w:before="60" w:after="60"/>
      </w:pPr>
    </w:p>
    <w:p w14:paraId="2C09C52A" w14:textId="77777777" w:rsidR="009472FF" w:rsidRDefault="00000000">
      <w:pPr>
        <w:spacing w:before="100" w:after="100" w:line="360" w:lineRule="auto"/>
        <w:jc w:val="right"/>
      </w:pPr>
      <w:r>
        <w:rPr>
          <w:color w:val="2C2C2C"/>
        </w:rPr>
        <w:t>ويُلاحظ بوير كذلك أن السلطة السياسية لجأت أحياناً إلى الصوفية — كما في دولة المرابطين والموحدين في المغرب والأندلس — لشرعنة حكمها والسيطرة على الشعب، مما عمّق الفجوة بين المؤسستين الدينيتين وأضفى على الصراع طابعاً سياسياً إضافياً فوق طابعه المعرفي.</w:t>
      </w:r>
    </w:p>
    <w:p w14:paraId="0DDDB281" w14:textId="77777777" w:rsidR="009472FF" w:rsidRDefault="009472FF">
      <w:pPr>
        <w:spacing w:before="60" w:after="60"/>
      </w:pPr>
    </w:p>
    <w:p w14:paraId="0D15B4F7" w14:textId="77777777" w:rsidR="009472FF" w:rsidRDefault="00000000">
      <w:pPr>
        <w:pStyle w:val="2"/>
        <w:bidi/>
        <w:jc w:val="right"/>
      </w:pPr>
      <w:r>
        <w:t>1.4  نقاط القوة والحدود في نظرية بوير</w:t>
      </w:r>
    </w:p>
    <w:p w14:paraId="14CC20C1" w14:textId="77777777" w:rsidR="009472FF" w:rsidRDefault="00000000">
      <w:pPr>
        <w:spacing w:before="100" w:after="100" w:line="360" w:lineRule="auto"/>
        <w:jc w:val="right"/>
      </w:pPr>
      <w:r>
        <w:rPr>
          <w:color w:val="2C2C2C"/>
        </w:rPr>
        <w:t>تتمتع نظرية بوير بعدد من المزايا المنهجية التي تجعلها موضع اهتمام البحث العلمي المعاصر:</w:t>
      </w:r>
    </w:p>
    <w:p w14:paraId="7611485A"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7FB19C0D" w14:textId="77777777">
        <w:tblPrEx>
          <w:tblCellMar>
            <w:top w:w="0" w:type="dxa"/>
            <w:bottom w:w="0" w:type="dxa"/>
          </w:tblCellMar>
        </w:tblPrEx>
        <w:tc>
          <w:tcPr>
            <w:tcW w:w="9026" w:type="dxa"/>
            <w:tcBorders>
              <w:top w:val="single" w:sz="6" w:space="0" w:color="1B3A6B"/>
              <w:left w:val="single" w:sz="6" w:space="0" w:color="1B3A6B"/>
              <w:bottom w:val="single" w:sz="6" w:space="0" w:color="1B3A6B"/>
              <w:right w:val="single" w:sz="6" w:space="0" w:color="1B3A6B"/>
            </w:tcBorders>
            <w:shd w:val="clear" w:color="auto" w:fill="D6E4F0"/>
            <w:tcMar>
              <w:top w:w="140" w:type="dxa"/>
              <w:left w:w="260" w:type="dxa"/>
              <w:bottom w:w="140" w:type="dxa"/>
              <w:right w:w="260" w:type="dxa"/>
            </w:tcMar>
          </w:tcPr>
          <w:p w14:paraId="1011A666" w14:textId="77777777" w:rsidR="009472FF" w:rsidRDefault="00000000">
            <w:pPr>
              <w:spacing w:before="60" w:after="80"/>
              <w:jc w:val="right"/>
            </w:pPr>
            <w:r>
              <w:rPr>
                <w:b/>
                <w:bCs/>
                <w:color w:val="1B3A6B"/>
              </w:rPr>
              <w:t>مزايا نموذج بوير</w:t>
            </w:r>
          </w:p>
          <w:p w14:paraId="10295AB8" w14:textId="77777777" w:rsidR="009472FF" w:rsidRDefault="00000000">
            <w:pPr>
              <w:spacing w:before="60" w:after="60" w:line="340" w:lineRule="auto"/>
              <w:jc w:val="right"/>
            </w:pPr>
            <w:r>
              <w:rPr>
                <w:color w:val="2C2C2C"/>
                <w:sz w:val="22"/>
                <w:szCs w:val="22"/>
              </w:rPr>
              <w:t>أولاً: يُقدّم تفسيراً منهجياً لظاهرة عالمية دون الاكتفاء بالوصف التاريخي أو التفسير الأيديولوجي.</w:t>
            </w:r>
          </w:p>
          <w:p w14:paraId="1D89F925" w14:textId="77777777" w:rsidR="009472FF" w:rsidRDefault="00000000">
            <w:pPr>
              <w:spacing w:before="60" w:after="60" w:line="340" w:lineRule="auto"/>
              <w:jc w:val="right"/>
            </w:pPr>
            <w:r>
              <w:rPr>
                <w:color w:val="2C2C2C"/>
                <w:sz w:val="22"/>
                <w:szCs w:val="22"/>
              </w:rPr>
              <w:t>ثانياً: يستند إلى أدلة تجريبية من علم نفس الذاكرة وعلم الأعصاب المعرفي تؤيد فكرة تفضيل العقل للمعلومات ذات التناقض الحدسي المحدود.</w:t>
            </w:r>
          </w:p>
          <w:p w14:paraId="5127D20A" w14:textId="77777777" w:rsidR="009472FF" w:rsidRDefault="00000000">
            <w:pPr>
              <w:spacing w:before="60" w:after="60" w:line="340" w:lineRule="auto"/>
              <w:jc w:val="right"/>
            </w:pPr>
            <w:r>
              <w:rPr>
                <w:color w:val="2C2C2C"/>
                <w:sz w:val="22"/>
                <w:szCs w:val="22"/>
              </w:rPr>
              <w:t>ثالثاً: يُفسّر لماذا يعود الدين الشعبي بعد كل محاولات القمع الرسمية، مما يجعله أداةً تنبؤيةً لا مجرد وصف بأثر رجعي.</w:t>
            </w:r>
          </w:p>
        </w:tc>
      </w:tr>
    </w:tbl>
    <w:p w14:paraId="5BBC976E"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03CB50DB" w14:textId="77777777">
        <w:tblPrEx>
          <w:tblCellMar>
            <w:top w:w="0" w:type="dxa"/>
            <w:bottom w:w="0" w:type="dxa"/>
          </w:tblCellMar>
        </w:tblPrEx>
        <w:tc>
          <w:tcPr>
            <w:tcW w:w="9026" w:type="dxa"/>
            <w:tcBorders>
              <w:top w:val="single" w:sz="6" w:space="0" w:color="B8860B"/>
              <w:left w:val="single" w:sz="6" w:space="0" w:color="B8860B"/>
              <w:bottom w:val="single" w:sz="6" w:space="0" w:color="B8860B"/>
              <w:right w:val="single" w:sz="6" w:space="0" w:color="B8860B"/>
            </w:tcBorders>
            <w:shd w:val="clear" w:color="auto" w:fill="FFF8DC"/>
            <w:tcMar>
              <w:top w:w="140" w:type="dxa"/>
              <w:left w:w="260" w:type="dxa"/>
              <w:bottom w:w="140" w:type="dxa"/>
              <w:right w:w="260" w:type="dxa"/>
            </w:tcMar>
          </w:tcPr>
          <w:p w14:paraId="6D0A48C6" w14:textId="77777777" w:rsidR="009472FF" w:rsidRDefault="00000000">
            <w:pPr>
              <w:spacing w:before="60" w:after="80"/>
              <w:jc w:val="right"/>
            </w:pPr>
            <w:r>
              <w:rPr>
                <w:b/>
                <w:bCs/>
                <w:color w:val="B8860B"/>
              </w:rPr>
              <w:t>حدود ومواطن الضعف</w:t>
            </w:r>
          </w:p>
          <w:p w14:paraId="3E96D0C3" w14:textId="77777777" w:rsidR="009472FF" w:rsidRDefault="00000000">
            <w:pPr>
              <w:spacing w:before="60" w:after="60" w:line="340" w:lineRule="auto"/>
              <w:jc w:val="right"/>
            </w:pPr>
            <w:r>
              <w:rPr>
                <w:color w:val="2C2C2C"/>
                <w:sz w:val="22"/>
                <w:szCs w:val="22"/>
              </w:rPr>
              <w:t>أولاً: اختزالية مادية — يُقلّص الظاهرة الدينية إلى آليات معرفية، مُغفلاً البعد الغيبي والوحيَ الإلهي بوصفه مصدراً مستقلاً للمعرفة.</w:t>
            </w:r>
          </w:p>
          <w:p w14:paraId="3AD393D8" w14:textId="77777777" w:rsidR="009472FF" w:rsidRDefault="00000000">
            <w:pPr>
              <w:spacing w:before="60" w:after="60" w:line="340" w:lineRule="auto"/>
              <w:jc w:val="right"/>
            </w:pPr>
            <w:r>
              <w:rPr>
                <w:color w:val="2C2C2C"/>
                <w:sz w:val="22"/>
                <w:szCs w:val="22"/>
              </w:rPr>
              <w:t>ثانياً: لا يُميّز بين الدين الحق والدين الباطل — فعبادة الأصنام والتوحيد الخالص تخضعان لنفس التحليل، مما يُفرغ البحث من أي أفق معياري.</w:t>
            </w:r>
          </w:p>
          <w:p w14:paraId="61DB987D" w14:textId="77777777" w:rsidR="009472FF" w:rsidRDefault="00000000">
            <w:pPr>
              <w:spacing w:before="60" w:after="60" w:line="340" w:lineRule="auto"/>
              <w:jc w:val="right"/>
            </w:pPr>
            <w:r>
              <w:rPr>
                <w:color w:val="2C2C2C"/>
                <w:sz w:val="22"/>
                <w:szCs w:val="22"/>
              </w:rPr>
              <w:t>ثالثاً: المأساة «شبه حتمية» في نموذجه — وهذا يُغلق باب الحل قبل أن يُفتح، ويُكرّس نظرة تشاؤمية لا مخرج منها.</w:t>
            </w:r>
          </w:p>
          <w:p w14:paraId="4075D724" w14:textId="77777777" w:rsidR="009472FF" w:rsidRDefault="00000000">
            <w:pPr>
              <w:spacing w:before="60" w:after="60" w:line="340" w:lineRule="auto"/>
              <w:jc w:val="right"/>
            </w:pPr>
            <w:r>
              <w:rPr>
                <w:color w:val="2C2C2C"/>
                <w:sz w:val="22"/>
                <w:szCs w:val="22"/>
              </w:rPr>
              <w:t>رابعاً: يُغفل دور الإرادة الحرة والتزكية الأخلاقية في إعادة تشكيل الاستجابات المعرفية ذاتها.</w:t>
            </w:r>
          </w:p>
        </w:tc>
      </w:tr>
    </w:tbl>
    <w:p w14:paraId="29E98DB1" w14:textId="77777777" w:rsidR="009472FF" w:rsidRDefault="009472FF">
      <w:pPr>
        <w:spacing w:before="60" w:after="60"/>
      </w:pPr>
    </w:p>
    <w:p w14:paraId="7FED989D" w14:textId="77777777" w:rsidR="009472FF" w:rsidRDefault="00000000">
      <w:r>
        <w:br w:type="page"/>
      </w:r>
    </w:p>
    <w:p w14:paraId="5904ACA7" w14:textId="77777777" w:rsidR="009472FF" w:rsidRDefault="00000000">
      <w:pPr>
        <w:pStyle w:val="1"/>
        <w:pBdr>
          <w:bottom w:val="single" w:sz="10" w:space="4" w:color="1B3A6B"/>
        </w:pBdr>
        <w:bidi/>
        <w:jc w:val="right"/>
      </w:pPr>
      <w:r>
        <w:t>الباب الثاني: علم النفس الاستخلافي — إعادة قراءة «مأساة اللاهوتي»</w:t>
      </w:r>
    </w:p>
    <w:p w14:paraId="236078FB" w14:textId="77777777" w:rsidR="009472FF" w:rsidRDefault="00000000">
      <w:pPr>
        <w:pStyle w:val="2"/>
        <w:bidi/>
        <w:jc w:val="right"/>
      </w:pPr>
      <w:r>
        <w:t>2.1  الفطرة والنفس — البنية الوجودية للإنسان عند الزراع</w:t>
      </w:r>
    </w:p>
    <w:p w14:paraId="470E07C1" w14:textId="77777777" w:rsidR="009472FF" w:rsidRDefault="00000000">
      <w:pPr>
        <w:pStyle w:val="3"/>
        <w:bidi/>
        <w:jc w:val="right"/>
      </w:pPr>
      <w:r>
        <w:t>2.1.1  الفطرة: الاستعداد المزدوج</w:t>
      </w:r>
    </w:p>
    <w:p w14:paraId="004C5766" w14:textId="77777777" w:rsidR="009472FF" w:rsidRDefault="00000000">
      <w:pPr>
        <w:spacing w:before="100" w:after="100" w:line="360" w:lineRule="auto"/>
        <w:jc w:val="right"/>
      </w:pPr>
      <w:r>
        <w:rPr>
          <w:color w:val="2C2C2C"/>
        </w:rPr>
        <w:t>ينطلق علم النفس الاستخلافي من مفهوم الفطرة بوصفه حجرَ الزاوية في فهم الإنسان. الفطرة ليست صفحةً بيضاء خاليةً من المحتوى كما ذهب جون لوك، ولا هي مجرد «آليات معرفية» موروثة تطورياً كما يرى بوير، بل هي البنية التي فطر اللهُ الإنسانَ عليها، وهي تتضمن استعدادين متضادين:</w:t>
      </w:r>
    </w:p>
    <w:p w14:paraId="0BC1A732" w14:textId="77777777" w:rsidR="009472FF" w:rsidRDefault="009472FF">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47E476D4" w14:textId="77777777">
        <w:tblPrEx>
          <w:tblCellMar>
            <w:top w:w="0" w:type="dxa"/>
            <w:bottom w:w="0" w:type="dxa"/>
          </w:tblCellMar>
        </w:tblPrEx>
        <w:tc>
          <w:tcPr>
            <w:tcW w:w="9026" w:type="dxa"/>
            <w:tcBorders>
              <w:top w:val="single" w:sz="8" w:space="0" w:color="B8860B"/>
              <w:left w:val="single" w:sz="8" w:space="0" w:color="B8860B"/>
              <w:bottom w:val="single" w:sz="8" w:space="0" w:color="B8860B"/>
              <w:right w:val="single" w:sz="8" w:space="0" w:color="B8860B"/>
            </w:tcBorders>
            <w:shd w:val="clear" w:color="auto" w:fill="FFF8DC"/>
            <w:tcMar>
              <w:top w:w="180" w:type="dxa"/>
              <w:left w:w="280" w:type="dxa"/>
              <w:bottom w:w="180" w:type="dxa"/>
              <w:right w:w="280" w:type="dxa"/>
            </w:tcMar>
          </w:tcPr>
          <w:p w14:paraId="1F37D30E" w14:textId="77777777" w:rsidR="009472FF" w:rsidRDefault="00000000">
            <w:pPr>
              <w:spacing w:before="60" w:after="80"/>
              <w:jc w:val="center"/>
            </w:pPr>
            <w:r>
              <w:rPr>
                <w:b/>
                <w:bCs/>
                <w:color w:val="4A3000"/>
                <w:sz w:val="28"/>
                <w:szCs w:val="28"/>
              </w:rPr>
              <w:t>وَنَفْسٍ وَمَا سَوَّاهَا ۞ فَأَلْهَمَهَا فُجُورَهَا وَتَقْوَاهَا</w:t>
            </w:r>
          </w:p>
          <w:p w14:paraId="3BA8702E" w14:textId="77777777" w:rsidR="009472FF" w:rsidRDefault="00000000">
            <w:pPr>
              <w:spacing w:before="40" w:after="60"/>
              <w:jc w:val="center"/>
            </w:pPr>
            <w:r>
              <w:rPr>
                <w:i/>
                <w:iCs/>
                <w:color w:val="B8860B"/>
                <w:sz w:val="22"/>
                <w:szCs w:val="22"/>
              </w:rPr>
              <w:t>سورة الشمس: 7–8</w:t>
            </w:r>
          </w:p>
        </w:tc>
      </w:tr>
    </w:tbl>
    <w:p w14:paraId="22AF8AA5" w14:textId="77777777" w:rsidR="009472FF" w:rsidRDefault="009472FF">
      <w:pPr>
        <w:spacing w:before="60" w:after="60"/>
      </w:pPr>
    </w:p>
    <w:p w14:paraId="4366976F" w14:textId="77777777" w:rsidR="009472FF" w:rsidRDefault="00000000">
      <w:pPr>
        <w:spacing w:before="100" w:after="100" w:line="360" w:lineRule="auto"/>
        <w:jc w:val="right"/>
      </w:pPr>
      <w:r>
        <w:rPr>
          <w:color w:val="2C2C2C"/>
        </w:rPr>
        <w:t>الفجور هو الميل نحو الانحدار والهبوط الأخلاقي، والتقوى هي الاستعداد للارتقاء والعلو. هذان الاستعدادان المتضادان، المُودَعان في بنية الإنسان منذ الفطرة، هما الرحم الذي يُولد منه الصراع بين الدين الرسمي والتدين الشعبي — لا الآليات المعرفية الأعمى التي يُركّز عليها بوير.</w:t>
      </w:r>
    </w:p>
    <w:p w14:paraId="51CC5FB4" w14:textId="77777777" w:rsidR="009472FF" w:rsidRDefault="00000000">
      <w:pPr>
        <w:jc w:val="right"/>
      </w:pPr>
      <w:r>
        <w:rPr>
          <w:rStyle w:val="a5"/>
        </w:rPr>
        <w:footnoteReference w:id="2"/>
      </w:r>
    </w:p>
    <w:p w14:paraId="28806930" w14:textId="77777777" w:rsidR="009472FF" w:rsidRDefault="009472FF">
      <w:pPr>
        <w:spacing w:before="60" w:after="60"/>
      </w:pPr>
    </w:p>
    <w:p w14:paraId="61502662" w14:textId="77777777" w:rsidR="009472FF" w:rsidRDefault="00000000">
      <w:pPr>
        <w:pStyle w:val="3"/>
        <w:bidi/>
        <w:jc w:val="right"/>
      </w:pPr>
      <w:r>
        <w:t>2.1.2  مستويات النفس الثلاثة — البنية الطبقية للحياة الداخلية</w:t>
      </w:r>
    </w:p>
    <w:p w14:paraId="5ADD7689" w14:textId="77777777" w:rsidR="009472FF" w:rsidRDefault="00000000">
      <w:pPr>
        <w:spacing w:before="100" w:after="100" w:line="360" w:lineRule="auto"/>
        <w:jc w:val="right"/>
      </w:pPr>
      <w:r>
        <w:rPr>
          <w:color w:val="2C2C2C"/>
        </w:rPr>
        <w:t>تُجسّد الأنفس الثلاث في علم النفس الاستخلافي بنيةً طبقيةً للحياة الداخلية، تُشكّل كل طبقة منها نمطاً مغايراً في التعامل مع الدين والعقيدة:</w:t>
      </w:r>
    </w:p>
    <w:p w14:paraId="7D19460D" w14:textId="77777777" w:rsidR="009472FF" w:rsidRDefault="009472FF">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3600"/>
        <w:gridCol w:w="3326"/>
      </w:tblGrid>
      <w:tr w:rsidR="009472FF" w14:paraId="06115ACB" w14:textId="77777777">
        <w:tblPrEx>
          <w:tblCellMar>
            <w:top w:w="0" w:type="dxa"/>
            <w:bottom w:w="0" w:type="dxa"/>
          </w:tblCellMar>
        </w:tblPrEx>
        <w:tc>
          <w:tcPr>
            <w:tcW w:w="21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DA14A39" w14:textId="77777777" w:rsidR="009472FF" w:rsidRDefault="00000000">
            <w:pPr>
              <w:jc w:val="center"/>
            </w:pPr>
            <w:r>
              <w:rPr>
                <w:b/>
                <w:bCs/>
                <w:color w:val="FFFFFF"/>
                <w:sz w:val="21"/>
                <w:szCs w:val="21"/>
              </w:rPr>
              <w:t>المرتبة</w:t>
            </w:r>
          </w:p>
        </w:tc>
        <w:tc>
          <w:tcPr>
            <w:tcW w:w="3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FA93CF5" w14:textId="77777777" w:rsidR="009472FF" w:rsidRDefault="00000000">
            <w:pPr>
              <w:jc w:val="center"/>
            </w:pPr>
            <w:r>
              <w:rPr>
                <w:b/>
                <w:bCs/>
                <w:color w:val="FFFFFF"/>
                <w:sz w:val="21"/>
                <w:szCs w:val="21"/>
              </w:rPr>
              <w:t>الوصف في علم النفس الاستخلافي</w:t>
            </w:r>
          </w:p>
        </w:tc>
        <w:tc>
          <w:tcPr>
            <w:tcW w:w="3326"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5A944B15" w14:textId="77777777" w:rsidR="009472FF" w:rsidRDefault="00000000">
            <w:pPr>
              <w:jc w:val="center"/>
            </w:pPr>
            <w:r>
              <w:rPr>
                <w:b/>
                <w:bCs/>
                <w:color w:val="FFFFFF"/>
                <w:sz w:val="21"/>
                <w:szCs w:val="21"/>
              </w:rPr>
              <w:t>علاقتها بالصراع الديني</w:t>
            </w:r>
          </w:p>
        </w:tc>
      </w:tr>
      <w:tr w:rsidR="009472FF" w14:paraId="19089826" w14:textId="77777777">
        <w:tblPrEx>
          <w:tblCellMar>
            <w:top w:w="0" w:type="dxa"/>
            <w:bottom w:w="0" w:type="dxa"/>
          </w:tblCellMar>
        </w:tblPrEx>
        <w:tc>
          <w:tcPr>
            <w:tcW w:w="21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62D4E261" w14:textId="77777777" w:rsidR="009472FF" w:rsidRDefault="00000000">
            <w:pPr>
              <w:spacing w:line="320" w:lineRule="auto"/>
              <w:jc w:val="right"/>
            </w:pPr>
            <w:r>
              <w:rPr>
                <w:color w:val="2C2C2C"/>
                <w:sz w:val="21"/>
                <w:szCs w:val="21"/>
              </w:rPr>
              <w:t>النفس الأمارة بالسوء</w:t>
            </w:r>
          </w:p>
        </w:tc>
        <w:tc>
          <w:tcPr>
            <w:tcW w:w="36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1BFD8BC4" w14:textId="77777777" w:rsidR="009472FF" w:rsidRDefault="00000000">
            <w:pPr>
              <w:spacing w:line="320" w:lineRule="auto"/>
              <w:jc w:val="right"/>
            </w:pPr>
            <w:r>
              <w:rPr>
                <w:color w:val="2C2C2C"/>
                <w:sz w:val="21"/>
                <w:szCs w:val="21"/>
              </w:rPr>
              <w:t>تتبع الشهوات، تميل للاختصارات الحسية والعاجلة</w:t>
            </w:r>
          </w:p>
        </w:tc>
        <w:tc>
          <w:tcPr>
            <w:tcW w:w="3326"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68E7A096" w14:textId="77777777" w:rsidR="009472FF" w:rsidRDefault="00000000">
            <w:pPr>
              <w:spacing w:line="320" w:lineRule="auto"/>
              <w:jc w:val="right"/>
            </w:pPr>
            <w:r>
              <w:rPr>
                <w:color w:val="2C2C2C"/>
                <w:sz w:val="21"/>
                <w:szCs w:val="21"/>
              </w:rPr>
              <w:t>تدفع إلى التدين الشعبي السطحي أو رفض الدين حين يتعارض مع هواها</w:t>
            </w:r>
          </w:p>
        </w:tc>
      </w:tr>
      <w:tr w:rsidR="009472FF" w14:paraId="047E7D59" w14:textId="77777777">
        <w:tblPrEx>
          <w:tblCellMar>
            <w:top w:w="0" w:type="dxa"/>
            <w:bottom w:w="0" w:type="dxa"/>
          </w:tblCellMar>
        </w:tblPrEx>
        <w:tc>
          <w:tcPr>
            <w:tcW w:w="21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79C1B4BB" w14:textId="77777777" w:rsidR="009472FF" w:rsidRDefault="00000000">
            <w:pPr>
              <w:spacing w:line="320" w:lineRule="auto"/>
              <w:jc w:val="right"/>
            </w:pPr>
            <w:r>
              <w:rPr>
                <w:color w:val="2C2C2C"/>
                <w:sz w:val="21"/>
                <w:szCs w:val="21"/>
              </w:rPr>
              <w:t>النفس اللوامة</w:t>
            </w:r>
          </w:p>
        </w:tc>
        <w:tc>
          <w:tcPr>
            <w:tcW w:w="36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173F5C5A" w14:textId="77777777" w:rsidR="009472FF" w:rsidRDefault="00000000">
            <w:pPr>
              <w:spacing w:line="320" w:lineRule="auto"/>
              <w:jc w:val="right"/>
            </w:pPr>
            <w:r>
              <w:rPr>
                <w:color w:val="2C2C2C"/>
                <w:sz w:val="21"/>
                <w:szCs w:val="21"/>
              </w:rPr>
              <w:t>تحاسب وتندم، تسعى للفهم العميق والالتزام الدقيق</w:t>
            </w:r>
          </w:p>
        </w:tc>
        <w:tc>
          <w:tcPr>
            <w:tcW w:w="3326"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74C6AA41" w14:textId="77777777" w:rsidR="009472FF" w:rsidRDefault="00000000">
            <w:pPr>
              <w:spacing w:line="320" w:lineRule="auto"/>
              <w:jc w:val="right"/>
            </w:pPr>
            <w:r>
              <w:rPr>
                <w:color w:val="2C2C2C"/>
                <w:sz w:val="21"/>
                <w:szCs w:val="21"/>
              </w:rPr>
              <w:t>تدفع إلى الفقه والعقيدة الصحيحة، تتألم من التناقض والخلط</w:t>
            </w:r>
          </w:p>
        </w:tc>
      </w:tr>
      <w:tr w:rsidR="009472FF" w14:paraId="50EBFC39" w14:textId="77777777">
        <w:tblPrEx>
          <w:tblCellMar>
            <w:top w:w="0" w:type="dxa"/>
            <w:bottom w:w="0" w:type="dxa"/>
          </w:tblCellMar>
        </w:tblPrEx>
        <w:tc>
          <w:tcPr>
            <w:tcW w:w="21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039B6ADF" w14:textId="77777777" w:rsidR="009472FF" w:rsidRDefault="00000000">
            <w:pPr>
              <w:spacing w:line="320" w:lineRule="auto"/>
              <w:jc w:val="right"/>
            </w:pPr>
            <w:r>
              <w:rPr>
                <w:color w:val="2C2C2C"/>
                <w:sz w:val="21"/>
                <w:szCs w:val="21"/>
              </w:rPr>
              <w:t>النفس المطمئنة</w:t>
            </w:r>
          </w:p>
        </w:tc>
        <w:tc>
          <w:tcPr>
            <w:tcW w:w="36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7C5F8E94" w14:textId="77777777" w:rsidR="009472FF" w:rsidRDefault="00000000">
            <w:pPr>
              <w:spacing w:line="320" w:lineRule="auto"/>
              <w:jc w:val="right"/>
            </w:pPr>
            <w:r>
              <w:rPr>
                <w:color w:val="2C2C2C"/>
                <w:sz w:val="21"/>
                <w:szCs w:val="21"/>
              </w:rPr>
              <w:t>وصلت للسكينة والرضا، تجاوزت صراع الأضداد</w:t>
            </w:r>
          </w:p>
        </w:tc>
        <w:tc>
          <w:tcPr>
            <w:tcW w:w="3326"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78EDABFD" w14:textId="77777777" w:rsidR="009472FF" w:rsidRDefault="00000000">
            <w:pPr>
              <w:spacing w:line="320" w:lineRule="auto"/>
              <w:jc w:val="right"/>
            </w:pPr>
            <w:r>
              <w:rPr>
                <w:color w:val="2C2C2C"/>
                <w:sz w:val="21"/>
                <w:szCs w:val="21"/>
              </w:rPr>
              <w:t>تُجسّد الغاية القصوى: تجمع العمق الفقهي والذوق الروحي بلا تناقض</w:t>
            </w:r>
          </w:p>
        </w:tc>
      </w:tr>
    </w:tbl>
    <w:p w14:paraId="08380588" w14:textId="77777777" w:rsidR="009472FF" w:rsidRDefault="00000000">
      <w:pPr>
        <w:jc w:val="right"/>
      </w:pPr>
      <w:r>
        <w:rPr>
          <w:rStyle w:val="a5"/>
        </w:rPr>
        <w:footnoteReference w:id="3"/>
      </w:r>
    </w:p>
    <w:p w14:paraId="6838D851" w14:textId="77777777" w:rsidR="009472FF" w:rsidRDefault="009472FF">
      <w:pPr>
        <w:spacing w:before="60" w:after="60"/>
      </w:pPr>
    </w:p>
    <w:p w14:paraId="67CF982E" w14:textId="77777777" w:rsidR="009472FF" w:rsidRDefault="00000000">
      <w:pPr>
        <w:pStyle w:val="2"/>
        <w:bidi/>
        <w:jc w:val="right"/>
      </w:pPr>
      <w:r>
        <w:t>2.2  إعادة تعريف «مأساة اللاهوتي» في ضوء الأنفس الثلاث</w:t>
      </w:r>
    </w:p>
    <w:p w14:paraId="220E071C" w14:textId="77777777" w:rsidR="009472FF" w:rsidRDefault="00000000">
      <w:pPr>
        <w:spacing w:before="100" w:after="100" w:line="360" w:lineRule="auto"/>
        <w:jc w:val="right"/>
      </w:pPr>
      <w:r>
        <w:rPr>
          <w:color w:val="2C2C2C"/>
        </w:rPr>
        <w:t>في ضوء هذا الإطار الاستخلافي، يمكن إعادة قراءة «مأساة اللاهوتي» عند بوير على نحو أكثر عمقاً وتفسيريةً:</w:t>
      </w:r>
    </w:p>
    <w:p w14:paraId="0F339451"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1B71181A" w14:textId="77777777">
        <w:tblPrEx>
          <w:tblCellMar>
            <w:top w:w="0" w:type="dxa"/>
            <w:bottom w:w="0" w:type="dxa"/>
          </w:tblCellMar>
        </w:tblPrEx>
        <w:tc>
          <w:tcPr>
            <w:tcW w:w="9026" w:type="dxa"/>
            <w:tcBorders>
              <w:top w:val="single" w:sz="6" w:space="0" w:color="0E7C7B"/>
              <w:left w:val="single" w:sz="6" w:space="0" w:color="0E7C7B"/>
              <w:bottom w:val="single" w:sz="6" w:space="0" w:color="0E7C7B"/>
              <w:right w:val="single" w:sz="6" w:space="0" w:color="0E7C7B"/>
            </w:tcBorders>
            <w:shd w:val="clear" w:color="auto" w:fill="D0EEEE"/>
            <w:tcMar>
              <w:top w:w="140" w:type="dxa"/>
              <w:left w:w="260" w:type="dxa"/>
              <w:bottom w:w="140" w:type="dxa"/>
              <w:right w:w="260" w:type="dxa"/>
            </w:tcMar>
          </w:tcPr>
          <w:p w14:paraId="48CDA46B" w14:textId="77777777" w:rsidR="009472FF" w:rsidRDefault="00000000">
            <w:pPr>
              <w:spacing w:before="60" w:after="80"/>
              <w:jc w:val="right"/>
            </w:pPr>
            <w:r>
              <w:rPr>
                <w:b/>
                <w:bCs/>
                <w:color w:val="0E7C7B"/>
              </w:rPr>
              <w:t>إعادة القراءة الاستخلافية للمأساة</w:t>
            </w:r>
          </w:p>
          <w:p w14:paraId="1429712B" w14:textId="77777777" w:rsidR="009472FF" w:rsidRDefault="00000000">
            <w:pPr>
              <w:spacing w:before="60" w:after="60" w:line="340" w:lineRule="auto"/>
              <w:jc w:val="right"/>
            </w:pPr>
            <w:r>
              <w:rPr>
                <w:color w:val="2C2C2C"/>
                <w:sz w:val="22"/>
                <w:szCs w:val="22"/>
              </w:rPr>
              <w:t>ليست مأساة اللاهوتي مجرد نتاج لآليات معرفية محدودة كما يصفها بوير، بل هي تجسيد لصراع أعمق بين مستويين من النفس:</w:t>
            </w:r>
          </w:p>
          <w:p w14:paraId="14E73F5D" w14:textId="77777777" w:rsidR="009472FF" w:rsidRDefault="009472FF">
            <w:pPr>
              <w:spacing w:before="60" w:after="60" w:line="340" w:lineRule="auto"/>
              <w:jc w:val="right"/>
            </w:pPr>
          </w:p>
          <w:p w14:paraId="067683DE" w14:textId="77777777" w:rsidR="009472FF" w:rsidRDefault="00000000">
            <w:pPr>
              <w:spacing w:before="60" w:after="60" w:line="340" w:lineRule="auto"/>
              <w:jc w:val="right"/>
            </w:pPr>
            <w:r>
              <w:rPr>
                <w:color w:val="2C2C2C"/>
                <w:sz w:val="22"/>
                <w:szCs w:val="22"/>
              </w:rPr>
              <w:t>النفس اللوامة هي التي تدفع الفقيه واللاهوتي إلى تنقية العقيدة وتجريدها. إنها تبحث عن الحق الخالص، وتتألم من الخلط بين الإلهي والبشري، وتريد أن تعبد الله كما أمر لا كما تهوى النفس. هذا هو دافعها النبيل — لكن دون ضابط الرحمة قد يتحول إلى قسوة جافّة.</w:t>
            </w:r>
          </w:p>
          <w:p w14:paraId="0BAD8E27" w14:textId="77777777" w:rsidR="009472FF" w:rsidRDefault="009472FF">
            <w:pPr>
              <w:spacing w:before="60" w:after="60" w:line="340" w:lineRule="auto"/>
              <w:jc w:val="right"/>
            </w:pPr>
          </w:p>
          <w:p w14:paraId="1C3331FB" w14:textId="77777777" w:rsidR="009472FF" w:rsidRDefault="00000000">
            <w:pPr>
              <w:spacing w:before="60" w:after="60" w:line="340" w:lineRule="auto"/>
              <w:jc w:val="right"/>
            </w:pPr>
            <w:r>
              <w:rPr>
                <w:color w:val="2C2C2C"/>
                <w:sz w:val="22"/>
                <w:szCs w:val="22"/>
              </w:rPr>
              <w:t>النفس الأمارة هي التي تدفع العامة — وأحياناً الخاصة — إلى إعادة صياغة العقيدة في قوالب حسية وكرامات وأولياء. إنها تريد علاقةً سهلةً مباشرةً لا تستلزم مشقة التفكير التجريدي. هذا ليس شراً محضاً بل هو استجابة فطرية لحاجة النفس إلى الملموس والمحسوس.</w:t>
            </w:r>
          </w:p>
          <w:p w14:paraId="73112C6B" w14:textId="77777777" w:rsidR="009472FF" w:rsidRDefault="009472FF">
            <w:pPr>
              <w:spacing w:before="60" w:after="60" w:line="340" w:lineRule="auto"/>
              <w:jc w:val="right"/>
            </w:pPr>
          </w:p>
          <w:p w14:paraId="74E1F496" w14:textId="77777777" w:rsidR="009472FF" w:rsidRDefault="00000000">
            <w:pPr>
              <w:spacing w:before="60" w:after="60" w:line="340" w:lineRule="auto"/>
              <w:jc w:val="right"/>
            </w:pPr>
            <w:r>
              <w:rPr>
                <w:color w:val="2C2C2C"/>
                <w:sz w:val="22"/>
                <w:szCs w:val="22"/>
              </w:rPr>
              <w:t>الصراع إذن ليس بين «اللاهوتي الذكي» و«العامة المحدودين» — بل هو الصراع المتجذّر في كل نفس بشرية بين حاجتها إلى العمق وحاجتها إلى الحضور الحسي.</w:t>
            </w:r>
          </w:p>
        </w:tc>
      </w:tr>
    </w:tbl>
    <w:p w14:paraId="5CB66FCA" w14:textId="77777777" w:rsidR="009472FF" w:rsidRDefault="009472FF">
      <w:pPr>
        <w:spacing w:before="60" w:after="60"/>
      </w:pPr>
    </w:p>
    <w:p w14:paraId="5DEB8A1F" w14:textId="77777777" w:rsidR="009472FF" w:rsidRDefault="00000000">
      <w:pPr>
        <w:pStyle w:val="2"/>
        <w:bidi/>
        <w:jc w:val="right"/>
      </w:pPr>
      <w:r>
        <w:t>2.3  تطبيق النموذج على الصراع التاريخي بين الفقه والتصوف</w:t>
      </w:r>
    </w:p>
    <w:p w14:paraId="301EBD20" w14:textId="77777777" w:rsidR="009472FF" w:rsidRDefault="00000000">
      <w:pPr>
        <w:pStyle w:val="3"/>
        <w:bidi/>
        <w:jc w:val="right"/>
      </w:pPr>
      <w:r>
        <w:t>2.3.1  موقع الفقيه — النفس اللوامة في حالة يقظة</w:t>
      </w:r>
    </w:p>
    <w:p w14:paraId="264A43C0" w14:textId="77777777" w:rsidR="009472FF" w:rsidRDefault="00000000">
      <w:pPr>
        <w:spacing w:before="100" w:after="100" w:line="360" w:lineRule="auto"/>
        <w:jc w:val="right"/>
      </w:pPr>
      <w:r>
        <w:rPr>
          <w:color w:val="2C2C2C"/>
        </w:rPr>
        <w:t>الفقيه الذي يجتهد في استنباط الأحكام من النصوص، ويُميّز بين الحلال والحرام بدقة، ويرد البدع إلى أصولها، إنما يفعل ذلك بدافع من النفس اللوامة. إنها تريد أن تعبد الله على بصيرة، وألا تخلط الحق بالباطل، وألا تنزلق في التدين الاستسهالي.</w:t>
      </w:r>
    </w:p>
    <w:p w14:paraId="0A15EF66" w14:textId="77777777" w:rsidR="009472FF" w:rsidRDefault="009472FF">
      <w:pPr>
        <w:spacing w:before="60" w:after="60"/>
      </w:pPr>
    </w:p>
    <w:p w14:paraId="068DDCF2" w14:textId="77777777" w:rsidR="009472FF" w:rsidRDefault="00000000">
      <w:pPr>
        <w:spacing w:before="100" w:after="100" w:line="360" w:lineRule="auto"/>
        <w:jc w:val="right"/>
      </w:pPr>
      <w:r>
        <w:rPr>
          <w:color w:val="2C2C2C"/>
        </w:rPr>
        <w:t>لكن إذا غلت هذه النفس اللوامة بلا ضابط الرحمة، أصبح الفقيه قاسياً جافياً يرى في كل تجربة روحية بدعةً، وفي كل كرامة شعوذةً. هنا تتحول اللوامة إلى ناقم جاف، وهذا انحراف يدخل به الفقيه في اختزال خطير: يختزل الدين في قوانين مجردة وينسى أن القانون وُضع لتحقيق المحبة والمعرفة والقرب.</w:t>
      </w:r>
    </w:p>
    <w:p w14:paraId="0B61EEEF" w14:textId="77777777" w:rsidR="009472FF" w:rsidRDefault="00000000">
      <w:pPr>
        <w:jc w:val="right"/>
      </w:pPr>
      <w:r>
        <w:rPr>
          <w:rStyle w:val="a5"/>
        </w:rPr>
        <w:footnoteReference w:id="4"/>
      </w:r>
    </w:p>
    <w:p w14:paraId="4717F115"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2E9314CD" w14:textId="77777777">
        <w:tblPrEx>
          <w:tblCellMar>
            <w:top w:w="0" w:type="dxa"/>
            <w:bottom w:w="0" w:type="dxa"/>
          </w:tblCellMar>
        </w:tblPrEx>
        <w:tc>
          <w:tcPr>
            <w:tcW w:w="9026" w:type="dxa"/>
            <w:tcBorders>
              <w:top w:val="single" w:sz="6" w:space="0" w:color="B8860B"/>
              <w:left w:val="single" w:sz="6" w:space="0" w:color="B8860B"/>
              <w:bottom w:val="single" w:sz="6" w:space="0" w:color="B8860B"/>
              <w:right w:val="single" w:sz="6" w:space="0" w:color="B8860B"/>
            </w:tcBorders>
            <w:shd w:val="clear" w:color="auto" w:fill="FFF8DC"/>
            <w:tcMar>
              <w:top w:w="140" w:type="dxa"/>
              <w:left w:w="260" w:type="dxa"/>
              <w:bottom w:w="140" w:type="dxa"/>
              <w:right w:w="260" w:type="dxa"/>
            </w:tcMar>
          </w:tcPr>
          <w:p w14:paraId="7C889D8C" w14:textId="77777777" w:rsidR="009472FF" w:rsidRDefault="00000000">
            <w:pPr>
              <w:spacing w:before="60" w:after="80"/>
              <w:jc w:val="right"/>
            </w:pPr>
            <w:r>
              <w:rPr>
                <w:b/>
                <w:bCs/>
                <w:color w:val="B8860B"/>
              </w:rPr>
              <w:t>الفقيه الرباني مقابل عالم السوء</w:t>
            </w:r>
          </w:p>
          <w:p w14:paraId="20110BC8" w14:textId="77777777" w:rsidR="009472FF" w:rsidRDefault="00000000">
            <w:pPr>
              <w:spacing w:before="60" w:after="60" w:line="340" w:lineRule="auto"/>
              <w:jc w:val="right"/>
            </w:pPr>
            <w:r>
              <w:rPr>
                <w:color w:val="2C2C2C"/>
                <w:sz w:val="22"/>
                <w:szCs w:val="22"/>
              </w:rPr>
              <w:t>الفقيه الرباني — مستوى النفس اللوامة في توازنها الأمثل: يتقن النص ويُدرك أن النص وسيلة لا غاية، ويتحلى بالرحمة واللين، ويعترف بأن للروح حاجاتٍ تتجاوز القانون المجرد.</w:t>
            </w:r>
          </w:p>
          <w:p w14:paraId="48FDBE2A" w14:textId="77777777" w:rsidR="009472FF" w:rsidRDefault="009472FF">
            <w:pPr>
              <w:spacing w:before="60" w:after="60" w:line="340" w:lineRule="auto"/>
              <w:jc w:val="right"/>
            </w:pPr>
          </w:p>
          <w:p w14:paraId="4975282D" w14:textId="77777777" w:rsidR="009472FF" w:rsidRDefault="00000000">
            <w:pPr>
              <w:spacing w:before="60" w:after="60" w:line="340" w:lineRule="auto"/>
              <w:jc w:val="right"/>
            </w:pPr>
            <w:r>
              <w:rPr>
                <w:color w:val="2C2C2C"/>
                <w:sz w:val="22"/>
                <w:szCs w:val="22"/>
              </w:rPr>
              <w:t>عالم السوء — مستوى النفس اللوامة في انحرافها: يحتكر التأويل ويُحرّم الاجتهاد ويرى في التجربة الروحية تهديداً لسلطته، فيُحوّل الدين إلى إدارة بدلاً من أن يكون إنارةً وهدايةً.</w:t>
            </w:r>
          </w:p>
        </w:tc>
      </w:tr>
    </w:tbl>
    <w:p w14:paraId="5B91B6C4" w14:textId="77777777" w:rsidR="009472FF" w:rsidRDefault="009472FF">
      <w:pPr>
        <w:spacing w:before="60" w:after="60"/>
      </w:pPr>
    </w:p>
    <w:p w14:paraId="001D632F" w14:textId="77777777" w:rsidR="009472FF" w:rsidRDefault="00000000">
      <w:pPr>
        <w:pStyle w:val="3"/>
        <w:bidi/>
        <w:jc w:val="right"/>
      </w:pPr>
      <w:r>
        <w:t>2.3.2  موقع الصوفي — النفس الأمارة في حاجة إلى التزكية</w:t>
      </w:r>
    </w:p>
    <w:p w14:paraId="0272BDB9" w14:textId="77777777" w:rsidR="009472FF" w:rsidRDefault="00000000">
      <w:pPr>
        <w:spacing w:before="100" w:after="100" w:line="360" w:lineRule="auto"/>
        <w:jc w:val="right"/>
      </w:pPr>
      <w:r>
        <w:rPr>
          <w:color w:val="2C2C2C"/>
        </w:rPr>
        <w:t>الصوفي الذي يطلب القرب من الله بالذكر والسماع، ويتعلق بشيخه، ويرى في الكرامات دليلاً على الولاية، إنما يفعل ذلك بدافع من حاجة النفس الأمارة إلى الحس والمشاهدة. إنها تريد أن تذوق الإيمان لا أن تفهمه فقط — وهذا التوق الأصيل إلى الذوق الروحي ليس خطأً في ذاته.</w:t>
      </w:r>
    </w:p>
    <w:p w14:paraId="06E505CE" w14:textId="77777777" w:rsidR="009472FF" w:rsidRDefault="009472FF">
      <w:pPr>
        <w:spacing w:before="60" w:after="60"/>
      </w:pPr>
    </w:p>
    <w:p w14:paraId="1B1C560A" w14:textId="77777777" w:rsidR="009472FF" w:rsidRDefault="00000000">
      <w:pPr>
        <w:spacing w:before="100" w:after="100" w:line="360" w:lineRule="auto"/>
        <w:jc w:val="right"/>
      </w:pPr>
      <w:r>
        <w:rPr>
          <w:color w:val="2C2C2C"/>
        </w:rPr>
        <w:t>لكن إذا تُركت النفس الأمارة بلا ضابط الشرع واللوامة، انحرف الصوفي نحو: الغلو في الأولياء حتى دعائهم من دون الله، والاعتقاد في الكرامات الخارقة التي لا دليل عليها من الكتاب والسنة، وإسقاط الأعمال الظاهرة بحجة «الوصول إلى الحقيقة» و«سقوط التكليف». هنا يحتاج الصوفي إلى نفس لوامة تُذكّره بالشرع وتُصحح له المسار.</w:t>
      </w:r>
    </w:p>
    <w:p w14:paraId="291D89A6" w14:textId="77777777" w:rsidR="009472FF" w:rsidRDefault="00000000">
      <w:pPr>
        <w:jc w:val="right"/>
      </w:pPr>
      <w:r>
        <w:rPr>
          <w:rStyle w:val="a5"/>
        </w:rPr>
        <w:footnoteReference w:id="5"/>
      </w:r>
    </w:p>
    <w:p w14:paraId="6D36767D"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628B7E76" w14:textId="77777777">
        <w:tblPrEx>
          <w:tblCellMar>
            <w:top w:w="0" w:type="dxa"/>
            <w:bottom w:w="0" w:type="dxa"/>
          </w:tblCellMar>
        </w:tblPrEx>
        <w:tc>
          <w:tcPr>
            <w:tcW w:w="9026" w:type="dxa"/>
            <w:tcBorders>
              <w:top w:val="single" w:sz="6" w:space="0" w:color="1B3A6B"/>
              <w:left w:val="single" w:sz="6" w:space="0" w:color="1B3A6B"/>
              <w:bottom w:val="single" w:sz="6" w:space="0" w:color="1B3A6B"/>
              <w:right w:val="single" w:sz="6" w:space="0" w:color="1B3A6B"/>
            </w:tcBorders>
            <w:shd w:val="clear" w:color="auto" w:fill="D6E4F0"/>
            <w:tcMar>
              <w:top w:w="140" w:type="dxa"/>
              <w:left w:w="260" w:type="dxa"/>
              <w:bottom w:w="140" w:type="dxa"/>
              <w:right w:w="260" w:type="dxa"/>
            </w:tcMar>
          </w:tcPr>
          <w:p w14:paraId="5D6C7F0D" w14:textId="77777777" w:rsidR="009472FF" w:rsidRDefault="00000000">
            <w:pPr>
              <w:spacing w:before="60" w:after="80"/>
              <w:jc w:val="right"/>
            </w:pPr>
            <w:r>
              <w:rPr>
                <w:b/>
                <w:bCs/>
                <w:color w:val="1B3A6B"/>
              </w:rPr>
              <w:t>الصوفي الوارع مقابل الغالي</w:t>
            </w:r>
          </w:p>
          <w:p w14:paraId="2652EB84" w14:textId="77777777" w:rsidR="009472FF" w:rsidRDefault="00000000">
            <w:pPr>
              <w:spacing w:before="60" w:after="60" w:line="340" w:lineRule="auto"/>
              <w:jc w:val="right"/>
            </w:pPr>
            <w:r>
              <w:rPr>
                <w:color w:val="2C2C2C"/>
                <w:sz w:val="22"/>
                <w:szCs w:val="22"/>
              </w:rPr>
              <w:t>الصوفي الوارع — النفس الأمارة في إطار اللوامة: يجمع بين الذوق الروحي والالتزام بالشريعة، ويعلم أن الكرامة الحقيقية هي الاستقامة لا الخوارق، ويرى الشيخ مرشداً لا وسيطاً بينه وبين الله.</w:t>
            </w:r>
          </w:p>
          <w:p w14:paraId="5621FFF8" w14:textId="77777777" w:rsidR="009472FF" w:rsidRDefault="009472FF">
            <w:pPr>
              <w:spacing w:before="60" w:after="60" w:line="340" w:lineRule="auto"/>
              <w:jc w:val="right"/>
            </w:pPr>
          </w:p>
          <w:p w14:paraId="71659ED6" w14:textId="77777777" w:rsidR="009472FF" w:rsidRDefault="00000000">
            <w:pPr>
              <w:spacing w:before="60" w:after="60" w:line="340" w:lineRule="auto"/>
              <w:jc w:val="right"/>
            </w:pPr>
            <w:r>
              <w:rPr>
                <w:color w:val="2C2C2C"/>
                <w:sz w:val="22"/>
                <w:szCs w:val="22"/>
              </w:rPr>
              <w:t>الصوفي الغالي — النفس الأمارة بلا ضابط: يجعل تجربته الذاتية مرجعاً يتقدم على النص، ويُسقط الواجبات الشرعية بحجة المقام، فينزلق إلى ما حذّر منه ابن تيمية وابن القيم من أشكال الغلو.</w:t>
            </w:r>
          </w:p>
        </w:tc>
      </w:tr>
    </w:tbl>
    <w:p w14:paraId="1C7F6556" w14:textId="77777777" w:rsidR="009472FF" w:rsidRDefault="009472FF">
      <w:pPr>
        <w:spacing w:before="60" w:after="60"/>
      </w:pPr>
    </w:p>
    <w:p w14:paraId="5E5F605E" w14:textId="77777777" w:rsidR="009472FF" w:rsidRDefault="00000000">
      <w:pPr>
        <w:pStyle w:val="3"/>
        <w:bidi/>
        <w:jc w:val="right"/>
      </w:pPr>
      <w:r>
        <w:t>2.3.3  الحل الاستخلافي — تزكية النفس لا إلغاء الآخر</w:t>
      </w:r>
    </w:p>
    <w:p w14:paraId="0C00E4F9" w14:textId="77777777" w:rsidR="009472FF" w:rsidRDefault="00000000">
      <w:pPr>
        <w:spacing w:before="100" w:after="100" w:line="360" w:lineRule="auto"/>
        <w:jc w:val="right"/>
      </w:pPr>
      <w:r>
        <w:rPr>
          <w:color w:val="2C2C2C"/>
        </w:rPr>
        <w:t>علم النفس الاستخلافي يرفض منطق «إما الفقه أو التصوف» رفضاً قاطعاً، كما يرفض منطق بوير الذي يُقدّم المأساة بوصفها قدراً بيولوجياً-معرفياً محتوماً. الحل هو تزكية النفس بمستوييها:</w:t>
      </w:r>
    </w:p>
    <w:p w14:paraId="195CCA60" w14:textId="77777777" w:rsidR="009472FF" w:rsidRDefault="009472FF">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9472FF" w14:paraId="36B87691" w14:textId="77777777">
        <w:tblPrEx>
          <w:tblCellMar>
            <w:top w:w="0" w:type="dxa"/>
            <w:bottom w:w="0" w:type="dxa"/>
          </w:tblCellMar>
        </w:tblPrEx>
        <w:tc>
          <w:tcPr>
            <w:tcW w:w="4513" w:type="dxa"/>
            <w:tcBorders>
              <w:top w:val="single" w:sz="4" w:space="0" w:color="0E7C7B"/>
              <w:left w:val="single" w:sz="4" w:space="0" w:color="0E7C7B"/>
              <w:bottom w:val="single" w:sz="4" w:space="0" w:color="0E7C7B"/>
              <w:right w:val="single" w:sz="4" w:space="0" w:color="0E7C7B"/>
            </w:tcBorders>
            <w:shd w:val="clear" w:color="auto" w:fill="1B3A6B"/>
            <w:tcMar>
              <w:top w:w="120" w:type="dxa"/>
              <w:left w:w="160" w:type="dxa"/>
              <w:bottom w:w="120" w:type="dxa"/>
              <w:right w:w="160" w:type="dxa"/>
            </w:tcMar>
          </w:tcPr>
          <w:p w14:paraId="17CC74E8" w14:textId="77777777" w:rsidR="009472FF" w:rsidRDefault="00000000">
            <w:pPr>
              <w:jc w:val="center"/>
            </w:pPr>
            <w:r>
              <w:rPr>
                <w:b/>
                <w:bCs/>
                <w:color w:val="FFFFFF"/>
              </w:rPr>
              <w:t>تزكية الفقيه</w:t>
            </w:r>
          </w:p>
        </w:tc>
        <w:tc>
          <w:tcPr>
            <w:tcW w:w="4513" w:type="dxa"/>
            <w:tcBorders>
              <w:top w:val="single" w:sz="4" w:space="0" w:color="0E7C7B"/>
              <w:left w:val="single" w:sz="4" w:space="0" w:color="0E7C7B"/>
              <w:bottom w:val="single" w:sz="4" w:space="0" w:color="0E7C7B"/>
              <w:right w:val="single" w:sz="4" w:space="0" w:color="0E7C7B"/>
            </w:tcBorders>
            <w:shd w:val="clear" w:color="auto" w:fill="0E7C7B"/>
            <w:tcMar>
              <w:top w:w="120" w:type="dxa"/>
              <w:left w:w="160" w:type="dxa"/>
              <w:bottom w:w="120" w:type="dxa"/>
              <w:right w:w="160" w:type="dxa"/>
            </w:tcMar>
          </w:tcPr>
          <w:p w14:paraId="19ADAC52" w14:textId="77777777" w:rsidR="009472FF" w:rsidRDefault="00000000">
            <w:pPr>
              <w:jc w:val="center"/>
            </w:pPr>
            <w:r>
              <w:rPr>
                <w:b/>
                <w:bCs/>
                <w:color w:val="FFFFFF"/>
              </w:rPr>
              <w:t>تزكية الصوفي</w:t>
            </w:r>
          </w:p>
        </w:tc>
      </w:tr>
      <w:tr w:rsidR="009472FF" w14:paraId="31ECF5FA" w14:textId="77777777">
        <w:tblPrEx>
          <w:tblCellMar>
            <w:top w:w="0" w:type="dxa"/>
            <w:bottom w:w="0" w:type="dxa"/>
          </w:tblCellMar>
        </w:tblPrEx>
        <w:tc>
          <w:tcPr>
            <w:tcW w:w="4513" w:type="dxa"/>
            <w:tcBorders>
              <w:top w:val="single" w:sz="3" w:space="0" w:color="1B3A6B"/>
              <w:left w:val="single" w:sz="3" w:space="0" w:color="1B3A6B"/>
              <w:bottom w:val="single" w:sz="3" w:space="0" w:color="1B3A6B"/>
              <w:right w:val="single" w:sz="3" w:space="0" w:color="1B3A6B"/>
            </w:tcBorders>
            <w:shd w:val="clear" w:color="auto" w:fill="D6E4F0"/>
            <w:tcMar>
              <w:top w:w="120" w:type="dxa"/>
              <w:left w:w="160" w:type="dxa"/>
              <w:bottom w:w="120" w:type="dxa"/>
              <w:right w:w="160" w:type="dxa"/>
            </w:tcMar>
          </w:tcPr>
          <w:p w14:paraId="5DA97C07" w14:textId="77777777" w:rsidR="009472FF" w:rsidRDefault="00000000">
            <w:pPr>
              <w:spacing w:before="80" w:after="80" w:line="340" w:lineRule="auto"/>
              <w:jc w:val="right"/>
            </w:pPr>
            <w:r>
              <w:rPr>
                <w:color w:val="2C2C2C"/>
                <w:sz w:val="22"/>
                <w:szCs w:val="22"/>
              </w:rPr>
              <w:t>أن يتذكر أن النصوص ليست غايةً بل وسيلة للوصول إلى الله.</w:t>
            </w:r>
          </w:p>
          <w:p w14:paraId="4A081333" w14:textId="77777777" w:rsidR="009472FF" w:rsidRDefault="00000000">
            <w:pPr>
              <w:spacing w:before="80" w:after="80" w:line="340" w:lineRule="auto"/>
              <w:jc w:val="right"/>
            </w:pPr>
            <w:r>
              <w:rPr>
                <w:color w:val="2C2C2C"/>
                <w:sz w:val="22"/>
                <w:szCs w:val="22"/>
              </w:rPr>
              <w:t>أن يتحلى بالرحمة واللين مع المؤمن العادي.</w:t>
            </w:r>
          </w:p>
          <w:p w14:paraId="32D572A1" w14:textId="77777777" w:rsidR="009472FF" w:rsidRDefault="00000000">
            <w:pPr>
              <w:spacing w:before="80" w:after="80" w:line="340" w:lineRule="auto"/>
              <w:jc w:val="right"/>
            </w:pPr>
            <w:r>
              <w:rPr>
                <w:color w:val="2C2C2C"/>
                <w:sz w:val="22"/>
                <w:szCs w:val="22"/>
              </w:rPr>
              <w:t>أن يعترف بأن للروح حاجات تتجاوز القانون المجرد.</w:t>
            </w:r>
          </w:p>
          <w:p w14:paraId="419B61EE" w14:textId="77777777" w:rsidR="009472FF" w:rsidRDefault="00000000">
            <w:pPr>
              <w:spacing w:before="80" w:after="80" w:line="340" w:lineRule="auto"/>
              <w:jc w:val="right"/>
            </w:pPr>
            <w:r>
              <w:rPr>
                <w:b/>
                <w:bCs/>
                <w:color w:val="1B3A6B"/>
                <w:sz w:val="22"/>
                <w:szCs w:val="22"/>
              </w:rPr>
              <w:t>هذا هو معنى «العالم الرباني» لا «عالم السوء».</w:t>
            </w:r>
          </w:p>
        </w:tc>
        <w:tc>
          <w:tcPr>
            <w:tcW w:w="4513" w:type="dxa"/>
            <w:tcBorders>
              <w:top w:val="single" w:sz="3" w:space="0" w:color="0E7C7B"/>
              <w:left w:val="single" w:sz="3" w:space="0" w:color="0E7C7B"/>
              <w:bottom w:val="single" w:sz="3" w:space="0" w:color="0E7C7B"/>
              <w:right w:val="single" w:sz="3" w:space="0" w:color="0E7C7B"/>
            </w:tcBorders>
            <w:shd w:val="clear" w:color="auto" w:fill="D0EEEE"/>
            <w:tcMar>
              <w:top w:w="120" w:type="dxa"/>
              <w:left w:w="160" w:type="dxa"/>
              <w:bottom w:w="120" w:type="dxa"/>
              <w:right w:w="160" w:type="dxa"/>
            </w:tcMar>
          </w:tcPr>
          <w:p w14:paraId="0108C054" w14:textId="77777777" w:rsidR="009472FF" w:rsidRDefault="00000000">
            <w:pPr>
              <w:spacing w:before="80" w:after="80" w:line="340" w:lineRule="auto"/>
              <w:jc w:val="right"/>
            </w:pPr>
            <w:r>
              <w:rPr>
                <w:color w:val="2C2C2C"/>
                <w:sz w:val="22"/>
                <w:szCs w:val="22"/>
              </w:rPr>
              <w:t>أن يعلم أن طريق الله لا يمر بتعطيل الشرع بل بالالتزام به.</w:t>
            </w:r>
          </w:p>
          <w:p w14:paraId="47C71A53" w14:textId="77777777" w:rsidR="009472FF" w:rsidRDefault="00000000">
            <w:pPr>
              <w:spacing w:before="80" w:after="80" w:line="340" w:lineRule="auto"/>
              <w:jc w:val="right"/>
            </w:pPr>
            <w:r>
              <w:rPr>
                <w:color w:val="2C2C2C"/>
                <w:sz w:val="22"/>
                <w:szCs w:val="22"/>
              </w:rPr>
              <w:t>أن يعرف أن الكرامة الحقيقية هي الاستقامة لا الخوارق.</w:t>
            </w:r>
          </w:p>
          <w:p w14:paraId="3C49CAC1" w14:textId="77777777" w:rsidR="009472FF" w:rsidRDefault="00000000">
            <w:pPr>
              <w:spacing w:before="80" w:after="80" w:line="340" w:lineRule="auto"/>
              <w:jc w:val="right"/>
            </w:pPr>
            <w:r>
              <w:rPr>
                <w:color w:val="2C2C2C"/>
                <w:sz w:val="22"/>
                <w:szCs w:val="22"/>
              </w:rPr>
              <w:t>أن يرى الشيخ مرشداً لا وسيطاً يحتكر العلاقة بالله.</w:t>
            </w:r>
          </w:p>
          <w:p w14:paraId="75F422EE" w14:textId="77777777" w:rsidR="009472FF" w:rsidRDefault="00000000">
            <w:pPr>
              <w:spacing w:before="80" w:after="80" w:line="340" w:lineRule="auto"/>
              <w:jc w:val="right"/>
            </w:pPr>
            <w:r>
              <w:rPr>
                <w:b/>
                <w:bCs/>
                <w:color w:val="0E7C7B"/>
                <w:sz w:val="22"/>
                <w:szCs w:val="22"/>
              </w:rPr>
              <w:t>هذا هو معنى «الصوفي الوارع» لا الغالي.</w:t>
            </w:r>
          </w:p>
        </w:tc>
      </w:tr>
    </w:tbl>
    <w:p w14:paraId="6AA558DA" w14:textId="77777777" w:rsidR="009472FF" w:rsidRDefault="009472FF">
      <w:pPr>
        <w:spacing w:before="60" w:after="60"/>
      </w:pPr>
    </w:p>
    <w:p w14:paraId="644E85A6" w14:textId="77777777" w:rsidR="009472FF" w:rsidRDefault="00000000">
      <w:pPr>
        <w:jc w:val="right"/>
      </w:pPr>
      <w:r>
        <w:rPr>
          <w:rStyle w:val="a5"/>
        </w:rPr>
        <w:footnoteReference w:id="6"/>
      </w:r>
    </w:p>
    <w:p w14:paraId="336A2512" w14:textId="77777777" w:rsidR="009472FF" w:rsidRDefault="009472FF">
      <w:pPr>
        <w:spacing w:before="60" w:after="60"/>
      </w:pPr>
    </w:p>
    <w:p w14:paraId="0A1CEF5F" w14:textId="77777777" w:rsidR="009472FF" w:rsidRDefault="00000000">
      <w:pPr>
        <w:spacing w:before="100" w:after="100" w:line="360" w:lineRule="auto"/>
        <w:jc w:val="right"/>
      </w:pPr>
      <w:r>
        <w:rPr>
          <w:color w:val="2C2C2C"/>
        </w:rPr>
        <w:t>الهدف النهائي في علم النفس الاستخلافي هو الوصول إلى النفس المطمئنة التي تجاوزت صراع اللوامة والأمارة، وأصبحت تعبد الله كأنها تراه. هذه النفس لا تحتاج إلى «مأساة» لأنها جمعت بين العمق الفقهي والذوق الصوفي في توحيد متجاوز للثنائية.</w:t>
      </w:r>
    </w:p>
    <w:p w14:paraId="1317BC19" w14:textId="77777777" w:rsidR="009472FF" w:rsidRDefault="009472FF">
      <w:pPr>
        <w:spacing w:before="60" w:after="60"/>
      </w:pPr>
    </w:p>
    <w:p w14:paraId="1097C17C" w14:textId="77777777" w:rsidR="009472FF" w:rsidRDefault="00000000">
      <w:r>
        <w:br w:type="page"/>
      </w:r>
    </w:p>
    <w:p w14:paraId="28E66094" w14:textId="77777777" w:rsidR="009472FF" w:rsidRDefault="00000000">
      <w:pPr>
        <w:pStyle w:val="1"/>
        <w:pBdr>
          <w:bottom w:val="single" w:sz="10" w:space="4" w:color="1B3A6B"/>
        </w:pBdr>
        <w:bidi/>
        <w:jc w:val="right"/>
      </w:pPr>
      <w:r>
        <w:t>الباب الثالث: جدل المنهج — أين يُضيء بوير وأين يقصر؟</w:t>
      </w:r>
    </w:p>
    <w:p w14:paraId="2913DFE4" w14:textId="77777777" w:rsidR="009472FF" w:rsidRDefault="00000000">
      <w:pPr>
        <w:pStyle w:val="2"/>
        <w:bidi/>
        <w:jc w:val="right"/>
      </w:pPr>
      <w:r>
        <w:t>3.1  القيمة الإجرائية لنموذج بوير في البحث الاستخلافي</w:t>
      </w:r>
    </w:p>
    <w:p w14:paraId="7A80E44C" w14:textId="77777777" w:rsidR="009472FF" w:rsidRDefault="00000000">
      <w:pPr>
        <w:spacing w:before="100" w:after="100" w:line="360" w:lineRule="auto"/>
        <w:jc w:val="right"/>
      </w:pPr>
      <w:r>
        <w:rPr>
          <w:color w:val="2C2C2C"/>
        </w:rPr>
        <w:t>رغم الفجوات الجوهرية بين الإطارين، يُقدّم نموذج بوير عدداً من الأدوات الإجرائية القابلة للتوظيف في البحث الاستخلافي دون تبني افتراضاته المادية:</w:t>
      </w:r>
    </w:p>
    <w:p w14:paraId="3DC339D6"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4A3C6F0A" w14:textId="77777777">
        <w:tblPrEx>
          <w:tblCellMar>
            <w:top w:w="0" w:type="dxa"/>
            <w:bottom w:w="0" w:type="dxa"/>
          </w:tblCellMar>
        </w:tblPrEx>
        <w:tc>
          <w:tcPr>
            <w:tcW w:w="9026" w:type="dxa"/>
            <w:tcBorders>
              <w:top w:val="single" w:sz="6" w:space="0" w:color="1B3A6B"/>
              <w:left w:val="single" w:sz="6" w:space="0" w:color="1B3A6B"/>
              <w:bottom w:val="single" w:sz="6" w:space="0" w:color="1B3A6B"/>
              <w:right w:val="single" w:sz="6" w:space="0" w:color="1B3A6B"/>
            </w:tcBorders>
            <w:shd w:val="clear" w:color="auto" w:fill="D6E4F0"/>
            <w:tcMar>
              <w:top w:w="140" w:type="dxa"/>
              <w:left w:w="260" w:type="dxa"/>
              <w:bottom w:w="140" w:type="dxa"/>
              <w:right w:w="260" w:type="dxa"/>
            </w:tcMar>
          </w:tcPr>
          <w:p w14:paraId="058E94BF" w14:textId="77777777" w:rsidR="009472FF" w:rsidRDefault="00000000">
            <w:pPr>
              <w:spacing w:before="60" w:after="80"/>
              <w:jc w:val="right"/>
            </w:pPr>
            <w:r>
              <w:rPr>
                <w:b/>
                <w:bCs/>
                <w:color w:val="1B3A6B"/>
              </w:rPr>
              <w:t>ما يمكن توظيفه من بوير في البحث الاستخلافي</w:t>
            </w:r>
          </w:p>
          <w:p w14:paraId="49ED1A3C" w14:textId="77777777" w:rsidR="009472FF" w:rsidRDefault="00000000">
            <w:pPr>
              <w:spacing w:before="60" w:after="60" w:line="340" w:lineRule="auto"/>
              <w:jc w:val="right"/>
            </w:pPr>
            <w:r>
              <w:rPr>
                <w:color w:val="2C2C2C"/>
                <w:sz w:val="22"/>
                <w:szCs w:val="22"/>
              </w:rPr>
              <w:t>أولاً: مفهوم «المفاهيم المضادة للحدس» يُساعد في فهم لماذا تنتشر بعض الخرافات الدينية وتثبت، ويُمكّن الباحث الاستخلافي من تشخيص ظاهرة التدين الشعبي المنحرف بأدوات نفسية دقيقة.</w:t>
            </w:r>
          </w:p>
          <w:p w14:paraId="28144824" w14:textId="77777777" w:rsidR="009472FF" w:rsidRDefault="00000000">
            <w:pPr>
              <w:spacing w:before="60" w:after="60" w:line="340" w:lineRule="auto"/>
              <w:jc w:val="right"/>
            </w:pPr>
            <w:r>
              <w:rPr>
                <w:color w:val="2C2C2C"/>
                <w:sz w:val="22"/>
                <w:szCs w:val="22"/>
              </w:rPr>
              <w:t>ثانياً: تحليل المراحل الأربع للمأساة يُقدّم خارطة طريق لفهم ديناميكيات الإصلاح الديني: متى ينجح ومتى يُنتج ردود فعل شعبية معاكسة.</w:t>
            </w:r>
          </w:p>
          <w:p w14:paraId="2D20467A" w14:textId="77777777" w:rsidR="009472FF" w:rsidRDefault="00000000">
            <w:pPr>
              <w:spacing w:before="60" w:after="60" w:line="340" w:lineRule="auto"/>
              <w:jc w:val="right"/>
            </w:pPr>
            <w:r>
              <w:rPr>
                <w:color w:val="2C2C2C"/>
                <w:sz w:val="22"/>
                <w:szCs w:val="22"/>
              </w:rPr>
              <w:t>ثالثاً: مفهوم «الوكلاء فوق البشريين والمعلومات الاستراتيجية» يُساعد في فهم لماذا الدين الذي يُغيّب القرب الإلهي ويُحوّله إلى قانون مجرد يفقد جاذبيته ويُنتج تديناً شعبياً بديلاً.</w:t>
            </w:r>
          </w:p>
        </w:tc>
      </w:tr>
    </w:tbl>
    <w:p w14:paraId="0B7CBFBB" w14:textId="77777777" w:rsidR="009472FF" w:rsidRDefault="009472FF">
      <w:pPr>
        <w:spacing w:before="60" w:after="60"/>
      </w:pPr>
    </w:p>
    <w:p w14:paraId="4BD42E64" w14:textId="77777777" w:rsidR="009472FF" w:rsidRDefault="00000000">
      <w:pPr>
        <w:pStyle w:val="2"/>
        <w:bidi/>
        <w:jc w:val="right"/>
      </w:pPr>
      <w:r>
        <w:t>3.2  الجدول المقارن الشامل</w:t>
      </w:r>
    </w:p>
    <w:p w14:paraId="26049AC8" w14:textId="77777777" w:rsidR="009472FF" w:rsidRDefault="009472FF">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00"/>
        <w:gridCol w:w="3526"/>
      </w:tblGrid>
      <w:tr w:rsidR="009472FF" w14:paraId="2DD417D5" w14:textId="77777777">
        <w:tblPrEx>
          <w:tblCellMar>
            <w:top w:w="0" w:type="dxa"/>
            <w:bottom w:w="0" w:type="dxa"/>
          </w:tblCellMar>
        </w:tblPrEx>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9B2A614" w14:textId="77777777" w:rsidR="009472FF" w:rsidRDefault="00000000">
            <w:pPr>
              <w:jc w:val="center"/>
            </w:pPr>
            <w:r>
              <w:rPr>
                <w:b/>
                <w:bCs/>
                <w:color w:val="FFFFFF"/>
                <w:sz w:val="21"/>
                <w:szCs w:val="21"/>
              </w:rPr>
              <w:t>المعيار</w:t>
            </w:r>
          </w:p>
        </w:tc>
        <w:tc>
          <w:tcPr>
            <w:tcW w:w="3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59A0250" w14:textId="77777777" w:rsidR="009472FF" w:rsidRDefault="00000000">
            <w:pPr>
              <w:jc w:val="center"/>
            </w:pPr>
            <w:r>
              <w:rPr>
                <w:b/>
                <w:bCs/>
                <w:color w:val="FFFFFF"/>
                <w:sz w:val="21"/>
                <w:szCs w:val="21"/>
              </w:rPr>
              <w:t>باسكال بوير</w:t>
            </w:r>
          </w:p>
        </w:tc>
        <w:tc>
          <w:tcPr>
            <w:tcW w:w="3526"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057A7FB" w14:textId="77777777" w:rsidR="009472FF" w:rsidRDefault="00000000">
            <w:pPr>
              <w:jc w:val="center"/>
            </w:pPr>
            <w:r>
              <w:rPr>
                <w:b/>
                <w:bCs/>
                <w:color w:val="FFFFFF"/>
                <w:sz w:val="21"/>
                <w:szCs w:val="21"/>
              </w:rPr>
              <w:t>علم النفس الاستخلافي (الزراع)</w:t>
            </w:r>
          </w:p>
        </w:tc>
      </w:tr>
      <w:tr w:rsidR="009472FF" w14:paraId="3282156A" w14:textId="77777777">
        <w:tblPrEx>
          <w:tblCellMar>
            <w:top w:w="0" w:type="dxa"/>
            <w:bottom w:w="0" w:type="dxa"/>
          </w:tblCellMar>
        </w:tblPrEx>
        <w:tc>
          <w:tcPr>
            <w:tcW w:w="20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3CA32371" w14:textId="77777777" w:rsidR="009472FF" w:rsidRDefault="00000000">
            <w:pPr>
              <w:spacing w:line="320" w:lineRule="auto"/>
              <w:jc w:val="right"/>
            </w:pPr>
            <w:r>
              <w:rPr>
                <w:color w:val="2C2C2C"/>
                <w:sz w:val="21"/>
                <w:szCs w:val="21"/>
              </w:rPr>
              <w:t>مصدر المشكلة</w:t>
            </w:r>
          </w:p>
        </w:tc>
        <w:tc>
          <w:tcPr>
            <w:tcW w:w="35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59937074" w14:textId="77777777" w:rsidR="009472FF" w:rsidRDefault="00000000">
            <w:pPr>
              <w:spacing w:line="320" w:lineRule="auto"/>
              <w:jc w:val="right"/>
            </w:pPr>
            <w:r>
              <w:rPr>
                <w:color w:val="2C2C2C"/>
                <w:sz w:val="21"/>
                <w:szCs w:val="21"/>
              </w:rPr>
              <w:t>آليات معرفية محدودة في معالجة التجريد (تطور الدماغ)</w:t>
            </w:r>
          </w:p>
        </w:tc>
        <w:tc>
          <w:tcPr>
            <w:tcW w:w="3526"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084DFA25" w14:textId="77777777" w:rsidR="009472FF" w:rsidRDefault="00000000">
            <w:pPr>
              <w:spacing w:line="320" w:lineRule="auto"/>
              <w:jc w:val="right"/>
            </w:pPr>
            <w:r>
              <w:rPr>
                <w:color w:val="2C2C2C"/>
                <w:sz w:val="21"/>
                <w:szCs w:val="21"/>
              </w:rPr>
              <w:t>صراع بين النفس اللوامة (التجريد) والأمارة (الحس)</w:t>
            </w:r>
          </w:p>
        </w:tc>
      </w:tr>
      <w:tr w:rsidR="009472FF" w14:paraId="59E525B1" w14:textId="77777777">
        <w:tblPrEx>
          <w:tblCellMar>
            <w:top w:w="0" w:type="dxa"/>
            <w:bottom w:w="0" w:type="dxa"/>
          </w:tblCellMar>
        </w:tblPrEx>
        <w:tc>
          <w:tcPr>
            <w:tcW w:w="20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437C5149" w14:textId="77777777" w:rsidR="009472FF" w:rsidRDefault="00000000">
            <w:pPr>
              <w:spacing w:line="320" w:lineRule="auto"/>
              <w:jc w:val="right"/>
            </w:pPr>
            <w:r>
              <w:rPr>
                <w:color w:val="2C2C2C"/>
                <w:sz w:val="21"/>
                <w:szCs w:val="21"/>
              </w:rPr>
              <w:t>الدين الرسمي</w:t>
            </w:r>
          </w:p>
        </w:tc>
        <w:tc>
          <w:tcPr>
            <w:tcW w:w="35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134725D4" w14:textId="77777777" w:rsidR="009472FF" w:rsidRDefault="00000000">
            <w:pPr>
              <w:spacing w:line="320" w:lineRule="auto"/>
              <w:jc w:val="right"/>
            </w:pPr>
            <w:r>
              <w:rPr>
                <w:color w:val="2C2C2C"/>
                <w:sz w:val="21"/>
                <w:szCs w:val="21"/>
              </w:rPr>
              <w:t>جهد اللاهوتي الذي يتجاهل قيود العقل البشري</w:t>
            </w:r>
          </w:p>
        </w:tc>
        <w:tc>
          <w:tcPr>
            <w:tcW w:w="3526"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2B82F45C" w14:textId="77777777" w:rsidR="009472FF" w:rsidRDefault="00000000">
            <w:pPr>
              <w:spacing w:line="320" w:lineRule="auto"/>
              <w:jc w:val="right"/>
            </w:pPr>
            <w:r>
              <w:rPr>
                <w:color w:val="2C2C2C"/>
                <w:sz w:val="21"/>
                <w:szCs w:val="21"/>
              </w:rPr>
              <w:t>تجسيد لعمل النفس اللوامة الساعية إلى الحق الخالص</w:t>
            </w:r>
          </w:p>
        </w:tc>
      </w:tr>
      <w:tr w:rsidR="009472FF" w14:paraId="7C968C15" w14:textId="77777777">
        <w:tblPrEx>
          <w:tblCellMar>
            <w:top w:w="0" w:type="dxa"/>
            <w:bottom w:w="0" w:type="dxa"/>
          </w:tblCellMar>
        </w:tblPrEx>
        <w:tc>
          <w:tcPr>
            <w:tcW w:w="20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46E3E0F3" w14:textId="77777777" w:rsidR="009472FF" w:rsidRDefault="00000000">
            <w:pPr>
              <w:spacing w:line="320" w:lineRule="auto"/>
              <w:jc w:val="right"/>
            </w:pPr>
            <w:r>
              <w:rPr>
                <w:color w:val="2C2C2C"/>
                <w:sz w:val="21"/>
                <w:szCs w:val="21"/>
              </w:rPr>
              <w:t>التدين الشعبي</w:t>
            </w:r>
          </w:p>
        </w:tc>
        <w:tc>
          <w:tcPr>
            <w:tcW w:w="35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2F39A877" w14:textId="77777777" w:rsidR="009472FF" w:rsidRDefault="00000000">
            <w:pPr>
              <w:spacing w:line="320" w:lineRule="auto"/>
              <w:jc w:val="right"/>
            </w:pPr>
            <w:r>
              <w:rPr>
                <w:color w:val="2C2C2C"/>
                <w:sz w:val="21"/>
                <w:szCs w:val="21"/>
              </w:rPr>
              <w:t>عودة تلقائية إلى الأنظمة الحدسية الفطرية</w:t>
            </w:r>
          </w:p>
        </w:tc>
        <w:tc>
          <w:tcPr>
            <w:tcW w:w="3526"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52009D12" w14:textId="77777777" w:rsidR="009472FF" w:rsidRDefault="00000000">
            <w:pPr>
              <w:spacing w:line="320" w:lineRule="auto"/>
              <w:jc w:val="right"/>
            </w:pPr>
            <w:r>
              <w:rPr>
                <w:color w:val="2C2C2C"/>
                <w:sz w:val="21"/>
                <w:szCs w:val="21"/>
              </w:rPr>
              <w:t>تجسيد لميول النفس الأمارة نحو الملموس والمحسوس</w:t>
            </w:r>
          </w:p>
        </w:tc>
      </w:tr>
      <w:tr w:rsidR="009472FF" w14:paraId="2C15F823" w14:textId="77777777">
        <w:tblPrEx>
          <w:tblCellMar>
            <w:top w:w="0" w:type="dxa"/>
            <w:bottom w:w="0" w:type="dxa"/>
          </w:tblCellMar>
        </w:tblPrEx>
        <w:tc>
          <w:tcPr>
            <w:tcW w:w="20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36890BF3" w14:textId="77777777" w:rsidR="009472FF" w:rsidRDefault="00000000">
            <w:pPr>
              <w:spacing w:line="320" w:lineRule="auto"/>
              <w:jc w:val="right"/>
            </w:pPr>
            <w:r>
              <w:rPr>
                <w:color w:val="2C2C2C"/>
                <w:sz w:val="21"/>
                <w:szCs w:val="21"/>
              </w:rPr>
              <w:t>حتمية المأساة</w:t>
            </w:r>
          </w:p>
        </w:tc>
        <w:tc>
          <w:tcPr>
            <w:tcW w:w="35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429C2898" w14:textId="77777777" w:rsidR="009472FF" w:rsidRDefault="00000000">
            <w:pPr>
              <w:spacing w:line="320" w:lineRule="auto"/>
              <w:jc w:val="right"/>
            </w:pPr>
            <w:r>
              <w:rPr>
                <w:color w:val="2C2C2C"/>
                <w:sz w:val="21"/>
                <w:szCs w:val="21"/>
              </w:rPr>
              <w:t>شبه حتمية — قدر بيولوجي معرفي</w:t>
            </w:r>
          </w:p>
        </w:tc>
        <w:tc>
          <w:tcPr>
            <w:tcW w:w="3526"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7BCE1559" w14:textId="77777777" w:rsidR="009472FF" w:rsidRDefault="00000000">
            <w:pPr>
              <w:spacing w:line="320" w:lineRule="auto"/>
              <w:jc w:val="right"/>
            </w:pPr>
            <w:r>
              <w:rPr>
                <w:color w:val="2C2C2C"/>
                <w:sz w:val="21"/>
                <w:szCs w:val="21"/>
              </w:rPr>
              <w:t>غير حتمية — يمكن تجاوزها بالتزكية</w:t>
            </w:r>
          </w:p>
        </w:tc>
      </w:tr>
      <w:tr w:rsidR="009472FF" w14:paraId="3ACE8FC7" w14:textId="77777777">
        <w:tblPrEx>
          <w:tblCellMar>
            <w:top w:w="0" w:type="dxa"/>
            <w:bottom w:w="0" w:type="dxa"/>
          </w:tblCellMar>
        </w:tblPrEx>
        <w:tc>
          <w:tcPr>
            <w:tcW w:w="20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61DD137B" w14:textId="77777777" w:rsidR="009472FF" w:rsidRDefault="00000000">
            <w:pPr>
              <w:spacing w:line="320" w:lineRule="auto"/>
              <w:jc w:val="right"/>
            </w:pPr>
            <w:r>
              <w:rPr>
                <w:color w:val="2C2C2C"/>
                <w:sz w:val="21"/>
                <w:szCs w:val="21"/>
              </w:rPr>
              <w:t>الحل المقترح</w:t>
            </w:r>
          </w:p>
        </w:tc>
        <w:tc>
          <w:tcPr>
            <w:tcW w:w="35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79413B6F" w14:textId="77777777" w:rsidR="009472FF" w:rsidRDefault="00000000">
            <w:pPr>
              <w:spacing w:line="320" w:lineRule="auto"/>
              <w:jc w:val="right"/>
            </w:pPr>
            <w:r>
              <w:rPr>
                <w:color w:val="2C2C2C"/>
                <w:sz w:val="21"/>
                <w:szCs w:val="21"/>
              </w:rPr>
              <w:t>لا حل حقيقي؛ إما برج عاجي أو هبوط للعامة</w:t>
            </w:r>
          </w:p>
        </w:tc>
        <w:tc>
          <w:tcPr>
            <w:tcW w:w="3526"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569204CA" w14:textId="77777777" w:rsidR="009472FF" w:rsidRDefault="00000000">
            <w:pPr>
              <w:spacing w:line="320" w:lineRule="auto"/>
              <w:jc w:val="right"/>
            </w:pPr>
            <w:r>
              <w:rPr>
                <w:color w:val="2C2C2C"/>
                <w:sz w:val="21"/>
                <w:szCs w:val="21"/>
              </w:rPr>
              <w:t>تزكية النفس: الفقيه يكتسب الرحمة، الصوفي يكتسب الورع</w:t>
            </w:r>
          </w:p>
        </w:tc>
      </w:tr>
      <w:tr w:rsidR="009472FF" w14:paraId="6AEFBC42" w14:textId="77777777">
        <w:tblPrEx>
          <w:tblCellMar>
            <w:top w:w="0" w:type="dxa"/>
            <w:bottom w:w="0" w:type="dxa"/>
          </w:tblCellMar>
        </w:tblPrEx>
        <w:tc>
          <w:tcPr>
            <w:tcW w:w="20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216E8954" w14:textId="77777777" w:rsidR="009472FF" w:rsidRDefault="00000000">
            <w:pPr>
              <w:spacing w:line="320" w:lineRule="auto"/>
              <w:jc w:val="right"/>
            </w:pPr>
            <w:r>
              <w:rPr>
                <w:color w:val="2C2C2C"/>
                <w:sz w:val="21"/>
                <w:szCs w:val="21"/>
              </w:rPr>
              <w:t>المرجعية</w:t>
            </w:r>
          </w:p>
        </w:tc>
        <w:tc>
          <w:tcPr>
            <w:tcW w:w="3500"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289732A9" w14:textId="77777777" w:rsidR="009472FF" w:rsidRDefault="00000000">
            <w:pPr>
              <w:spacing w:line="320" w:lineRule="auto"/>
              <w:jc w:val="right"/>
            </w:pPr>
            <w:r>
              <w:rPr>
                <w:color w:val="2C2C2C"/>
                <w:sz w:val="21"/>
                <w:szCs w:val="21"/>
              </w:rPr>
              <w:t>أنثروبولوجيا معرفية تطورية — وصفية صرفة</w:t>
            </w:r>
          </w:p>
        </w:tc>
        <w:tc>
          <w:tcPr>
            <w:tcW w:w="3526" w:type="dxa"/>
            <w:tcBorders>
              <w:top w:val="single" w:sz="3" w:space="0" w:color="1B3A6B"/>
              <w:left w:val="single" w:sz="3" w:space="0" w:color="1B3A6B"/>
              <w:bottom w:val="single" w:sz="3" w:space="0" w:color="1B3A6B"/>
              <w:right w:val="single" w:sz="3" w:space="0" w:color="1B3A6B"/>
            </w:tcBorders>
            <w:shd w:val="clear" w:color="auto" w:fill="FFFFFF"/>
            <w:tcMar>
              <w:top w:w="100" w:type="dxa"/>
              <w:left w:w="140" w:type="dxa"/>
              <w:bottom w:w="100" w:type="dxa"/>
              <w:right w:w="140" w:type="dxa"/>
            </w:tcMar>
          </w:tcPr>
          <w:p w14:paraId="4B7F3A63" w14:textId="77777777" w:rsidR="009472FF" w:rsidRDefault="00000000">
            <w:pPr>
              <w:spacing w:line="320" w:lineRule="auto"/>
              <w:jc w:val="right"/>
            </w:pPr>
            <w:r>
              <w:rPr>
                <w:color w:val="2C2C2C"/>
                <w:sz w:val="21"/>
                <w:szCs w:val="21"/>
              </w:rPr>
              <w:t>القرآن والسنة مع الاستفادة من المعرفة المعرفية أداةً لا مصدراً</w:t>
            </w:r>
          </w:p>
        </w:tc>
      </w:tr>
      <w:tr w:rsidR="009472FF" w14:paraId="6B4D2892" w14:textId="77777777">
        <w:tblPrEx>
          <w:tblCellMar>
            <w:top w:w="0" w:type="dxa"/>
            <w:bottom w:w="0" w:type="dxa"/>
          </w:tblCellMar>
        </w:tblPrEx>
        <w:tc>
          <w:tcPr>
            <w:tcW w:w="20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0A161715" w14:textId="77777777" w:rsidR="009472FF" w:rsidRDefault="00000000">
            <w:pPr>
              <w:spacing w:line="320" w:lineRule="auto"/>
              <w:jc w:val="right"/>
            </w:pPr>
            <w:r>
              <w:rPr>
                <w:color w:val="2C2C2C"/>
                <w:sz w:val="21"/>
                <w:szCs w:val="21"/>
              </w:rPr>
              <w:t>الغاية</w:t>
            </w:r>
          </w:p>
        </w:tc>
        <w:tc>
          <w:tcPr>
            <w:tcW w:w="3500"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0C8031B6" w14:textId="77777777" w:rsidR="009472FF" w:rsidRDefault="00000000">
            <w:pPr>
              <w:spacing w:line="320" w:lineRule="auto"/>
              <w:jc w:val="right"/>
            </w:pPr>
            <w:r>
              <w:rPr>
                <w:color w:val="2C2C2C"/>
                <w:sz w:val="21"/>
                <w:szCs w:val="21"/>
              </w:rPr>
              <w:t>فهم آلية استمرار الدين وانتشاره</w:t>
            </w:r>
          </w:p>
        </w:tc>
        <w:tc>
          <w:tcPr>
            <w:tcW w:w="3526" w:type="dxa"/>
            <w:tcBorders>
              <w:top w:val="single" w:sz="3" w:space="0" w:color="1B3A6B"/>
              <w:left w:val="single" w:sz="3" w:space="0" w:color="1B3A6B"/>
              <w:bottom w:val="single" w:sz="3" w:space="0" w:color="1B3A6B"/>
              <w:right w:val="single" w:sz="3" w:space="0" w:color="1B3A6B"/>
            </w:tcBorders>
            <w:shd w:val="clear" w:color="auto" w:fill="D6E4F0"/>
            <w:tcMar>
              <w:top w:w="100" w:type="dxa"/>
              <w:left w:w="140" w:type="dxa"/>
              <w:bottom w:w="100" w:type="dxa"/>
              <w:right w:w="140" w:type="dxa"/>
            </w:tcMar>
          </w:tcPr>
          <w:p w14:paraId="2CFFC59F" w14:textId="77777777" w:rsidR="009472FF" w:rsidRDefault="00000000">
            <w:pPr>
              <w:spacing w:line="320" w:lineRule="auto"/>
              <w:jc w:val="right"/>
            </w:pPr>
            <w:r>
              <w:rPr>
                <w:color w:val="2C2C2C"/>
                <w:sz w:val="21"/>
                <w:szCs w:val="21"/>
              </w:rPr>
              <w:t>تحقيق الاستخلاف والوصول إلى النفس المطمئنة</w:t>
            </w:r>
          </w:p>
        </w:tc>
      </w:tr>
    </w:tbl>
    <w:p w14:paraId="0A1A51A4" w14:textId="77777777" w:rsidR="009472FF" w:rsidRDefault="009472FF">
      <w:pPr>
        <w:spacing w:before="60" w:after="60"/>
      </w:pPr>
    </w:p>
    <w:p w14:paraId="2EBAC9EF" w14:textId="77777777" w:rsidR="009472FF" w:rsidRDefault="00000000">
      <w:pPr>
        <w:pStyle w:val="2"/>
        <w:bidi/>
        <w:jc w:val="right"/>
      </w:pPr>
      <w:r>
        <w:t>3.3  ما يتجاوزه الإطار الاستخلافي</w:t>
      </w:r>
    </w:p>
    <w:p w14:paraId="4EE1A8FE" w14:textId="77777777" w:rsidR="009472FF" w:rsidRDefault="00000000">
      <w:pPr>
        <w:spacing w:before="100" w:after="100" w:line="360" w:lineRule="auto"/>
        <w:jc w:val="right"/>
      </w:pPr>
      <w:r>
        <w:rPr>
          <w:color w:val="2C2C2C"/>
        </w:rPr>
        <w:t>بوير يُقدّم «تشريحاً مادياً» للدين يصف كيف تعمل الأديان بوصفها ظواهر طبيعية. علم النفس الاستخلافي يُقدّم «هندسةً وجودية» تُجيب على السؤال الأعمق: لماذا خُلق الإنسان متديناً، وكيف يمكنه أن يُحقق من خلال هذا التديّن غايته القصوى؟</w:t>
      </w:r>
    </w:p>
    <w:p w14:paraId="421D09F1" w14:textId="77777777" w:rsidR="009472FF" w:rsidRDefault="009472FF">
      <w:pPr>
        <w:spacing w:before="60"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1DF8EBFE" w14:textId="77777777">
        <w:tblPrEx>
          <w:tblCellMar>
            <w:top w:w="0" w:type="dxa"/>
            <w:bottom w:w="0" w:type="dxa"/>
          </w:tblCellMar>
        </w:tblPrEx>
        <w:tc>
          <w:tcPr>
            <w:tcW w:w="9026" w:type="dxa"/>
            <w:tcBorders>
              <w:top w:val="single" w:sz="6" w:space="0" w:color="B8860B"/>
              <w:left w:val="single" w:sz="6" w:space="0" w:color="B8860B"/>
              <w:bottom w:val="single" w:sz="6" w:space="0" w:color="B8860B"/>
              <w:right w:val="single" w:sz="6" w:space="0" w:color="B8860B"/>
            </w:tcBorders>
            <w:shd w:val="clear" w:color="auto" w:fill="FFF8DC"/>
            <w:tcMar>
              <w:top w:w="140" w:type="dxa"/>
              <w:left w:w="260" w:type="dxa"/>
              <w:bottom w:w="140" w:type="dxa"/>
              <w:right w:w="260" w:type="dxa"/>
            </w:tcMar>
          </w:tcPr>
          <w:p w14:paraId="6F132B14" w14:textId="77777777" w:rsidR="009472FF" w:rsidRDefault="00000000">
            <w:pPr>
              <w:spacing w:before="60" w:after="80"/>
              <w:jc w:val="right"/>
            </w:pPr>
            <w:r>
              <w:rPr>
                <w:b/>
                <w:bCs/>
                <w:color w:val="B8860B"/>
              </w:rPr>
              <w:t>الأوجه الثلاثة التي يتجاوز بها الإطار الاستخلافي نموذج بوير</w:t>
            </w:r>
          </w:p>
          <w:p w14:paraId="4D6897E0" w14:textId="77777777" w:rsidR="009472FF" w:rsidRDefault="00000000">
            <w:pPr>
              <w:spacing w:before="60" w:after="60" w:line="340" w:lineRule="auto"/>
              <w:jc w:val="right"/>
            </w:pPr>
            <w:r>
              <w:rPr>
                <w:color w:val="2C2C2C"/>
                <w:sz w:val="22"/>
                <w:szCs w:val="22"/>
              </w:rPr>
              <w:t>الوجه الأول — التعليل لا مجرد التفسير: بوير يُجيب على «كيف»؛ الاستخلافي يُجيب على «لماذا» — وهذا هو السؤال الجوهري للإنسان المتديّن.</w:t>
            </w:r>
          </w:p>
          <w:p w14:paraId="40973EB9" w14:textId="77777777" w:rsidR="009472FF" w:rsidRDefault="00000000">
            <w:pPr>
              <w:spacing w:before="60" w:after="60" w:line="340" w:lineRule="auto"/>
              <w:jc w:val="right"/>
            </w:pPr>
            <w:r>
              <w:rPr>
                <w:color w:val="2C2C2C"/>
                <w:sz w:val="22"/>
                <w:szCs w:val="22"/>
              </w:rPr>
              <w:t>الوجه الثاني — إمكانية التحول الحقيقي: بوير يُقيّد الإنسان بطبيعته المعرفية التطورية؛ الاستخلافي يُفتح أمامه باب التزكية والارتقاء — وهو ما يُثبته علم الأعصاب التشكيلي (neuroplasticity) أيضاً.</w:t>
            </w:r>
          </w:p>
          <w:p w14:paraId="054E0A97" w14:textId="77777777" w:rsidR="009472FF" w:rsidRDefault="00000000">
            <w:pPr>
              <w:spacing w:before="60" w:after="60" w:line="340" w:lineRule="auto"/>
              <w:jc w:val="right"/>
            </w:pPr>
            <w:r>
              <w:rPr>
                <w:color w:val="2C2C2C"/>
                <w:sz w:val="22"/>
                <w:szCs w:val="22"/>
              </w:rPr>
              <w:t>الوجه الثالث — المعيارية الأخلاقية: بوير لا يُميّز بين الدين الحق والدين الباطل؛ الاستخلافي يُقدّم الفطرة والوحي معياريْن للتمييز والتقييم.</w:t>
            </w:r>
          </w:p>
        </w:tc>
      </w:tr>
    </w:tbl>
    <w:p w14:paraId="71823E65" w14:textId="77777777" w:rsidR="009472FF" w:rsidRDefault="009472FF">
      <w:pPr>
        <w:spacing w:before="60" w:after="60"/>
      </w:pPr>
    </w:p>
    <w:p w14:paraId="2CA0A1B4" w14:textId="77777777" w:rsidR="009472FF" w:rsidRDefault="00000000">
      <w:r>
        <w:br w:type="page"/>
      </w:r>
    </w:p>
    <w:p w14:paraId="2968375B" w14:textId="77777777" w:rsidR="009472FF" w:rsidRDefault="00000000">
      <w:pPr>
        <w:pStyle w:val="1"/>
        <w:pBdr>
          <w:bottom w:val="single" w:sz="10" w:space="4" w:color="1B3A6B"/>
        </w:pBdr>
        <w:bidi/>
        <w:jc w:val="right"/>
      </w:pPr>
      <w:r>
        <w:t>خاتمة: تجاوز المأساة بالتزكية</w:t>
      </w:r>
    </w:p>
    <w:p w14:paraId="1E20640B" w14:textId="77777777" w:rsidR="009472FF" w:rsidRDefault="00000000">
      <w:pPr>
        <w:spacing w:before="100" w:after="100" w:line="360" w:lineRule="auto"/>
        <w:jc w:val="right"/>
      </w:pPr>
      <w:r>
        <w:rPr>
          <w:color w:val="2C2C2C"/>
        </w:rPr>
        <w:t>قدّم باسكال بوير مفهوم «مأساة اللاهوتي» بوصفه أداةً تحليليةً بالغة الثاقبية لتفسير فجوة حقيقية وعميقة بين الدين الرسمي والتدين الشعبي. وقد كشف — عن طريق الأنثروبولوجيا المعرفية — أن هذه الفجوة ليست مؤامرة نخبوية، ولا أثراً جانبياً للسياسة الدينية، بل هي بنيوية في الطبيعة البشرية ذاتها.</w:t>
      </w:r>
    </w:p>
    <w:p w14:paraId="5BAAC67F" w14:textId="77777777" w:rsidR="009472FF" w:rsidRDefault="009472FF">
      <w:pPr>
        <w:spacing w:before="60" w:after="60"/>
      </w:pPr>
    </w:p>
    <w:p w14:paraId="418DE16F" w14:textId="77777777" w:rsidR="009472FF" w:rsidRDefault="00000000">
      <w:pPr>
        <w:spacing w:before="100" w:after="100" w:line="360" w:lineRule="auto"/>
        <w:jc w:val="right"/>
      </w:pPr>
      <w:r>
        <w:rPr>
          <w:color w:val="2C2C2C"/>
        </w:rPr>
        <w:t>غير أن قراءة علم النفس الاستخلافي لهذه المأساة تُفتح أفقاً أوسع وأعمق: المأساة ليست قدراً بيولوجياً-معرفياً محتوماً كما يوحي بوير، بل هي تجسيد لصراع بنيوي في النفس الإنسانية بين حاجتها إلى العمق (النفس اللوامة) وحاجتها إلى الحضور الحسي (النفس الأمارة). هذا الصراع جزء لا يُنكر من اختبار الإنسان في الدنيا.</w:t>
      </w:r>
    </w:p>
    <w:p w14:paraId="7B0E3D5B" w14:textId="77777777" w:rsidR="009472FF" w:rsidRDefault="009472FF">
      <w:pPr>
        <w:spacing w:before="60" w:after="60"/>
      </w:pPr>
    </w:p>
    <w:p w14:paraId="6C54CAAF" w14:textId="77777777" w:rsidR="009472FF" w:rsidRDefault="00000000">
      <w:pPr>
        <w:spacing w:before="100" w:after="100" w:line="360" w:lineRule="auto"/>
        <w:jc w:val="right"/>
      </w:pPr>
      <w:r>
        <w:rPr>
          <w:color w:val="2C2C2C"/>
        </w:rPr>
        <w:t>والحل — الذي يعجز بوير عن تقديمه داخل إطاره المادي — هو تزكية النفس على المستويين: أن يكتسب الفقيه رحمة الصوفي، وأن يكتسب الصوفي ورع الفقيه، حتى يرتقيا معاً إلى مقام النفس المطمئنة: تلك النفس التي عبدت الله بعلم الفقيه وذوق الصوفي، بقلب حاضر وعقل متبصر، بلا تناقض ولا مأساة.</w:t>
      </w:r>
    </w:p>
    <w:p w14:paraId="0BF09ABB" w14:textId="77777777" w:rsidR="009472FF" w:rsidRDefault="009472FF">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472FF" w14:paraId="04B2C58B" w14:textId="77777777">
        <w:tblPrEx>
          <w:tblCellMar>
            <w:top w:w="0" w:type="dxa"/>
            <w:bottom w:w="0" w:type="dxa"/>
          </w:tblCellMar>
        </w:tblPrEx>
        <w:tc>
          <w:tcPr>
            <w:tcW w:w="9026" w:type="dxa"/>
            <w:tcBorders>
              <w:top w:val="single" w:sz="8" w:space="0" w:color="B8860B"/>
              <w:left w:val="single" w:sz="8" w:space="0" w:color="B8860B"/>
              <w:bottom w:val="single" w:sz="8" w:space="0" w:color="B8860B"/>
              <w:right w:val="single" w:sz="8" w:space="0" w:color="B8860B"/>
            </w:tcBorders>
            <w:shd w:val="clear" w:color="auto" w:fill="FFF8DC"/>
            <w:tcMar>
              <w:top w:w="180" w:type="dxa"/>
              <w:left w:w="280" w:type="dxa"/>
              <w:bottom w:w="180" w:type="dxa"/>
              <w:right w:w="280" w:type="dxa"/>
            </w:tcMar>
          </w:tcPr>
          <w:p w14:paraId="286CB4DA" w14:textId="77777777" w:rsidR="009472FF" w:rsidRDefault="00000000">
            <w:pPr>
              <w:spacing w:before="60" w:after="80"/>
              <w:jc w:val="center"/>
            </w:pPr>
            <w:r>
              <w:rPr>
                <w:b/>
                <w:bCs/>
                <w:color w:val="4A3000"/>
                <w:sz w:val="28"/>
                <w:szCs w:val="28"/>
              </w:rPr>
              <w:t>قُلْ إِنَّ صَلَاتِي وَنُسُكِي وَمَحْيَايَ وَمَمَاتِي لِلَّهِ رَبِّ الْعَالَمِينَ</w:t>
            </w:r>
          </w:p>
          <w:p w14:paraId="6D62DC85" w14:textId="77777777" w:rsidR="009472FF" w:rsidRDefault="00000000">
            <w:pPr>
              <w:spacing w:before="40" w:after="60"/>
              <w:jc w:val="center"/>
            </w:pPr>
            <w:r>
              <w:rPr>
                <w:i/>
                <w:iCs/>
                <w:color w:val="B8860B"/>
                <w:sz w:val="22"/>
                <w:szCs w:val="22"/>
              </w:rPr>
              <w:t>سورة الأنعام: 162</w:t>
            </w:r>
          </w:p>
        </w:tc>
      </w:tr>
    </w:tbl>
    <w:p w14:paraId="59511646" w14:textId="77777777" w:rsidR="009472FF" w:rsidRDefault="009472FF">
      <w:pPr>
        <w:spacing w:before="60" w:after="60"/>
      </w:pPr>
    </w:p>
    <w:p w14:paraId="16D05ECA" w14:textId="77777777" w:rsidR="009472FF" w:rsidRDefault="00000000">
      <w:pPr>
        <w:spacing w:before="100" w:after="100" w:line="360" w:lineRule="auto"/>
        <w:jc w:val="right"/>
      </w:pPr>
      <w:r>
        <w:rPr>
          <w:color w:val="2C2C2C"/>
        </w:rPr>
        <w:t>هذه الآية الكريمة تُجسّد بلاغة الوصول إلى النفس المطمئنة التي جمعت في بوتقة واحدة الصلاة (شعيرة الفقيه) والنسك (ذوق الصوفي) والحياة والممات — كل ذلك لله وحده، بلا ثنائية ولا تناقض. وهذه هي الغاية التي يضعها علم النفس الاستخلافي نصب عينيه في كل مسعاه.</w:t>
      </w:r>
    </w:p>
    <w:p w14:paraId="52D11950" w14:textId="77777777" w:rsidR="009472FF" w:rsidRDefault="009472FF">
      <w:pPr>
        <w:spacing w:before="60" w:after="60"/>
      </w:pPr>
    </w:p>
    <w:p w14:paraId="3AC4F92A" w14:textId="77777777" w:rsidR="009472FF" w:rsidRDefault="00000000">
      <w:r>
        <w:br w:type="page"/>
      </w:r>
    </w:p>
    <w:p w14:paraId="319797B3" w14:textId="77777777" w:rsidR="009472FF" w:rsidRDefault="00000000">
      <w:pPr>
        <w:pStyle w:val="1"/>
        <w:pBdr>
          <w:bottom w:val="single" w:sz="10" w:space="4" w:color="1B3A6B"/>
        </w:pBdr>
        <w:bidi/>
        <w:jc w:val="right"/>
      </w:pPr>
      <w:r>
        <w:t>قائمة المراجع والمصادر</w:t>
      </w:r>
    </w:p>
    <w:p w14:paraId="1FA386E5" w14:textId="77777777" w:rsidR="009472FF" w:rsidRDefault="00000000">
      <w:pPr>
        <w:pStyle w:val="2"/>
        <w:bidi/>
        <w:jc w:val="right"/>
      </w:pPr>
      <w:r>
        <w:t>أولاً — المصادر الفرنسية والإنجليزية</w:t>
      </w:r>
    </w:p>
    <w:p w14:paraId="5F7AC300" w14:textId="77777777" w:rsidR="009472FF" w:rsidRDefault="00000000">
      <w:pPr>
        <w:spacing w:before="100" w:after="100" w:line="360" w:lineRule="auto"/>
        <w:jc w:val="right"/>
      </w:pPr>
      <w:r>
        <w:rPr>
          <w:color w:val="2C2C2C"/>
        </w:rPr>
        <w:t>Boyer, P. (2001). Religion Explained: The Evolutionary Origins of Religious Thought. New York: Basic Books. [pp. 287–310 pour le concept de «tragédie du théologien»; pp. 295–298 pour les quatre étapes; p. 306 pour le soufisme].</w:t>
      </w:r>
    </w:p>
    <w:p w14:paraId="0397BF9B" w14:textId="77777777" w:rsidR="009472FF" w:rsidRDefault="009472FF">
      <w:pPr>
        <w:spacing w:before="60" w:after="60"/>
      </w:pPr>
    </w:p>
    <w:p w14:paraId="6F9E404C" w14:textId="77777777" w:rsidR="009472FF" w:rsidRDefault="00000000">
      <w:pPr>
        <w:spacing w:before="100" w:after="100" w:line="360" w:lineRule="auto"/>
        <w:jc w:val="right"/>
      </w:pPr>
      <w:r>
        <w:rPr>
          <w:color w:val="2C2C2C"/>
        </w:rPr>
        <w:t>Boyer, P. (2001). Et l'homme créa les dieux: Comment expliquer la religion [Traduction française]. Paris: Robert Laffont.</w:t>
      </w:r>
    </w:p>
    <w:p w14:paraId="25159D25" w14:textId="77777777" w:rsidR="009472FF" w:rsidRDefault="009472FF">
      <w:pPr>
        <w:spacing w:before="60" w:after="60"/>
      </w:pPr>
    </w:p>
    <w:p w14:paraId="493A5FBE" w14:textId="77777777" w:rsidR="009472FF" w:rsidRDefault="00000000">
      <w:pPr>
        <w:spacing w:before="100" w:after="100" w:line="360" w:lineRule="auto"/>
        <w:jc w:val="right"/>
      </w:pPr>
      <w:r>
        <w:rPr>
          <w:color w:val="2C2C2C"/>
        </w:rPr>
        <w:t>Boyer, P. (2003). La religion comme phénomène naturel. In: P. Boyer (dir.), Pourquoi croyons-nous? (pp. 115–132). Paris: Le Pommier. [pp. 124–128 pour l'application à l'Islam et au soufisme].</w:t>
      </w:r>
    </w:p>
    <w:p w14:paraId="5F77EAEA" w14:textId="77777777" w:rsidR="009472FF" w:rsidRDefault="009472FF">
      <w:pPr>
        <w:spacing w:before="60" w:after="60"/>
      </w:pPr>
    </w:p>
    <w:p w14:paraId="167C0C9F" w14:textId="77777777" w:rsidR="009472FF" w:rsidRDefault="00000000">
      <w:pPr>
        <w:spacing w:before="100" w:after="100" w:line="360" w:lineRule="auto"/>
        <w:jc w:val="right"/>
      </w:pPr>
      <w:r>
        <w:rPr>
          <w:color w:val="2C2C2C"/>
        </w:rPr>
        <w:t>Boyer, P. (1994). The Naturalness of Religious Ideas: A Cognitive Theory of Religion. Berkeley: University of California Press.</w:t>
      </w:r>
    </w:p>
    <w:p w14:paraId="2FFCDBAC" w14:textId="77777777" w:rsidR="009472FF" w:rsidRDefault="009472FF">
      <w:pPr>
        <w:spacing w:before="60" w:after="60"/>
      </w:pPr>
    </w:p>
    <w:p w14:paraId="128419E6" w14:textId="77777777" w:rsidR="009472FF" w:rsidRDefault="00000000">
      <w:pPr>
        <w:spacing w:before="100" w:after="100" w:line="360" w:lineRule="auto"/>
        <w:jc w:val="right"/>
      </w:pPr>
      <w:r>
        <w:rPr>
          <w:color w:val="2C2C2C"/>
        </w:rPr>
        <w:t>Sperber, D. (1996). Explaining Culture: A Naturalistic Approach. Oxford: Blackwell.</w:t>
      </w:r>
    </w:p>
    <w:p w14:paraId="70E239CF" w14:textId="77777777" w:rsidR="009472FF" w:rsidRDefault="009472FF">
      <w:pPr>
        <w:spacing w:before="60" w:after="60"/>
      </w:pPr>
    </w:p>
    <w:p w14:paraId="31D0AF50" w14:textId="77777777" w:rsidR="009472FF" w:rsidRDefault="00000000">
      <w:pPr>
        <w:spacing w:before="100" w:after="100" w:line="360" w:lineRule="auto"/>
        <w:jc w:val="right"/>
      </w:pPr>
      <w:r>
        <w:rPr>
          <w:color w:val="2C2C2C"/>
        </w:rPr>
        <w:t>Atran, S. (2002). In Gods We Trust: The Evolutionary Landscape of Religion. Oxford: Oxford University Press.</w:t>
      </w:r>
    </w:p>
    <w:p w14:paraId="2DE2664E" w14:textId="77777777" w:rsidR="009472FF" w:rsidRDefault="009472FF">
      <w:pPr>
        <w:spacing w:before="60" w:after="60"/>
      </w:pPr>
    </w:p>
    <w:p w14:paraId="617B9ACC" w14:textId="77777777" w:rsidR="009472FF" w:rsidRDefault="00000000">
      <w:pPr>
        <w:pStyle w:val="2"/>
        <w:bidi/>
        <w:jc w:val="right"/>
      </w:pPr>
      <w:r>
        <w:t>ثانياً — المصادر العربية والتراثية</w:t>
      </w:r>
    </w:p>
    <w:p w14:paraId="5DEE637E" w14:textId="77777777" w:rsidR="009472FF" w:rsidRDefault="00000000">
      <w:pPr>
        <w:spacing w:before="100" w:after="100" w:line="360" w:lineRule="auto"/>
        <w:jc w:val="right"/>
      </w:pPr>
      <w:r>
        <w:rPr>
          <w:color w:val="2C2C2C"/>
        </w:rPr>
        <w:t>الزراع، عبد السلام. (2023). علم النفس الاستخلافي: نموذج الأضلاع الثمانية (الأطروحة الاستخلافية). الصفحات الرئيسية: 108 (الفطرة)، 205–207 (مستويات النفس)، 1061–1062 (التزكية)، 1102–1104 (الاستخلاف والدين)، 1162، 1250.</w:t>
      </w:r>
    </w:p>
    <w:p w14:paraId="1D6BBB62" w14:textId="77777777" w:rsidR="009472FF" w:rsidRDefault="009472FF">
      <w:pPr>
        <w:spacing w:before="60" w:after="60"/>
      </w:pPr>
    </w:p>
    <w:p w14:paraId="49005393" w14:textId="77777777" w:rsidR="009472FF" w:rsidRDefault="00000000">
      <w:pPr>
        <w:spacing w:before="100" w:after="100" w:line="360" w:lineRule="auto"/>
        <w:jc w:val="right"/>
      </w:pPr>
      <w:r>
        <w:rPr>
          <w:color w:val="2C2C2C"/>
        </w:rPr>
        <w:t>المحاسبي، الحارث بن أسد. (القرن 3هـ). الرعاية لحقوق الله. تحقيق: عبد القادر أحمد عطا. بيروت: دار الكتب العلمية. [ص 156–160: نظرية الخاطر الشيطاني وأثره في الحياة الروحية].</w:t>
      </w:r>
    </w:p>
    <w:p w14:paraId="2C93185A" w14:textId="77777777" w:rsidR="009472FF" w:rsidRDefault="009472FF">
      <w:pPr>
        <w:spacing w:before="60" w:after="60"/>
      </w:pPr>
    </w:p>
    <w:p w14:paraId="221A0864" w14:textId="77777777" w:rsidR="009472FF" w:rsidRDefault="00000000">
      <w:pPr>
        <w:spacing w:before="100" w:after="100" w:line="360" w:lineRule="auto"/>
        <w:jc w:val="right"/>
      </w:pPr>
      <w:r>
        <w:rPr>
          <w:color w:val="2C2C2C"/>
        </w:rPr>
        <w:t>ابن القيم الجوزية، محمد بن أبي بكر. (د.ت). مدارج السالكين بين منازل إياك نعبد وإياك نستعين. تحقيق: محمد المعتصم بالله البغدادي. بيروت: دار الكتاب العربي. [ج1، ص 112–115: مراتب الجهاد والنفس اللوامة].</w:t>
      </w:r>
    </w:p>
    <w:p w14:paraId="5BC0BA0B" w14:textId="77777777" w:rsidR="009472FF" w:rsidRDefault="009472FF">
      <w:pPr>
        <w:spacing w:before="60" w:after="60"/>
      </w:pPr>
    </w:p>
    <w:p w14:paraId="0BAE3069" w14:textId="77777777" w:rsidR="009472FF" w:rsidRDefault="00000000">
      <w:pPr>
        <w:spacing w:before="100" w:after="100" w:line="360" w:lineRule="auto"/>
        <w:jc w:val="right"/>
      </w:pPr>
      <w:r>
        <w:rPr>
          <w:color w:val="2C2C2C"/>
        </w:rPr>
        <w:t>الغزالي، أبو حامد محمد. إحياء علوم الدين. بيروت: دار المعرفة. [ربع العبادات والمهلكات — أساس في فهم الدين الرسمي والتجربة الروحية].</w:t>
      </w:r>
    </w:p>
    <w:p w14:paraId="3483DBA6" w14:textId="77777777" w:rsidR="009472FF" w:rsidRDefault="009472FF">
      <w:pPr>
        <w:spacing w:before="60" w:after="60"/>
      </w:pPr>
    </w:p>
    <w:p w14:paraId="418E4F4A" w14:textId="77777777" w:rsidR="009472FF" w:rsidRDefault="00000000">
      <w:pPr>
        <w:spacing w:before="100" w:after="100" w:line="360" w:lineRule="auto"/>
        <w:jc w:val="right"/>
      </w:pPr>
      <w:r>
        <w:rPr>
          <w:color w:val="2C2C2C"/>
        </w:rPr>
        <w:t>ابن تيمية، أحمد. الفتاوى الكبرى. ج11 (الصوفية). [النقد الفقهي للتصوف من داخل التراث].</w:t>
      </w:r>
    </w:p>
    <w:p w14:paraId="0B849783" w14:textId="77777777" w:rsidR="009472FF" w:rsidRDefault="009472FF">
      <w:pPr>
        <w:spacing w:before="60" w:after="60"/>
      </w:pPr>
    </w:p>
    <w:p w14:paraId="78B536F5" w14:textId="77777777" w:rsidR="009472FF" w:rsidRDefault="00000000">
      <w:pPr>
        <w:spacing w:before="100" w:after="100" w:line="360" w:lineRule="auto"/>
        <w:jc w:val="right"/>
      </w:pPr>
      <w:r>
        <w:rPr>
          <w:color w:val="2C2C2C"/>
        </w:rPr>
        <w:t>ابن خلدون، عبد الرحمن. المقدمة. الفصل السادس: في العلوم ومحترفاتها. [تحليل تاريخي لتعارض المؤسسة الدينية والتصوف في الحضارة الإسلامية].</w:t>
      </w:r>
    </w:p>
    <w:p w14:paraId="5B0A41F3" w14:textId="77777777" w:rsidR="009472FF" w:rsidRDefault="009472FF">
      <w:pPr>
        <w:spacing w:before="60" w:after="60"/>
      </w:pPr>
    </w:p>
    <w:p w14:paraId="3390E52A" w14:textId="77777777" w:rsidR="009472FF" w:rsidRDefault="009472FF">
      <w:pPr>
        <w:spacing w:before="60" w:after="60"/>
      </w:pPr>
    </w:p>
    <w:p w14:paraId="58B44696" w14:textId="77777777" w:rsidR="009472FF" w:rsidRDefault="00000000">
      <w:pPr>
        <w:jc w:val="center"/>
      </w:pPr>
      <w:r>
        <w:rPr>
          <w:i/>
          <w:iCs/>
          <w:color w:val="0E7C7B"/>
          <w:sz w:val="26"/>
          <w:szCs w:val="26"/>
        </w:rPr>
        <w:t>وما توفيقي إلا بالله، عليه توكلت وإليه أنيب</w:t>
      </w:r>
    </w:p>
    <w:sectPr w:rsidR="009472FF">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F1AD" w14:textId="77777777" w:rsidR="008C5A3A" w:rsidRDefault="008C5A3A">
      <w:r>
        <w:separator/>
      </w:r>
    </w:p>
  </w:endnote>
  <w:endnote w:type="continuationSeparator" w:id="0">
    <w:p w14:paraId="15181570" w14:textId="77777777" w:rsidR="008C5A3A" w:rsidRDefault="008C5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3E77" w14:textId="77777777" w:rsidR="009472FF" w:rsidRDefault="00000000">
    <w:pPr>
      <w:pBdr>
        <w:top w:val="single" w:sz="4" w:space="2" w:color="B8860B"/>
      </w:pBdr>
      <w:jc w:val="center"/>
    </w:pPr>
    <w:r>
      <w:rPr>
        <w:color w:val="0E7C7B"/>
        <w:sz w:val="20"/>
        <w:szCs w:val="20"/>
      </w:rPr>
      <w:t xml:space="preserve">— </w:t>
    </w:r>
    <w:r>
      <w:rPr>
        <w:b/>
        <w:bCs/>
        <w:color w:val="1B3A6B"/>
        <w:sz w:val="20"/>
        <w:szCs w:val="20"/>
      </w:rPr>
      <w:fldChar w:fldCharType="begin"/>
    </w:r>
    <w:r>
      <w:rPr>
        <w:b/>
        <w:bCs/>
        <w:color w:val="1B3A6B"/>
        <w:sz w:val="20"/>
        <w:szCs w:val="20"/>
      </w:rPr>
      <w:instrText>PAGE</w:instrText>
    </w:r>
    <w:r>
      <w:rPr>
        <w:b/>
        <w:bCs/>
        <w:color w:val="1B3A6B"/>
        <w:sz w:val="20"/>
        <w:szCs w:val="20"/>
      </w:rPr>
      <w:fldChar w:fldCharType="separate"/>
    </w:r>
    <w:r>
      <w:rPr>
        <w:b/>
        <w:bCs/>
        <w:color w:val="1B3A6B"/>
        <w:sz w:val="20"/>
        <w:szCs w:val="20"/>
      </w:rPr>
      <w:fldChar w:fldCharType="end"/>
    </w:r>
    <w:r>
      <w:rPr>
        <w:color w:val="0E7C7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55D26" w14:textId="77777777" w:rsidR="008C5A3A" w:rsidRDefault="008C5A3A">
      <w:r>
        <w:separator/>
      </w:r>
    </w:p>
  </w:footnote>
  <w:footnote w:type="continuationSeparator" w:id="0">
    <w:p w14:paraId="2A4E9FA7" w14:textId="77777777" w:rsidR="008C5A3A" w:rsidRDefault="008C5A3A">
      <w:r>
        <w:continuationSeparator/>
      </w:r>
    </w:p>
  </w:footnote>
  <w:footnote w:id="1">
    <w:p w14:paraId="69367C42" w14:textId="77777777" w:rsidR="009472FF" w:rsidRDefault="00000000">
      <w:pPr>
        <w:bidi w:val="0"/>
      </w:pPr>
      <w:r>
        <w:rPr>
          <w:rStyle w:val="a5"/>
        </w:rPr>
        <w:footnoteRef/>
      </w:r>
      <w:r>
        <w:rPr>
          <w:sz w:val="18"/>
          <w:szCs w:val="18"/>
        </w:rPr>
        <w:t>Boyer, P. (2001), pp. 295–298.</w:t>
      </w:r>
    </w:p>
  </w:footnote>
  <w:footnote w:id="2">
    <w:p w14:paraId="6A49E922" w14:textId="77777777" w:rsidR="009472FF" w:rsidRDefault="00000000">
      <w:pPr>
        <w:bidi w:val="0"/>
      </w:pPr>
      <w:r>
        <w:rPr>
          <w:rStyle w:val="a5"/>
        </w:rPr>
        <w:footnoteRef/>
      </w:r>
      <w:r>
        <w:rPr>
          <w:sz w:val="18"/>
          <w:szCs w:val="18"/>
        </w:rPr>
        <w:t>الزراع، عبد السلام. (2023). علم النفس الاستخلافي. ص 108.</w:t>
      </w:r>
    </w:p>
  </w:footnote>
  <w:footnote w:id="3">
    <w:p w14:paraId="3081B28A" w14:textId="77777777" w:rsidR="009472FF" w:rsidRDefault="00000000">
      <w:pPr>
        <w:bidi w:val="0"/>
      </w:pPr>
      <w:r>
        <w:rPr>
          <w:rStyle w:val="a5"/>
        </w:rPr>
        <w:footnoteRef/>
      </w:r>
      <w:r>
        <w:rPr>
          <w:sz w:val="18"/>
          <w:szCs w:val="18"/>
        </w:rPr>
        <w:t>الزراع، عبد السلام. (2023). المرجع السابق. ص 205–207.</w:t>
      </w:r>
    </w:p>
  </w:footnote>
  <w:footnote w:id="4">
    <w:p w14:paraId="7AAB3544" w14:textId="77777777" w:rsidR="009472FF" w:rsidRDefault="00000000">
      <w:pPr>
        <w:bidi w:val="0"/>
      </w:pPr>
      <w:r>
        <w:rPr>
          <w:rStyle w:val="a5"/>
        </w:rPr>
        <w:footnoteRef/>
      </w:r>
      <w:r>
        <w:rPr>
          <w:sz w:val="18"/>
          <w:szCs w:val="18"/>
        </w:rPr>
        <w:t>ابن القيم الجوزية. مدارج السالكين. ج1، ص 112–115.</w:t>
      </w:r>
    </w:p>
  </w:footnote>
  <w:footnote w:id="5">
    <w:p w14:paraId="15276971" w14:textId="77777777" w:rsidR="009472FF" w:rsidRDefault="00000000">
      <w:pPr>
        <w:bidi w:val="0"/>
      </w:pPr>
      <w:r>
        <w:rPr>
          <w:rStyle w:val="a5"/>
        </w:rPr>
        <w:footnoteRef/>
      </w:r>
      <w:r>
        <w:rPr>
          <w:sz w:val="18"/>
          <w:szCs w:val="18"/>
        </w:rPr>
        <w:t>المحاسبي، الحارث. الرعاية لحقوق الله. ص 156–160.</w:t>
      </w:r>
    </w:p>
  </w:footnote>
  <w:footnote w:id="6">
    <w:p w14:paraId="2404D192" w14:textId="77777777" w:rsidR="009472FF" w:rsidRDefault="00000000">
      <w:pPr>
        <w:bidi w:val="0"/>
      </w:pPr>
      <w:r>
        <w:rPr>
          <w:rStyle w:val="a5"/>
        </w:rPr>
        <w:footnoteRef/>
      </w:r>
      <w:r>
        <w:rPr>
          <w:sz w:val="18"/>
          <w:szCs w:val="18"/>
        </w:rPr>
        <w:t>الزراع، عبد السلام. (2023). المرجع السابق. ص 1061–1062.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C7B6" w14:textId="77777777" w:rsidR="009472FF" w:rsidRDefault="00000000">
    <w:pPr>
      <w:pBdr>
        <w:bottom w:val="single" w:sz="4" w:space="2" w:color="B8860B"/>
      </w:pBdr>
      <w:jc w:val="right"/>
    </w:pPr>
    <w:r>
      <w:rPr>
        <w:color w:val="1B3A6B"/>
        <w:sz w:val="20"/>
        <w:szCs w:val="20"/>
      </w:rPr>
      <w:t>مأساة اللاهوتي بين بوير وعلم النفس الاستخلافي</w:t>
    </w:r>
    <w:r>
      <w:rPr>
        <w:color w:val="CCCCCC"/>
        <w:sz w:val="20"/>
        <w:szCs w:val="20"/>
      </w:rPr>
      <w:t xml:space="preserve">   |   </w:t>
    </w:r>
    <w:r>
      <w:rPr>
        <w:i/>
        <w:iCs/>
        <w:color w:val="0E7C7B"/>
        <w:sz w:val="20"/>
        <w:szCs w:val="20"/>
      </w:rPr>
      <w:t>بحث أكاديمي محكّم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F6BC1"/>
    <w:multiLevelType w:val="hybridMultilevel"/>
    <w:tmpl w:val="FFFFFFFF"/>
    <w:lvl w:ilvl="0" w:tplc="57DCF286">
      <w:start w:val="1"/>
      <w:numFmt w:val="bullet"/>
      <w:lvlText w:val="●"/>
      <w:lvlJc w:val="left"/>
      <w:pPr>
        <w:ind w:left="720" w:hanging="360"/>
      </w:pPr>
    </w:lvl>
    <w:lvl w:ilvl="1" w:tplc="A06CE1B8">
      <w:start w:val="1"/>
      <w:numFmt w:val="bullet"/>
      <w:lvlText w:val="○"/>
      <w:lvlJc w:val="left"/>
      <w:pPr>
        <w:ind w:left="1440" w:hanging="360"/>
      </w:pPr>
    </w:lvl>
    <w:lvl w:ilvl="2" w:tplc="CAB0651C">
      <w:start w:val="1"/>
      <w:numFmt w:val="bullet"/>
      <w:lvlText w:val="■"/>
      <w:lvlJc w:val="left"/>
      <w:pPr>
        <w:ind w:left="2160" w:hanging="360"/>
      </w:pPr>
    </w:lvl>
    <w:lvl w:ilvl="3" w:tplc="66183DCC">
      <w:start w:val="1"/>
      <w:numFmt w:val="bullet"/>
      <w:lvlText w:val="●"/>
      <w:lvlJc w:val="left"/>
      <w:pPr>
        <w:ind w:left="2880" w:hanging="360"/>
      </w:pPr>
    </w:lvl>
    <w:lvl w:ilvl="4" w:tplc="0BA07B14">
      <w:start w:val="1"/>
      <w:numFmt w:val="bullet"/>
      <w:lvlText w:val="○"/>
      <w:lvlJc w:val="left"/>
      <w:pPr>
        <w:ind w:left="3600" w:hanging="360"/>
      </w:pPr>
    </w:lvl>
    <w:lvl w:ilvl="5" w:tplc="1968F29C">
      <w:start w:val="1"/>
      <w:numFmt w:val="bullet"/>
      <w:lvlText w:val="■"/>
      <w:lvlJc w:val="left"/>
      <w:pPr>
        <w:ind w:left="4320" w:hanging="360"/>
      </w:pPr>
    </w:lvl>
    <w:lvl w:ilvl="6" w:tplc="F8325D7C">
      <w:start w:val="1"/>
      <w:numFmt w:val="bullet"/>
      <w:lvlText w:val="●"/>
      <w:lvlJc w:val="left"/>
      <w:pPr>
        <w:ind w:left="5040" w:hanging="360"/>
      </w:pPr>
    </w:lvl>
    <w:lvl w:ilvl="7" w:tplc="C6846CDE">
      <w:start w:val="1"/>
      <w:numFmt w:val="bullet"/>
      <w:lvlText w:val="●"/>
      <w:lvlJc w:val="left"/>
      <w:pPr>
        <w:ind w:left="5760" w:hanging="360"/>
      </w:pPr>
    </w:lvl>
    <w:lvl w:ilvl="8" w:tplc="EE3C0C02">
      <w:start w:val="1"/>
      <w:numFmt w:val="bullet"/>
      <w:lvlText w:val="●"/>
      <w:lvlJc w:val="left"/>
      <w:pPr>
        <w:ind w:left="6480" w:hanging="360"/>
      </w:pPr>
    </w:lvl>
  </w:abstractNum>
  <w:num w:numId="1" w16cid:durableId="7503907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5"/>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2FF"/>
    <w:rsid w:val="000B55B5"/>
    <w:rsid w:val="008C5A3A"/>
    <w:rsid w:val="009472FF"/>
    <w:rsid w:val="00DC62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85D9468"/>
  <w15:docId w15:val="{13D3FA99-9011-1D47-A651-581EEE84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spacing w:before="520" w:after="260"/>
      <w:outlineLvl w:val="0"/>
    </w:pPr>
    <w:rPr>
      <w:b/>
      <w:bCs/>
      <w:color w:val="1B3A6B"/>
      <w:sz w:val="36"/>
      <w:szCs w:val="36"/>
    </w:rPr>
  </w:style>
  <w:style w:type="paragraph" w:styleId="2">
    <w:name w:val="heading 2"/>
    <w:uiPriority w:val="9"/>
    <w:unhideWhenUsed/>
    <w:qFormat/>
    <w:pPr>
      <w:spacing w:before="380" w:after="180"/>
      <w:outlineLvl w:val="1"/>
    </w:pPr>
    <w:rPr>
      <w:b/>
      <w:bCs/>
      <w:color w:val="0E7C7B"/>
      <w:sz w:val="30"/>
      <w:szCs w:val="30"/>
    </w:rPr>
  </w:style>
  <w:style w:type="paragraph" w:styleId="3">
    <w:name w:val="heading 3"/>
    <w:uiPriority w:val="9"/>
    <w:unhideWhenUsed/>
    <w:qFormat/>
    <w:pPr>
      <w:spacing w:before="260" w:after="120"/>
      <w:outlineLvl w:val="2"/>
    </w:pPr>
    <w:rPr>
      <w:b/>
      <w:bCs/>
      <w:color w:val="B8860B"/>
      <w:sz w:val="26"/>
      <w:szCs w:val="26"/>
    </w:rPr>
  </w:style>
  <w:style w:type="paragraph" w:styleId="4">
    <w:name w:val="heading 4"/>
    <w:uiPriority w:val="9"/>
    <w:semiHidden/>
    <w:unhideWhenUsed/>
    <w:qFormat/>
    <w:pPr>
      <w:spacing w:before="200" w:after="100"/>
      <w:outlineLvl w:val="3"/>
    </w:pPr>
    <w:rPr>
      <w:b/>
      <w:bCs/>
      <w:color w:val="7B1F2E"/>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2892</Words>
  <Characters>16490</Characters>
  <Application>Microsoft Office Word</Application>
  <DocSecurity>0</DocSecurity>
  <Lines>137</Lines>
  <Paragraphs>38</Paragraphs>
  <ScaleCrop>false</ScaleCrop>
  <Company/>
  <LinksUpToDate>false</LinksUpToDate>
  <CharactersWithSpaces>19344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2026-04-05T17:31:00Z</dcterms:created>
  <dcterms:modified xsi:type="dcterms:W3CDTF">2026-06-23T16:39:00Z</dcterms:modified>
</cp:coreProperties>
</file>