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D1B33" w:val="clear"/>
        <w:bidi/>
        <w:spacing w:after="160" w:before="480"/>
        <w:jc w:val="center"/>
      </w:pPr>
      <w:r>
        <w:rPr>
          <w:rFonts w:ascii="Traditional Arabic" w:cs="Traditional Arabic" w:eastAsia="Traditional Arabic" w:hAnsi="Traditional Arabic"/>
          <w:b/>
          <w:bCs/>
          <w:i w:val="false"/>
          <w:iCs w:val="false"/>
          <w:color w:val="9A7B1A"/>
          <w:sz w:val="22"/>
          <w:szCs w:val="22"/>
        </w:rPr>
        <w:t xml:space="preserve">سلسلة علم النفس الاستخلافي — الإصدار الأكاديمي</w:t>
      </w:r>
    </w:p>
    <w:p>
      <w:pPr>
        <w:bidi/>
        <w:spacing w:after="120" w:before="400"/>
        <w:jc w:val="center"/>
      </w:pPr>
      <w:r>
        <w:rPr>
          <w:rFonts w:ascii="Traditional Arabic" w:cs="Traditional Arabic" w:eastAsia="Traditional Arabic" w:hAnsi="Traditional Arabic"/>
          <w:b/>
          <w:bCs/>
          <w:i w:val="false"/>
          <w:iCs w:val="false"/>
          <w:color w:val="0D1B33"/>
          <w:sz w:val="56"/>
          <w:szCs w:val="56"/>
        </w:rPr>
        <w:t xml:space="preserve">الأسس الإبستيمولوجية والإجرائية</w:t>
      </w:r>
    </w:p>
    <w:p>
      <w:pPr>
        <w:bidi/>
        <w:spacing w:after="80" w:before="80"/>
        <w:jc w:val="center"/>
      </w:pPr>
      <w:r>
        <w:rPr>
          <w:rFonts w:ascii="Traditional Arabic" w:cs="Traditional Arabic" w:eastAsia="Traditional Arabic" w:hAnsi="Traditional Arabic"/>
          <w:b/>
          <w:bCs/>
          <w:i w:val="false"/>
          <w:iCs w:val="false"/>
          <w:color w:val="1A3A6B"/>
          <w:sz w:val="38"/>
          <w:szCs w:val="38"/>
        </w:rPr>
        <w:t xml:space="preserve">لعلم الأعصاب الاستخلافي</w:t>
      </w:r>
    </w:p>
    <w:p>
      <w:pPr>
        <w:bidi w:val="false"/>
        <w:spacing w:after="320" w:before="60"/>
        <w:jc w:val="center"/>
      </w:pPr>
      <w:r>
        <w:rPr>
          <w:rFonts w:ascii="Times New Roman" w:cs="Times New Roman" w:eastAsia="Times New Roman" w:hAnsi="Times New Roman"/>
          <w:b w:val="false"/>
          <w:bCs w:val="false"/>
          <w:i/>
          <w:iCs/>
          <w:color w:val="0A5E5E"/>
          <w:sz w:val="22"/>
          <w:szCs w:val="22"/>
        </w:rPr>
        <w:t xml:space="preserve">Stewardship Neuroscience — Epistemological &amp; Methodological Foundations</w:t>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260"/>
        <w:jc w:val="center"/>
      </w:pPr>
      <w:r>
        <w:rPr>
          <w:rFonts w:ascii="Traditional Arabic" w:cs="Traditional Arabic" w:eastAsia="Traditional Arabic" w:hAnsi="Traditional Arabic"/>
          <w:b/>
          <w:bCs/>
          <w:i w:val="false"/>
          <w:iCs w:val="false"/>
          <w:color w:val="7A1A1A"/>
          <w:sz w:val="28"/>
          <w:szCs w:val="28"/>
        </w:rPr>
        <w:t xml:space="preserve">الفصل المنهجي الكامل — نسخة موسّعة ومعمَّقة</w:t>
      </w:r>
    </w:p>
    <w:p>
      <w:pPr>
        <w:bidi/>
        <w:spacing w:after="60" w:before="60"/>
        <w:jc w:val="center"/>
      </w:pPr>
      <w:r>
        <w:rPr>
          <w:rFonts w:ascii="Traditional Arabic" w:cs="Traditional Arabic" w:eastAsia="Traditional Arabic" w:hAnsi="Traditional Arabic"/>
          <w:b w:val="false"/>
          <w:bCs w:val="false"/>
          <w:i w:val="false"/>
          <w:iCs w:val="false"/>
          <w:color w:val="1A3A6B"/>
          <w:sz w:val="24"/>
          <w:szCs w:val="24"/>
        </w:rPr>
        <w:t xml:space="preserve">ضمن كتاب: من مختبر الدماغ إلى محراب الضمير</w:t>
      </w:r>
    </w:p>
    <w:p>
      <w:pPr>
        <w:pBdr>
          <w:bottom w:val="single" w:color="1A3A6B"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60" w:before="260"/>
        <w:jc w:val="center"/>
      </w:pPr>
      <w:r>
        <w:rPr>
          <w:rFonts w:ascii="Traditional Arabic" w:cs="Traditional Arabic" w:eastAsia="Traditional Arabic" w:hAnsi="Traditional Arabic"/>
          <w:b/>
          <w:bCs/>
          <w:i w:val="false"/>
          <w:iCs w:val="false"/>
          <w:color w:val="0D1B33"/>
          <w:sz w:val="38"/>
          <w:szCs w:val="38"/>
        </w:rPr>
        <w:t xml:space="preserve">أ. عبد السلام الزراع</w:t>
      </w:r>
    </w:p>
    <w:p>
      <w:pPr>
        <w:bidi/>
        <w:spacing w:after="40" w:before="40"/>
        <w:jc w:val="center"/>
      </w:pPr>
      <w:r>
        <w:rPr>
          <w:rFonts w:ascii="Traditional Arabic" w:cs="Traditional Arabic" w:eastAsia="Traditional Arabic" w:hAnsi="Traditional Arabic"/>
          <w:b w:val="false"/>
          <w:bCs w:val="false"/>
          <w:i w:val="false"/>
          <w:iCs w:val="false"/>
          <w:color w:val="1A3A6B"/>
          <w:sz w:val="22"/>
          <w:szCs w:val="22"/>
        </w:rPr>
        <w:t xml:space="preserve">باحث في علم النفس الاستخلافي — مطوّر بروتوكول TLRT</w:t>
      </w:r>
    </w:p>
    <w:p>
      <w:pPr>
        <w:shd w:fill="F4F6F9" w:val="clear"/>
        <w:bidi/>
        <w:spacing w:after="400" w:before="60"/>
        <w:jc w:val="center"/>
      </w:pPr>
      <w:r>
        <w:rPr>
          <w:rFonts w:ascii="Traditional Arabic" w:cs="Traditional Arabic" w:eastAsia="Traditional Arabic" w:hAnsi="Traditional Arabic"/>
          <w:b w:val="false"/>
          <w:bCs w:val="false"/>
          <w:i w:val="false"/>
          <w:iCs w:val="false"/>
          <w:color w:val="9A7B1A"/>
          <w:sz w:val="20"/>
          <w:szCs w:val="20"/>
        </w:rPr>
        <w:t xml:space="preserve">2026م — الطبعة الأكاديمية المنقّحة</w:t>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تمهيد: لماذا فصل منهجي مستقل؟</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Prolegomena — The Necessity of a Standalone Methodological Chapter</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في تاريخ العلوم، ثمة لحظات مفصلية لا تُقدَّم فيها نتائج جديدة، بل تُعاد فيها صياغة الأسئلة ذاتها. حين وضع ديكارت «مقالة في المنهج» (1637م)، لم يكن يُعلن اكتشافًا بعينه، بل كان يُعيد تأسيس كيفية التفكير قبل أن يُعلَن أي اكتشاف. وحين كتب كانط «نقد العقل الخالص» (1781م)، لم يحسم مسألة فلسفية، بل سأل: ما الذي يستطيع العقل معرفته أصلاً؟</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هذا الفصل يسعى إلى القيام بعمل مماثل — بحجم متواضع وروح طموحة — لـ«علم الأعصاب الاستخلافي». إنه يُجيب عن أسئلة تأسيسية أربعة يُطالَب بها كل حقل معرفي ناشئ:</w:t>
      </w:r>
    </w:p>
    <w:p>
      <w:pPr>
        <w:bidi/>
        <w:spacing w:after="80" w:before="80" w:line="360"/>
        <w:ind w:right="360" w:hanging="280"/>
        <w:jc w:val="right"/>
      </w:pPr>
      <w:r>
        <w:rPr>
          <w:rFonts w:ascii="Traditional Arabic" w:cs="Traditional Arabic" w:eastAsia="Traditional Arabic" w:hAnsi="Traditional Arabic"/>
          <w:b/>
          <w:bCs/>
          <w:i w:val="false"/>
          <w:iCs w:val="false"/>
          <w:color w:val="0D1B33"/>
          <w:sz w:val="22"/>
          <w:szCs w:val="22"/>
        </w:rPr>
        <w:t xml:space="preserve">(1) </w:t>
      </w:r>
      <w:r>
        <w:rPr>
          <w:rFonts w:ascii="Traditional Arabic" w:cs="Traditional Arabic" w:eastAsia="Traditional Arabic" w:hAnsi="Traditional Arabic"/>
          <w:b w:val="false"/>
          <w:bCs w:val="false"/>
          <w:i w:val="false"/>
          <w:iCs w:val="false"/>
          <w:color w:val="1A1A1A"/>
          <w:sz w:val="22"/>
          <w:szCs w:val="22"/>
        </w:rPr>
        <w:t xml:space="preserve">من أي مسلّمات ينطلق؟ (الركائز الإبستيمولوجية)</w:t>
      </w:r>
    </w:p>
    <w:p>
      <w:pPr>
        <w:bidi/>
        <w:spacing w:after="80" w:before="80" w:line="360"/>
        <w:ind w:right="360" w:hanging="280"/>
        <w:jc w:val="right"/>
      </w:pPr>
      <w:r>
        <w:rPr>
          <w:rFonts w:ascii="Traditional Arabic" w:cs="Traditional Arabic" w:eastAsia="Traditional Arabic" w:hAnsi="Traditional Arabic"/>
          <w:b/>
          <w:bCs/>
          <w:i w:val="false"/>
          <w:iCs w:val="false"/>
          <w:color w:val="0D1B33"/>
          <w:sz w:val="22"/>
          <w:szCs w:val="22"/>
        </w:rPr>
        <w:t xml:space="preserve">(2) </w:t>
      </w:r>
      <w:r>
        <w:rPr>
          <w:rFonts w:ascii="Traditional Arabic" w:cs="Traditional Arabic" w:eastAsia="Traditional Arabic" w:hAnsi="Traditional Arabic"/>
          <w:b w:val="false"/>
          <w:bCs w:val="false"/>
          <w:i w:val="false"/>
          <w:iCs w:val="false"/>
          <w:color w:val="1A1A1A"/>
          <w:sz w:val="22"/>
          <w:szCs w:val="22"/>
        </w:rPr>
        <w:t xml:space="preserve">كيف يبني استدلاله؟ (منهجية المصادر ومراتبها)</w:t>
      </w:r>
    </w:p>
    <w:p>
      <w:pPr>
        <w:bidi/>
        <w:spacing w:after="80" w:before="80" w:line="360"/>
        <w:ind w:right="360" w:hanging="280"/>
        <w:jc w:val="right"/>
      </w:pPr>
      <w:r>
        <w:rPr>
          <w:rFonts w:ascii="Traditional Arabic" w:cs="Traditional Arabic" w:eastAsia="Traditional Arabic" w:hAnsi="Traditional Arabic"/>
          <w:b/>
          <w:bCs/>
          <w:i w:val="false"/>
          <w:iCs w:val="false"/>
          <w:color w:val="0D1B33"/>
          <w:sz w:val="22"/>
          <w:szCs w:val="22"/>
        </w:rPr>
        <w:t xml:space="preserve">(3) </w:t>
      </w:r>
      <w:r>
        <w:rPr>
          <w:rFonts w:ascii="Traditional Arabic" w:cs="Traditional Arabic" w:eastAsia="Traditional Arabic" w:hAnsi="Traditional Arabic"/>
          <w:b w:val="false"/>
          <w:bCs w:val="false"/>
          <w:i w:val="false"/>
          <w:iCs w:val="false"/>
          <w:color w:val="1A1A1A"/>
          <w:sz w:val="22"/>
          <w:szCs w:val="22"/>
        </w:rPr>
        <w:t xml:space="preserve">بأي أدوات يختبر فروضه؟ (الأدوات السيكومترية والتجريبية)</w:t>
      </w:r>
    </w:p>
    <w:p>
      <w:pPr>
        <w:bidi/>
        <w:spacing w:after="80" w:before="80" w:line="360"/>
        <w:ind w:right="360" w:hanging="280"/>
        <w:jc w:val="right"/>
      </w:pPr>
      <w:r>
        <w:rPr>
          <w:rFonts w:ascii="Traditional Arabic" w:cs="Traditional Arabic" w:eastAsia="Traditional Arabic" w:hAnsi="Traditional Arabic"/>
          <w:b/>
          <w:bCs/>
          <w:i w:val="false"/>
          <w:iCs w:val="false"/>
          <w:color w:val="0D1B33"/>
          <w:sz w:val="22"/>
          <w:szCs w:val="22"/>
        </w:rPr>
        <w:t xml:space="preserve">(4) </w:t>
      </w:r>
      <w:r>
        <w:rPr>
          <w:rFonts w:ascii="Traditional Arabic" w:cs="Traditional Arabic" w:eastAsia="Traditional Arabic" w:hAnsi="Traditional Arabic"/>
          <w:b w:val="false"/>
          <w:bCs w:val="false"/>
          <w:i w:val="false"/>
          <w:iCs w:val="false"/>
          <w:color w:val="1A1A1A"/>
          <w:sz w:val="22"/>
          <w:szCs w:val="22"/>
        </w:rPr>
        <w:t xml:space="preserve">ما الحدود التي يقف عندها فلا يتجاوزها؟ (حدود الحقل وما ليس منه)</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هذا الفصل يُشكّل مع الفصل الخاص بإبستيمولوجيا النيورولاهوت الإسلامي «توأمًا مؤسِّسًا»:</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200"/>
        <w:gridCol w:w="2500"/>
        <w:gridCol w:w="4806"/>
      </w:tblGrid>
      <w:tr>
        <w:trPr>
          <w:tblHeader/>
        </w:trPr>
        <w:tc>
          <w:tcPr>
            <w:tcW w:type="dxa" w:w="22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الفصل</w:t>
            </w:r>
          </w:p>
        </w:tc>
        <w:tc>
          <w:tcPr>
            <w:tcW w:type="dxa" w:w="25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طبيعته</w:t>
            </w:r>
          </w:p>
        </w:tc>
        <w:tc>
          <w:tcPr>
            <w:tcW w:type="dxa" w:w="48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وظيفته في البنية الكلية</w:t>
            </w:r>
          </w:p>
        </w:tc>
      </w:tr>
      <w:tr>
        <w:trPr>
          <w:tblHeader w:val="false"/>
        </w:trPr>
        <w:tc>
          <w:tcPr>
            <w:tcW w:type="dxa" w:w="2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الفصل الإبستيمولوجي</w:t>
            </w:r>
          </w:p>
        </w:tc>
        <w:tc>
          <w:tcPr>
            <w:tcW w:type="dxa" w:w="25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نقد فلسفي</w:t>
            </w:r>
          </w:p>
        </w:tc>
        <w:tc>
          <w:tcPr>
            <w:tcW w:type="dxa" w:w="48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يكشف إشكاليات الإطار الغربي ويُؤصّل للبديل نظريًا</w:t>
            </w:r>
          </w:p>
        </w:tc>
      </w:tr>
      <w:tr>
        <w:trPr>
          <w:tblHeader w:val="false"/>
        </w:trPr>
        <w:tc>
          <w:tcPr>
            <w:tcW w:type="dxa" w:w="2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الفصل المنهجي (الحاضر)</w:t>
            </w:r>
          </w:p>
        </w:tc>
        <w:tc>
          <w:tcPr>
            <w:tcW w:type="dxa" w:w="25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بناء إجرائي</w:t>
            </w:r>
          </w:p>
        </w:tc>
        <w:tc>
          <w:tcPr>
            <w:tcW w:type="dxa" w:w="48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يُرسي البديل خطواتٍ بحثية وأدواتٍ وبروتوكولاتٍ قابلة للتطبيق</w:t>
            </w:r>
          </w:p>
        </w:tc>
      </w:tr>
    </w:tbl>
    <w:p>
      <w:pPr>
        <w:spacing w:after="0" w:before="10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والقارئ الذي يتجاوز هذا الفصل بحثًا عن «المضمون» يُشبه من يدخل المختبر دون أن يقرأ بروتوكول السلامة — قد يصل إلى نتائج، لكنه لن يعرف إن كانت موثوقة.</w:t>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المبحث الأول: إشكالية المصطلح ومسوّغاته</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Section I — The Terminological Problem &amp; Its Justifications</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1.1 نقد «النيورولاهوت»: ما الخلل في المصطلح المتداول؟</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في الطبعة الأولى من هذا الكتاب، استُعمل مصطلح «النيورولاهوت الإسلامي» (Islamic Neurotheology) اضطرارًا، لكونه المصطلح المتداول أكاديميًا. غير أن التأمل النقدي الدقيق كشف عن ثلاث إشكاليات جوهرية — لا اثنتين كما ذكرنا في النسخة الأولى — تستدعي المراجعة:</w:t>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الإشكالية الأولى: الاشتباه اللاهوتي — Category Mistake</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كلمة «لاهوت» (Theology) في أصلها اليوناني تعني «الكلام في الله» (Logos + Theos)، غير أنها في الاستعمال الأكاديمي الغربي تحمل إرث الجدل الكلامي المسيحي المحدد: طبيعة المسيح (لاهوته وناسوته)، ومفهوم الثالوث، والعلاقة بين الكنيسة والإيمان. إسقاط هذا المصطلح على الإطار المعرفي الإسلامي يُوقع ما يُسميه المناطقة «خطأ الإسقاط المقولي» (Category Mistake): نُسقِط على الإسلام مفهومًا نشأ لوصف الإشكالية المسيحية.</w:t>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الإشكالية الثانية: المسلّمة الاختزالية المضمَرة — Hidden Reductionist Assumption</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المصطلح كما استقر في الممارسة الأكاديمية — من أندرو نيوبرغ (Newberg &amp; d'Aquili, 2001) وريتشارد دوكنز في نقيضه حتى اليوم — ينطوي على مسلّمة فلسفية غير مُعلَنة: «التجربة الدينية» ظاهرة عصبية قابلة للتفسير الكامل. الشعور الديني الخشوع الذي يصفه المصلّي يُختزَل في «نشاط الفص الجداري الأعلى الأيمن».</w:t>
      </w:r>
    </w:p>
    <w:p>
      <w:pPr>
        <w:pBdr>
          <w:right w:val="single" w:color="0A5E5E" w:sz="10" w:space="4"/>
        </w:pBdr>
        <w:shd w:fill="EDF7F7" w:val="clear"/>
        <w:bidi/>
        <w:spacing w:after="100" w:before="100" w:line="360"/>
        <w:ind w:left="440" w:right="440"/>
        <w:jc w:val="right"/>
      </w:pPr>
      <w:r>
        <w:rPr>
          <w:rFonts w:ascii="Traditional Arabic" w:cs="Traditional Arabic" w:eastAsia="Traditional Arabic" w:hAnsi="Traditional Arabic"/>
          <w:b w:val="false"/>
          <w:bCs w:val="false"/>
          <w:i/>
          <w:iCs/>
          <w:color w:val="0A5E5E"/>
          <w:sz w:val="22"/>
          <w:szCs w:val="22"/>
        </w:rPr>
        <w:t xml:space="preserve">يقول نيوبرغ بوضوح: «اللحظة الصوفية ليست سوى نشاط مكثف في منطقة الارتباط الجداري». (Newberg &amp; d'Aquili, 2001, p. 28) — وهذا بالضبط ما ترفضه منهجية علم الأعصاب الاستخلافي.</w:t>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الإشكالية الثالثة: غياب الأجندة التطبيقية — Absence of Therapeutic Telos</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النيورولاهوت كحقل يكتفي في الغالب بالتوصيف («ماذا يحدث في الدماغ أثناء التجربة الدينية؟») دون الانتقال إلى السؤال العلاجي («كيف نستثمر هذه المعرفة لإعادة بناء الصحة النفسية؟»). وهذا الغياب ليس نقصًا عارضًا، بل نتيجة طبيعية لمسلّمة الاختزال: إذا كانت التجربة الروحية مجرد ظاهرة عصبية، فلا يوجد ما يُستعاد سوى نشاط عصبي مُبهَج.</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1.2 المصطلح البديل: علم الأعصاب الاستخلافي — Stewardship Neuroscience</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لهذه الإشكاليات الثلاث، يُستبدَل بالمصطلح القديم مصطلح «علم الأعصاب الاستخلافي» (Stewardship Neuroscience)، وذلك لوجاهات ثلاث مقابلة: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وجاهة سلبية: يتحرر من الإرث اللاهوتي المسيحي ومن الاختزالية المضمَرة.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وجاهة إيجابية: يصرّح بالمرجعية الاستخلافية القرآنية بوصفها نقطة انطلاق، لا حكمًا مسبقًا.</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وجاهة تطبيقية: يُفتح الباب — من داخل المصطلح ذاته — على الأجندة العلاجية الاستعادية.</w:t>
      </w:r>
    </w:p>
    <w:p>
      <w:pPr>
        <w:spacing w:after="0" w:before="100"/>
      </w:pPr>
      <w:r>
        <w:rPr>
          <w:rFonts w:ascii="Traditional Arabic" w:cs="Traditional Arabic" w:eastAsia="Traditional Arabic" w:hAnsi="Traditional Arabic"/>
          <w:b w:val="false"/>
          <w:bCs w:val="false"/>
          <w:i w:val="false"/>
          <w:iCs w:val="false"/>
          <w:color w:val="1A1A1A"/>
          <w:sz w:val="24"/>
          <w:szCs w:val="24"/>
        </w:rP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000"/>
        <w:gridCol w:w="3700"/>
        <w:gridCol w:w="3806"/>
      </w:tblGrid>
      <w:tr>
        <w:trPr>
          <w:tblHeader/>
        </w:trPr>
        <w:tc>
          <w:tcPr>
            <w:tcW w:type="dxa" w:w="20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وجه المقارنة</w:t>
            </w:r>
          </w:p>
        </w:tc>
        <w:tc>
          <w:tcPr>
            <w:tcW w:type="dxa" w:w="37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النيورولاهوت — بصيغته الغربية</w:t>
            </w:r>
          </w:p>
        </w:tc>
        <w:tc>
          <w:tcPr>
            <w:tcW w:type="dxa" w:w="38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علم الأعصاب الاستخلافي — المقترح</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المسلّمة الأساسية</w:t>
            </w:r>
          </w:p>
        </w:tc>
        <w:tc>
          <w:tcPr>
            <w:tcW w:type="dxa" w:w="37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التجربة الدينية ظاهرة عصبية قابلة للاختزال</w:t>
            </w:r>
          </w:p>
        </w:tc>
        <w:tc>
          <w:tcPr>
            <w:tcW w:type="dxa" w:w="38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الدماغ آية خِلقة مصمَّمة لتمكين الخلافة</w:t>
            </w:r>
          </w:p>
        </w:tc>
      </w:tr>
      <w:tr>
        <w:trPr>
          <w:tblHeader w:val="false"/>
        </w:trPr>
        <w:tc>
          <w:tcPr>
            <w:tcW w:type="dxa" w:w="2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الغرض</w:t>
            </w:r>
          </w:p>
        </w:tc>
        <w:tc>
          <w:tcPr>
            <w:tcW w:type="dxa" w:w="37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تفسير الإيمان والتجربة الروحية عصبيًا</w:t>
            </w:r>
          </w:p>
        </w:tc>
        <w:tc>
          <w:tcPr>
            <w:tcW w:type="dxa" w:w="38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فهم التصميم العصبي لوظائف الاستخلاف</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الاتجاه المعرفي</w:t>
            </w:r>
          </w:p>
        </w:tc>
        <w:tc>
          <w:tcPr>
            <w:tcW w:type="dxa" w:w="37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من الدماغ → إلى الدين (تصاعدي اختزالي)</w:t>
            </w:r>
          </w:p>
        </w:tc>
        <w:tc>
          <w:tcPr>
            <w:tcW w:type="dxa" w:w="38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من الوحي ↔ إلى الدماغ (تكاملي ثنائي الاتجاه)</w:t>
            </w:r>
          </w:p>
        </w:tc>
      </w:tr>
      <w:tr>
        <w:trPr>
          <w:tblHeader w:val="false"/>
        </w:trPr>
        <w:tc>
          <w:tcPr>
            <w:tcW w:type="dxa" w:w="2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موقف النص</w:t>
            </w:r>
          </w:p>
        </w:tc>
        <w:tc>
          <w:tcPr>
            <w:tcW w:type="dxa" w:w="37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شاهد ثقافي لا معرفي</w:t>
            </w:r>
          </w:p>
        </w:tc>
        <w:tc>
          <w:tcPr>
            <w:tcW w:type="dxa" w:w="38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مصدر معرفي أول يُحاور العلم ولا يستعبده</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الأجندة العلاجية</w:t>
            </w:r>
          </w:p>
        </w:tc>
        <w:tc>
          <w:tcPr>
            <w:tcW w:type="dxa" w:w="37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غائبة أو ثانوية</w:t>
            </w:r>
          </w:p>
        </w:tc>
        <w:tc>
          <w:tcPr>
            <w:tcW w:type="dxa" w:w="38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محورية — تزكية الدماغ واستعادة الكفايات</w:t>
            </w:r>
          </w:p>
        </w:tc>
      </w:tr>
      <w:tr>
        <w:trPr>
          <w:tblHeader w:val="false"/>
        </w:trPr>
        <w:tc>
          <w:tcPr>
            <w:tcW w:type="dxa" w:w="2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قابلية التفنيد</w:t>
            </w:r>
          </w:p>
        </w:tc>
        <w:tc>
          <w:tcPr>
            <w:tcW w:type="dxa" w:w="37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ضعيفة (توصيفية في معظمها)</w:t>
            </w:r>
          </w:p>
        </w:tc>
        <w:tc>
          <w:tcPr>
            <w:tcW w:type="dxa" w:w="38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عالية — فرضيات تجريبية بصياغة إجرائية دقيقة</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1.3 التعريف الإجرائي الكامل</w:t>
      </w:r>
    </w:p>
    <w:p>
      <w:pPr>
        <w:pBdr>
          <w:top w:val="single" w:color="1A5535" w:sz="3"/>
          <w:left w:val="single" w:color="1A5535" w:sz="3"/>
          <w:bottom w:val="single" w:color="1A5535" w:sz="3"/>
          <w:right w:val="single" w:color="1A5535" w:sz="10"/>
        </w:pBdr>
        <w:shd w:fill="EDF5E8" w:val="clear"/>
        <w:bidi/>
        <w:spacing w:after="140" w:before="140" w:line="360"/>
        <w:ind w:left="220" w:right="220"/>
        <w:jc w:val="right"/>
      </w:pPr>
      <w:r>
        <w:rPr>
          <w:rFonts w:ascii="Traditional Arabic" w:cs="Traditional Arabic" w:eastAsia="Traditional Arabic" w:hAnsi="Traditional Arabic"/>
          <w:b/>
          <w:bCs/>
          <w:i w:val="false"/>
          <w:iCs w:val="false"/>
          <w:color w:val="1A5535"/>
          <w:sz w:val="23"/>
          <w:szCs w:val="23"/>
        </w:rPr>
        <w:t xml:space="preserve">علم الأعصاب الاستخلافي (Stewardship Neuroscience): حقل معرفي تكاملي يدرس الدماغ البشري — شبكاته وبُناه وديناميكياته — من مسلّمة أن تصميمه العصبي يحمل آثار «الفطرة الاستخلافية» التي أخبر عنها الوحي القرآني. ويقوم على فرضية «التناظر الوظيفي» بين مستويات النفس في النموذج الهرمي القرآني وشبكات الدماغ الرئيسية. وغايته التطبيقية استعادة حيوية البنى العصبية المسؤولة عن وظائف الخلافة عند اختلالها، عبر بروتوكولات «تزكية الدماغ».</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يتضمن هذا التعريف ثلاثة عناصر متلازمة لا يُقرأ أيٌّ منها بمعزل عن الآخر: (أ) الموضوع: الدماغ وشبكاته؛ (ب) المسلّمة: الفطرة الاستخلافية؛ (ج) الغاية: استعادة وظائف الخلافة. وهذا التلازم هو ما يجعل الحقل «نموذجًا» بالمعنى الكوهني (Kuhnian Paradigm)، لا مجرد تطبيق ديني للعلوم العصبية.</w:t>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المبحث الثاني: الركائز الإبستيمولوجية الأربع — شرح وتعمّق</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Section II — The Four Epistemological Pillars</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ينهض علم الأعصاب الاستخلافي على أربع ركائز إبستيمولوجية تُشكّل معًا «القاعدة الفلسفية» للنموذج. وتمييزها عن بعض ضروري، لأن كل ركيزة تترتب عليها متضمَّنات منهجية مستقلة:</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2.1 مبدأ الاستخلاف العصبي — Principle of Neural Stewardship</w:t>
      </w:r>
    </w:p>
    <w:p>
      <w:pPr>
        <w:pBdr>
          <w:top w:val="single" w:color="1A3A6B" w:sz="3"/>
          <w:left w:val="single" w:color="1A3A6B" w:sz="3"/>
          <w:bottom w:val="single" w:color="1A3A6B" w:sz="3"/>
          <w:right w:val="single" w:color="1A3A6B" w:sz="10"/>
        </w:pBdr>
        <w:shd w:fill="F0F4FF" w:val="clear"/>
        <w:bidi/>
        <w:spacing w:after="140" w:before="140" w:line="360"/>
        <w:ind w:left="220" w:right="220"/>
        <w:jc w:val="right"/>
      </w:pPr>
      <w:r>
        <w:rPr>
          <w:rFonts w:ascii="Traditional Arabic" w:cs="Traditional Arabic" w:eastAsia="Traditional Arabic" w:hAnsi="Traditional Arabic"/>
          <w:b w:val="false"/>
          <w:bCs w:val="false"/>
          <w:i w:val="false"/>
          <w:iCs w:val="false"/>
          <w:color w:val="1A3A6B"/>
          <w:sz w:val="23"/>
          <w:szCs w:val="23"/>
        </w:rPr>
        <w:t xml:space="preserve">التعريف الإجرائي: البنية العصبية للدماغ البشري ليست نتاجًا لصدفة تطورية عمياء، بل هي مصمَّمة وفق مقتضيات مهمة الاستخلاف: مهيّأة خلقيًا للنهوض بوظائف الوعي الذاتي، والمحاسبة الأخلاقية، والتعاطف، وبناء المعنى، والتفكير الغائي.</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هذا المبدأ ليس «إضافة إيمانية» تُزيَّن بها الفروض العلمية، بل هو موقف إبستيمولوجي يُغيّر طريقة السؤال ذاتها. العلم العصبي التقليدي يسأل: «كيف نشأت هذه الوظيفة؟». علم الأعصاب الاستخلافي يسأل بالإضافة: «لأيّ غرض استخلافي صُمِّمت؟». وهذان السؤالان لا يتناقضان — الأول تاريخي وصفي، والثاني غائي تفسيري.</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أبرز المتضمَّنات المنهجية: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البحث عن الكفايات العصبية التي تُؤهِّل الإنسان للخلافة، لا مجرد وصف الاستجابات للمثيرات الخارجية.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رفض القراءات التشاؤمية للدماغ بوصفه «آلة معيبة» أو «بقايا تطورية»، والبحث عن الحكمة الكامنة في تصميمه.</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ربط «الآية الكونية» (البنية العصبية) بـ«آيات الأنفس» (إشارات الوحي) في إطار قرائي تكاملي.</w:t>
      </w:r>
    </w:p>
    <w:p>
      <w:pPr>
        <w:pBdr>
          <w:right w:val="single" w:color="1A3A6B" w:sz="6" w:space="4"/>
        </w:pBdr>
        <w:shd w:fill="F0F8FF" w:val="clear"/>
        <w:bidi/>
        <w:spacing w:after="100" w:before="100" w:line="360"/>
        <w:ind w:left="300" w:right="300"/>
        <w:jc w:val="right"/>
      </w:pPr>
      <w:r>
        <w:rPr>
          <w:rFonts w:ascii="Traditional Arabic" w:cs="Traditional Arabic" w:eastAsia="Traditional Arabic" w:hAnsi="Traditional Arabic"/>
          <w:b/>
          <w:bCs/>
          <w:i w:val="false"/>
          <w:iCs w:val="false"/>
          <w:color w:val="1A3A6B"/>
          <w:sz w:val="21"/>
          <w:szCs w:val="21"/>
        </w:rPr>
        <w:t xml:space="preserve">ملاحظة: </w:t>
      </w:r>
      <w:r>
        <w:rPr>
          <w:rFonts w:ascii="Traditional Arabic" w:cs="Traditional Arabic" w:eastAsia="Traditional Arabic" w:hAnsi="Traditional Arabic"/>
          <w:b w:val="false"/>
          <w:bCs w:val="false"/>
          <w:i/>
          <w:iCs/>
          <w:color w:val="1A2A4A"/>
          <w:sz w:val="21"/>
          <w:szCs w:val="21"/>
        </w:rPr>
        <w:t xml:space="preserve">هذا المبدأ لا يدّعي أن نظرية التطور خاطئة، بل يُضيف إليها سؤالًا مكمّلًا هو السؤال الغائي (Teleological Question). فكلا المستويين — الوصف التطوري والغاية الاستخلافية — قد يكونان صحيحين معًا.</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2.2 مبدأ التكامل المعرفي — Principle of Epistemic Integration</w:t>
      </w:r>
    </w:p>
    <w:p>
      <w:pPr>
        <w:pBdr>
          <w:top w:val="single" w:color="1A3A6B" w:sz="3"/>
          <w:left w:val="single" w:color="1A3A6B" w:sz="3"/>
          <w:bottom w:val="single" w:color="1A3A6B" w:sz="3"/>
          <w:right w:val="single" w:color="1A3A6B" w:sz="10"/>
        </w:pBdr>
        <w:shd w:fill="F0F4FF" w:val="clear"/>
        <w:bidi/>
        <w:spacing w:after="140" w:before="140" w:line="360"/>
        <w:ind w:left="220" w:right="220"/>
        <w:jc w:val="right"/>
      </w:pPr>
      <w:r>
        <w:rPr>
          <w:rFonts w:ascii="Traditional Arabic" w:cs="Traditional Arabic" w:eastAsia="Traditional Arabic" w:hAnsi="Traditional Arabic"/>
          <w:b w:val="false"/>
          <w:bCs w:val="false"/>
          <w:i w:val="false"/>
          <w:iCs w:val="false"/>
          <w:color w:val="1A3A6B"/>
          <w:sz w:val="23"/>
          <w:szCs w:val="23"/>
        </w:rPr>
        <w:t xml:space="preserve">التعريف الإجرائي: الوحي والعلم العصبي مصدران متكاملان للمعرفة، لا متصارعان. الوحي يُخبر عن طبيعة النفس ومستوياتها وغايتها، والعلم العصبي يكشف عن الآليات المادية التي تتحقق من خلالها هذه المستويات. وكلاهما يُقرأ في ضوء الآخر — بلا إسقاط من هذا على ذاك.</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هذا المبدأ أصعب تطبيقًا مما يبدو، لأنه يشترط على الباحث إتقان «لغتين» معرفيتين متمايزتين في آنٍ واحد. وكثيرًا ما يقع المتحمسون للتكامل في أحد خطأين متناقضين:</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506"/>
      </w:tblGrid>
      <w:tr>
        <w:trPr>
          <w:tblHeader/>
        </w:trPr>
        <w:tc>
          <w:tcPr>
            <w:tcW w:type="dxa" w:w="2000"/>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الخطأ</w:t>
            </w:r>
          </w:p>
        </w:tc>
        <w:tc>
          <w:tcPr>
            <w:tcW w:type="dxa" w:w="4000"/>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التوصيف</w:t>
            </w:r>
          </w:p>
        </w:tc>
        <w:tc>
          <w:tcPr>
            <w:tcW w:type="dxa" w:w="3506"/>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المثال النموذجي</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الإسقاط الديني</w:t>
            </w:r>
          </w:p>
        </w:tc>
        <w:tc>
          <w:tcPr>
            <w:tcW w:type="dxa" w:w="4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استخدام الآية القرآنية لـ«إثبات» نتيجة علمية معينة</w:t>
            </w:r>
          </w:p>
        </w:tc>
        <w:tc>
          <w:tcPr>
            <w:tcW w:type="dxa" w:w="35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«الرنين المغناطيسي يُثبت صحة الآية رقم كذا»</w:t>
            </w:r>
          </w:p>
        </w:tc>
      </w:tr>
      <w:tr>
        <w:trPr>
          <w:tblHeader w:val="false"/>
        </w:trPr>
        <w:tc>
          <w:tcPr>
            <w:tcW w:type="dxa" w:w="2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الاختزال العلمي</w:t>
            </w:r>
          </w:p>
        </w:tc>
        <w:tc>
          <w:tcPr>
            <w:tcW w:type="dxa" w:w="4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تفسير المفهوم القرآني تفسيرًا ماديًا مباشرًا</w:t>
            </w:r>
          </w:p>
        </w:tc>
        <w:tc>
          <w:tcPr>
            <w:tcW w:type="dxa" w:w="35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«النفس اللوّامة هي مجرد نشاط الـ mPFC»</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التوازي غير المُبرَّر</w:t>
            </w:r>
          </w:p>
        </w:tc>
        <w:tc>
          <w:tcPr>
            <w:tcW w:type="dxa" w:w="4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التأكيد على «الانسجام» دون إثبات تناظر فعلي</w:t>
            </w:r>
          </w:p>
        </w:tc>
        <w:tc>
          <w:tcPr>
            <w:tcW w:type="dxa" w:w="35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«الإسلام والعلم يتفقان دائمًا» — بلا تفصيل</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المسار الصحيح وفق هذا المبدأ: الوحي يُعطي الإطار العام والمفاهيم الكلية، والعلم يُفصّل الآليات الجزئية. والأداة التي تربطهما هي «التناظر الوظيفي» — ليس التطابق الكامل.</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2.3 فرضية التناظر الوظيفي — Functional Correspondence Hypothesis</w:t>
      </w:r>
    </w:p>
    <w:p>
      <w:pPr>
        <w:pBdr>
          <w:top w:val="single" w:color="9A7B1A" w:sz="3"/>
          <w:left w:val="single" w:color="9A7B1A" w:sz="3"/>
          <w:bottom w:val="single" w:color="9A7B1A" w:sz="3"/>
          <w:right w:val="single" w:color="9A7B1A" w:sz="10"/>
        </w:pBdr>
        <w:shd w:fill="FFF8E8" w:val="clear"/>
        <w:bidi/>
        <w:spacing w:after="140" w:before="140" w:line="360"/>
        <w:ind w:left="220" w:right="220"/>
        <w:jc w:val="right"/>
      </w:pPr>
      <w:r>
        <w:rPr>
          <w:rFonts w:ascii="Traditional Arabic" w:cs="Traditional Arabic" w:eastAsia="Traditional Arabic" w:hAnsi="Traditional Arabic"/>
          <w:b w:val="false"/>
          <w:bCs w:val="false"/>
          <w:i w:val="false"/>
          <w:iCs w:val="false"/>
          <w:color w:val="9A7B1A"/>
          <w:sz w:val="23"/>
          <w:szCs w:val="23"/>
        </w:rPr>
        <w:t xml:space="preserve">التعريف الإجرائي: لكل مستوى من مستويات النفس في النموذج الهرمي القرآني معادلٌ عصبيٌ رئيس، يمكن رصده بأدوات التصوير العصبي والفيزيولوجيا الكهربائية، ويمكن قياس حيويته بمقاييس سيكومترية ذات مرجعية قرآنية.</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هذه الفرضية هي الفرضية العلمية المركزية للكتاب. ومن الأهمية القصوى التمييز الدقيق بين ما تقوله وما لا تقوله:</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753"/>
        <w:gridCol w:w="4753"/>
      </w:tblGrid>
      <w:tr>
        <w:trPr>
          <w:tblHeader/>
        </w:trPr>
        <w:tc>
          <w:tcPr>
            <w:tcW w:type="dxa" w:w="4753"/>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ما تقوله الفرضية</w:t>
            </w:r>
          </w:p>
        </w:tc>
        <w:tc>
          <w:tcPr>
            <w:tcW w:type="dxa" w:w="4753"/>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ما لا تقوله الفرضية</w:t>
            </w:r>
          </w:p>
        </w:tc>
      </w:tr>
      <w:tr>
        <w:trPr>
          <w:tblHeader w:val="false"/>
        </w:trPr>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DMN هي الركيزة العصبية الرئيسة لوظائف النفس اللوّامة (محاسبة — تأمل — ربط زماني)</w:t>
            </w:r>
          </w:p>
        </w:tc>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DMN «هي» النفس اللوّامة بمعناها الروحي الكامل</w:t>
            </w:r>
          </w:p>
        </w:tc>
      </w:tr>
      <w:tr>
        <w:trPr>
          <w:tblHeader w:val="false"/>
        </w:trPr>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ثمة تناظر وظيفي قابل للقياس بين الشبكات الدماغية ومستويات النفس</w:t>
            </w:r>
          </w:p>
        </w:tc>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الشبكات الدماغية تستنفد تفسير النفس استنفادًا كاملًا</w:t>
            </w:r>
          </w:p>
        </w:tc>
      </w:tr>
      <w:tr>
        <w:trPr>
          <w:tblHeader w:val="false"/>
        </w:trPr>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الفرضية قابلة للتفنيد وتُختبَر تجريبيًا</w:t>
            </w:r>
          </w:p>
        </w:tc>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هذا التناظر حقيقة مطلقة لا تقبل مراجعة</w:t>
            </w:r>
          </w:p>
        </w:tc>
      </w:tr>
      <w:tr>
        <w:trPr>
          <w:tblHeader w:val="false"/>
        </w:trPr>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الأثر الإيجابي للصلاة على DMN يمثّل آلية مادية لأثر روحي معروف</w:t>
            </w:r>
          </w:p>
        </w:tc>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الصلاة «مجرد» تمرين عصبي بلا بُعد روحي</w:t>
            </w:r>
          </w:p>
        </w:tc>
      </w:tr>
    </w:tbl>
    <w:p>
      <w:pPr>
        <w:spacing w:after="0" w:before="12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وكما أكد كارل بوبر، شرط العلمية هو «قابلية التفنيد» (Falsifiability). فإن لم تكن الفرضية قابلة للتفنيد، فهي ليست فرضية علمية بل موقف ميتافيزيقي. والجدول الآتي يُحدد بدقة كيف يمكن تفنيد هذه الفرضية:</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3106"/>
      </w:tblGrid>
      <w:tr>
        <w:trPr>
          <w:tblHeader/>
        </w:trPr>
        <w:tc>
          <w:tcPr>
            <w:tcW w:type="dxa" w:w="32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سيناريو النتيجة</w:t>
            </w:r>
          </w:p>
        </w:tc>
        <w:tc>
          <w:tcPr>
            <w:tcW w:type="dxa" w:w="32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التفسير الإجرائي</w:t>
            </w:r>
          </w:p>
        </w:tc>
        <w:tc>
          <w:tcPr>
            <w:tcW w:type="dxa" w:w="31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الاستجابة المنهجية المطلوبة</w:t>
            </w:r>
          </w:p>
        </w:tc>
      </w:tr>
      <w:tr>
        <w:trPr>
          <w:tblHeader w:val="false"/>
        </w:trPr>
        <w:tc>
          <w:tcPr>
            <w:tcW w:type="dxa" w:w="3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ارتباط موجب دال (p &lt; .05) بين نشاط DMN ومقاييس اللوّامة</w:t>
            </w:r>
          </w:p>
        </w:tc>
        <w:tc>
          <w:tcPr>
            <w:tcW w:type="dxa" w:w="3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تُدعَّم الفرضية — تؤكّد التناظر الوظيفي</w:t>
            </w:r>
          </w:p>
        </w:tc>
        <w:tc>
          <w:tcPr>
            <w:tcW w:type="dxa" w:w="3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الاحتفاظ بالفرضية وتطوير تطبيقاتها</w:t>
            </w:r>
          </w:p>
        </w:tc>
      </w:tr>
      <w:tr>
        <w:trPr>
          <w:tblHeader w:val="false"/>
        </w:trPr>
        <w:tc>
          <w:tcPr>
            <w:tcW w:type="dxa" w:w="3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غياب الارتباط الدال في دراسات مضبوطة متعددة</w:t>
            </w:r>
          </w:p>
        </w:tc>
        <w:tc>
          <w:tcPr>
            <w:tcW w:type="dxa" w:w="3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تُضعَّف الفرضية — التناظر غير مُثبَت</w:t>
            </w:r>
          </w:p>
        </w:tc>
        <w:tc>
          <w:tcPr>
            <w:tcW w:type="dxa" w:w="31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مراجعة المفاهيم — هل الأداة سليمة؟ هل العينة مناسبة؟</w:t>
            </w:r>
          </w:p>
        </w:tc>
      </w:tr>
      <w:tr>
        <w:trPr>
          <w:tblHeader w:val="false"/>
        </w:trPr>
        <w:tc>
          <w:tcPr>
            <w:tcW w:type="dxa" w:w="3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ارتباط سالب دال — كلما زاد نشاط DMN قلّت اللوّامة</w:t>
            </w:r>
          </w:p>
        </w:tc>
        <w:tc>
          <w:tcPr>
            <w:tcW w:type="dxa" w:w="3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تُفنَّد الفرضية — الفهم الحالي مغلوط</w:t>
            </w:r>
          </w:p>
        </w:tc>
        <w:tc>
          <w:tcPr>
            <w:tcW w:type="dxa" w:w="3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مراجعة جذرية — هل اللوّامة في بنية عصبية مختلفة؟</w:t>
            </w:r>
          </w:p>
        </w:tc>
      </w:tr>
      <w:tr>
        <w:trPr>
          <w:tblHeader w:val="false"/>
        </w:trPr>
        <w:tc>
          <w:tcPr>
            <w:tcW w:type="dxa" w:w="3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ارتباط موجب لبعض الأبعاد دون أخرى</w:t>
            </w:r>
          </w:p>
        </w:tc>
        <w:tc>
          <w:tcPr>
            <w:tcW w:type="dxa" w:w="3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الفرضية جزئية — التناظر انتقائي لا شامل</w:t>
            </w:r>
          </w:p>
        </w:tc>
        <w:tc>
          <w:tcPr>
            <w:tcW w:type="dxa" w:w="31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تكييف الفرضية لتعكس التفاوت بين الأبعاد</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2.4 مبدأ الغائية العلاجية — Principle of Therapeutic Teleology</w:t>
      </w:r>
    </w:p>
    <w:p>
      <w:pPr>
        <w:pBdr>
          <w:top w:val="single" w:color="7A1A1A" w:sz="3"/>
          <w:left w:val="single" w:color="7A1A1A" w:sz="3"/>
          <w:bottom w:val="single" w:color="7A1A1A" w:sz="3"/>
          <w:right w:val="single" w:color="7A1A1A" w:sz="10"/>
        </w:pBdr>
        <w:shd w:fill="FFF0F0" w:val="clear"/>
        <w:bidi/>
        <w:spacing w:after="140" w:before="140" w:line="360"/>
        <w:ind w:left="220" w:right="220"/>
        <w:jc w:val="right"/>
      </w:pPr>
      <w:r>
        <w:rPr>
          <w:rFonts w:ascii="Traditional Arabic" w:cs="Traditional Arabic" w:eastAsia="Traditional Arabic" w:hAnsi="Traditional Arabic"/>
          <w:b w:val="false"/>
          <w:bCs w:val="false"/>
          <w:i w:val="false"/>
          <w:iCs w:val="false"/>
          <w:color w:val="7A1A1A"/>
          <w:sz w:val="23"/>
          <w:szCs w:val="23"/>
        </w:rPr>
        <w:t xml:space="preserve">التعريف الإجرائي: التطبيق العلاجي للمعرفة العصبية في هذا النموذج لا يهدف إلى مجرد «تحسين الأداء الوظيفي» أو «تخفيف الأعراض»، بل يهدف إلى استعادة فاعلية البنى العصبية في أداء وظائفها الاستخلافية. الغاية القصوى: «الخليفة الفاعل» لا «الوظيفي المنتج».</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هذا المبدأ يُميّز علم الأعصاب الاستخلافي عن علم الأعصاب العلاجي التقليدي بفارق جوهري: إطار الهدف العلاجي. في الطب النفسي المعياري، الهدف هو «اختفاء الأعراض». وفي علم النفس الإيجابي، الهدف هو «الانتعاش والازدهار» (Flourishing). أما هنا، فالهدف هو «الخلافة الفاعلة» — أي قدرة الإنسان على حمل أمانة الاستخلاف في حياته.</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000"/>
        <w:gridCol w:w="3500"/>
        <w:gridCol w:w="3006"/>
      </w:tblGrid>
      <w:tr>
        <w:trPr>
          <w:tblHeader/>
        </w:trPr>
        <w:tc>
          <w:tcPr>
            <w:tcW w:type="dxa" w:w="3000"/>
            <w:tcBorders>
              <w:top w:val="single" w:color="CCCCCC" w:sz="4"/>
              <w:left w:val="single" w:color="CCCCCC" w:sz="4"/>
              <w:bottom w:val="single" w:color="CCCCCC" w:sz="4"/>
              <w:right w:val="single" w:color="CCCCCC" w:sz="4"/>
            </w:tcBorders>
            <w:shd w:fill="7A1A1A"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الإطار العلاجي</w:t>
            </w:r>
          </w:p>
        </w:tc>
        <w:tc>
          <w:tcPr>
            <w:tcW w:type="dxa" w:w="3500"/>
            <w:tcBorders>
              <w:top w:val="single" w:color="CCCCCC" w:sz="4"/>
              <w:left w:val="single" w:color="CCCCCC" w:sz="4"/>
              <w:bottom w:val="single" w:color="CCCCCC" w:sz="4"/>
              <w:right w:val="single" w:color="CCCCCC" w:sz="4"/>
            </w:tcBorders>
            <w:shd w:fill="7A1A1A"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مقياس النجاح</w:t>
            </w:r>
          </w:p>
        </w:tc>
        <w:tc>
          <w:tcPr>
            <w:tcW w:type="dxa" w:w="3006"/>
            <w:tcBorders>
              <w:top w:val="single" w:color="CCCCCC" w:sz="4"/>
              <w:left w:val="single" w:color="CCCCCC" w:sz="4"/>
              <w:bottom w:val="single" w:color="CCCCCC" w:sz="4"/>
              <w:right w:val="single" w:color="CCCCCC" w:sz="4"/>
            </w:tcBorders>
            <w:shd w:fill="7A1A1A"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المرجعية الفلسفية</w:t>
            </w:r>
          </w:p>
        </w:tc>
      </w:tr>
      <w:tr>
        <w:trPr>
          <w:tblHeader w:val="false"/>
        </w:trPr>
        <w:tc>
          <w:tcPr>
            <w:tcW w:type="dxa" w:w="3000"/>
            <w:tcBorders>
              <w:top w:val="single" w:color="CCCCCC" w:sz="4"/>
              <w:left w:val="single" w:color="CCCCCC" w:sz="4"/>
              <w:bottom w:val="single" w:color="CCCCCC" w:sz="4"/>
              <w:right w:val="single" w:color="CCCCCC" w:sz="4"/>
            </w:tcBorders>
            <w:shd w:fill="FFF0F0"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الطب النفسي المعياري</w:t>
            </w:r>
          </w:p>
        </w:tc>
        <w:tc>
          <w:tcPr>
            <w:tcW w:type="dxa" w:w="3500"/>
            <w:tcBorders>
              <w:top w:val="single" w:color="CCCCCC" w:sz="4"/>
              <w:left w:val="single" w:color="CCCCCC" w:sz="4"/>
              <w:bottom w:val="single" w:color="CCCCCC" w:sz="4"/>
              <w:right w:val="single" w:color="CCCCCC" w:sz="4"/>
            </w:tcBorders>
            <w:shd w:fill="FFF0F0"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اختفاء الأعراض الإكلينيكية</w:t>
            </w:r>
          </w:p>
        </w:tc>
        <w:tc>
          <w:tcPr>
            <w:tcW w:type="dxa" w:w="3006"/>
            <w:tcBorders>
              <w:top w:val="single" w:color="CCCCCC" w:sz="4"/>
              <w:left w:val="single" w:color="CCCCCC" w:sz="4"/>
              <w:bottom w:val="single" w:color="CCCCCC" w:sz="4"/>
              <w:right w:val="single" w:color="CCCCCC" w:sz="4"/>
            </w:tcBorders>
            <w:shd w:fill="FFF0F0"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الصحة النفسية كغياب المرض</w:t>
            </w:r>
          </w:p>
        </w:tc>
      </w:tr>
      <w:tr>
        <w:trPr>
          <w:tblHeader w:val="false"/>
        </w:trPr>
        <w:tc>
          <w:tcPr>
            <w:tcW w:type="dxa" w:w="3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علم النفس الإيجابي</w:t>
            </w:r>
          </w:p>
        </w:tc>
        <w:tc>
          <w:tcPr>
            <w:tcW w:type="dxa" w:w="35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الازدهار والرفاهية الذاتية (Well-being)</w:t>
            </w:r>
          </w:p>
        </w:tc>
        <w:tc>
          <w:tcPr>
            <w:tcW w:type="dxa" w:w="30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السعادة كهدف أقصى</w:t>
            </w:r>
          </w:p>
        </w:tc>
      </w:tr>
      <w:tr>
        <w:trPr>
          <w:tblHeader w:val="false"/>
        </w:trPr>
        <w:tc>
          <w:tcPr>
            <w:tcW w:type="dxa" w:w="3000"/>
            <w:tcBorders>
              <w:top w:val="single" w:color="CCCCCC" w:sz="4"/>
              <w:left w:val="single" w:color="CCCCCC" w:sz="4"/>
              <w:bottom w:val="single" w:color="CCCCCC" w:sz="4"/>
              <w:right w:val="single" w:color="CCCCCC" w:sz="4"/>
            </w:tcBorders>
            <w:shd w:fill="FFF0F0"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علم الأعصاب الاستخلافي — TLRT</w:t>
            </w:r>
          </w:p>
        </w:tc>
        <w:tc>
          <w:tcPr>
            <w:tcW w:type="dxa" w:w="3500"/>
            <w:tcBorders>
              <w:top w:val="single" w:color="CCCCCC" w:sz="4"/>
              <w:left w:val="single" w:color="CCCCCC" w:sz="4"/>
              <w:bottom w:val="single" w:color="CCCCCC" w:sz="4"/>
              <w:right w:val="single" w:color="CCCCCC" w:sz="4"/>
            </w:tcBorders>
            <w:shd w:fill="FFF0F0"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استعادة الكفايات الاستخلافية (DMN-HI)</w:t>
            </w:r>
          </w:p>
        </w:tc>
        <w:tc>
          <w:tcPr>
            <w:tcW w:type="dxa" w:w="3006"/>
            <w:tcBorders>
              <w:top w:val="single" w:color="CCCCCC" w:sz="4"/>
              <w:left w:val="single" w:color="CCCCCC" w:sz="4"/>
              <w:bottom w:val="single" w:color="CCCCCC" w:sz="4"/>
              <w:right w:val="single" w:color="CCCCCC" w:sz="4"/>
            </w:tcBorders>
            <w:shd w:fill="FFF0F0"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الخلافة الفاعلة كهدف وجودي</w:t>
            </w:r>
          </w:p>
        </w:tc>
      </w:tr>
    </w:tbl>
    <w:p>
      <w:pPr>
        <w:spacing w:after="0" w:before="120"/>
      </w:pPr>
      <w:r>
        <w:rPr>
          <w:rFonts w:ascii="Traditional Arabic" w:cs="Traditional Arabic" w:eastAsia="Traditional Arabic" w:hAnsi="Traditional Arabic"/>
          <w:b w:val="false"/>
          <w:bCs w:val="false"/>
          <w:i w:val="false"/>
          <w:iCs w:val="false"/>
          <w:color w:val="1A1A1A"/>
          <w:sz w:val="24"/>
          <w:szCs w:val="24"/>
        </w:rPr>
        <w:t xml:space="preserve"/>
      </w:r>
    </w:p>
    <w:p>
      <w:pPr>
        <w:pBdr>
          <w:top w:val="single" w:color="7A1A1A" w:sz="4"/>
          <w:left w:val="single" w:color="7A1A1A" w:sz="4"/>
          <w:bottom w:val="single" w:color="7A1A1A" w:sz="4"/>
          <w:right w:val="single" w:color="7A1A1A" w:sz="12"/>
        </w:pBdr>
        <w:shd w:fill="FFF3E0" w:val="clear"/>
        <w:bidi/>
        <w:spacing w:after="160" w:before="160" w:line="360"/>
        <w:ind w:left="240" w:right="240"/>
        <w:jc w:val="right"/>
      </w:pPr>
      <w:r>
        <w:rPr>
          <w:rFonts w:ascii="Traditional Arabic" w:cs="Traditional Arabic" w:eastAsia="Traditional Arabic" w:hAnsi="Traditional Arabic"/>
          <w:b/>
          <w:bCs/>
          <w:i w:val="false"/>
          <w:iCs w:val="false"/>
          <w:color w:val="7A1A1A"/>
          <w:sz w:val="22"/>
          <w:szCs w:val="22"/>
        </w:rPr>
        <w:t xml:space="preserve">⚠ تحذير منهجي: </w:t>
      </w:r>
      <w:r>
        <w:rPr>
          <w:rFonts w:ascii="Traditional Arabic" w:cs="Traditional Arabic" w:eastAsia="Traditional Arabic" w:hAnsi="Traditional Arabic"/>
          <w:b w:val="false"/>
          <w:bCs w:val="false"/>
          <w:i w:val="false"/>
          <w:iCs w:val="false"/>
          <w:color w:val="4A1A1A"/>
          <w:sz w:val="22"/>
          <w:szCs w:val="22"/>
        </w:rPr>
        <w:t xml:space="preserve">الغائية العلاجية لا تعني إهمال الأعراض الإكلينيكية أو رفض العلاج الدوائي عند الضرورة. بروتوكول TLRT مكمّل، لا بديل. الغائية تُحدد الأفق الأبعد للعلاج، لا تنفي الخطوات الأقرب.</w:t>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المبحث الثالث: مصادر المعرفة وأدوات البحث — التفصيل المنهجي</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Section III — Sources of Knowledge &amp; Research Tools</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يجمع علم الأعصاب الاستخلافي بين ثلاث فئات من المصادر، تُشكّل معًا «مثلث المعرفة البحثية». وما يُميّز هذا الحقل هو امتلاكه منهجية تفصيلية لقراءة كل فئة، تمنع الخلط بين المستويات وتضمن دقة الاستدلال:</w:t>
      </w:r>
    </w:p>
    <w:p>
      <w:pPr>
        <w:spacing w:after="0" w:before="100"/>
      </w:pPr>
      <w:r>
        <w:rPr>
          <w:rFonts w:ascii="Traditional Arabic" w:cs="Traditional Arabic" w:eastAsia="Traditional Arabic" w:hAnsi="Traditional Arabic"/>
          <w:b w:val="false"/>
          <w:bCs w:val="false"/>
          <w:i w:val="false"/>
          <w:iCs w:val="false"/>
          <w:color w:val="1A1A1A"/>
          <w:sz w:val="24"/>
          <w:szCs w:val="24"/>
        </w:rP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600"/>
        <w:gridCol w:w="1600"/>
        <w:gridCol w:w="2600"/>
        <w:gridCol w:w="2600"/>
        <w:gridCol w:w="1106"/>
      </w:tblGrid>
      <w:tr>
        <w:trPr>
          <w:tblHeader/>
        </w:trPr>
        <w:tc>
          <w:tcPr>
            <w:tcW w:type="dxa" w:w="16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المصدر</w:t>
            </w:r>
          </w:p>
        </w:tc>
        <w:tc>
          <w:tcPr>
            <w:tcW w:type="dxa" w:w="16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النوع</w:t>
            </w:r>
          </w:p>
        </w:tc>
        <w:tc>
          <w:tcPr>
            <w:tcW w:type="dxa" w:w="26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الأمثلة</w:t>
            </w:r>
          </w:p>
        </w:tc>
        <w:tc>
          <w:tcPr>
            <w:tcW w:type="dxa" w:w="26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الاستعمال المنهجي</w:t>
            </w:r>
          </w:p>
        </w:tc>
        <w:tc>
          <w:tcPr>
            <w:tcW w:type="dxa" w:w="11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الخطر إن أُسيء استعماله</w:t>
            </w:r>
          </w:p>
        </w:tc>
      </w:tr>
      <w:tr>
        <w:trPr>
          <w:tblHeader w:val="false"/>
        </w:trPr>
        <w:tc>
          <w:tcPr>
            <w:tcW w:type="dxa" w:w="1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النصية</w:t>
            </w:r>
          </w:p>
        </w:tc>
        <w:tc>
          <w:tcPr>
            <w:tcW w:type="dxa" w:w="1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الوحي + التفسير</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القرآن، السنة، ابن كثير، القرطبي، ابن القيم، الغزالي، المحاسبي</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بناء النموذج الهرمي، استخراج دلالات اللوّامة</w:t>
            </w:r>
          </w:p>
        </w:tc>
        <w:tc>
          <w:tcPr>
            <w:tcW w:type="dxa" w:w="1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الإسقاط التعسفي أو التأويل الحر</w:t>
            </w:r>
          </w:p>
        </w:tc>
      </w:tr>
      <w:tr>
        <w:trPr>
          <w:tblHeader w:val="false"/>
        </w:trPr>
        <w:tc>
          <w:tcPr>
            <w:tcW w:type="dxa" w:w="1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التجريبية</w:t>
            </w:r>
          </w:p>
        </w:tc>
        <w:tc>
          <w:tcPr>
            <w:tcW w:type="dxa" w:w="1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التصوير العصبي والفيزيولوجيا</w:t>
            </w:r>
          </w:p>
        </w:tc>
        <w:tc>
          <w:tcPr>
            <w:tcW w:type="dxa" w:w="2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rsfMRI، EEG، PET، قياسات كيميائية عصبية</w:t>
            </w:r>
          </w:p>
        </w:tc>
        <w:tc>
          <w:tcPr>
            <w:tcW w:type="dxa" w:w="2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رصد DMN وقياس أثر الصلاة والذكر والصوم الرقمي</w:t>
            </w:r>
          </w:p>
        </w:tc>
        <w:tc>
          <w:tcPr>
            <w:tcW w:type="dxa" w:w="11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الاختزال — اعتبار المعطى تفسيرًا كاملًا</w:t>
            </w:r>
          </w:p>
        </w:tc>
      </w:tr>
      <w:tr>
        <w:trPr>
          <w:tblHeader w:val="false"/>
        </w:trPr>
        <w:tc>
          <w:tcPr>
            <w:tcW w:type="dxa" w:w="1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السيكومترية</w:t>
            </w:r>
          </w:p>
        </w:tc>
        <w:tc>
          <w:tcPr>
            <w:tcW w:type="dxa" w:w="1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مقاييس ذات مرجعية استخلافية</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مؤشر DMN-HI، استبانات المحاسبة، مقاييس المعنى</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قياس حيوية اللوّامة قبل التدخل وبعده</w:t>
            </w:r>
          </w:p>
        </w:tc>
        <w:tc>
          <w:tcPr>
            <w:tcW w:type="dxa" w:w="1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الاستعمال خارج السياق أو بدون تقنين</w:t>
            </w:r>
          </w:p>
        </w:tc>
      </w:tr>
    </w:tbl>
    <w:p>
      <w:pPr>
        <w:spacing w:after="0" w:before="160"/>
      </w:pPr>
      <w:r>
        <w:rPr>
          <w:rFonts w:ascii="Traditional Arabic" w:cs="Traditional Arabic" w:eastAsia="Traditional Arabic" w:hAnsi="Traditional Arabic"/>
          <w:b w:val="false"/>
          <w:bCs w:val="false"/>
          <w:i w:val="false"/>
          <w:iCs w:val="false"/>
          <w:color w:val="1A1A1A"/>
          <w:sz w:val="24"/>
          <w:szCs w:val="24"/>
        </w:rPr>
        <w:t xml:space="preserve"/>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3.1 منهجية قراءة المصدر النصي: المستويات الأربعة</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لا نتعامل مع النص القرآني بوصفه «نصًا علميًا» نخضعه لمقاييس التجريب، ولا بوصفه «نصًا أدبيًا» نتعامل معه بالتأويل الحر. المنهج المعتمد يجمع بين أربعة مستويات متتالية ومتكاملة:</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المستوى الأول — التفسير البياني (Lexicographical Exegesis)</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تحليل دلالات الألفاظ القرآنية في سياقها اللغوي والتركيبي والصرفي. مثال: في سياق «النفس اللوّامة» — تحليل مادة «ل-و-م»، وبنية صيغة «فعّالة» التي تفيد المبالغة والديمومة. النتيجة: اللوّامة ليست لومًا عارضًا، بل نمط ثابت دائم في طبيعة النفس المؤمنة.</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المستوى الثاني — التفسير الأثري (Traditional Exegesis)</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الرجوع إلى المأثور عن السلف، وجمع دلالات المفهوم عبر التاريخ العلمي الإسلامي. هذا المستوى يُعطي «المدى الدلالي التاريخي» للمفهوم ويمنع التأويل الشخصي التعسفي.</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المستوى الثالث — الاستقراء المقاصدي (Maqāṣid-Oriented Reading)</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استخراج مقاصد النص المتعلقة بطبيعة النفس وأطوارها وعللها. النظر في السياق القرآني الأشمل: لماذا القسم بالنفس اللوّامة؟ ما الذي يُريد النص تأكيده عن طبيعة النفس الإنسانية؟</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المستوى الرابع — القراءة التكاملية (Integrative Reading)</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وضع الدلالات المستخلَصة في حوار مع المعطيات التجريبية. والغرض الحاسم هنا: ليس «إثبات صدق النص بالعلم» — فالنص الصحيح لا يحتاج شهادة العلم — بل «فهم كيف يتحقق ما أخبر عنه النص في البنية التي خلقها الله».</w:t>
      </w:r>
    </w:p>
    <w:p>
      <w:pPr>
        <w:pBdr>
          <w:right w:val="single" w:color="0A5E5E" w:sz="10" w:space="4"/>
        </w:pBdr>
        <w:shd w:fill="EDF7F7" w:val="clear"/>
        <w:bidi/>
        <w:spacing w:after="100" w:before="100" w:line="360"/>
        <w:ind w:left="440" w:right="440"/>
        <w:jc w:val="right"/>
      </w:pPr>
      <w:r>
        <w:rPr>
          <w:rFonts w:ascii="Traditional Arabic" w:cs="Traditional Arabic" w:eastAsia="Traditional Arabic" w:hAnsi="Traditional Arabic"/>
          <w:b w:val="false"/>
          <w:bCs w:val="false"/>
          <w:i/>
          <w:iCs/>
          <w:color w:val="0A5E5E"/>
          <w:sz w:val="22"/>
          <w:szCs w:val="22"/>
        </w:rPr>
        <w:t xml:space="preserve">الضابط الجوهري: نحن نُثبت «التناظر» لا «الصدق». نقول: «العلم يكشف لنا كيف تتحقق الوظائف التي وصفها الوحي»، لا: «الآية صحيحة لأن العلم وافقها».</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3.2 منهجية قراءة المصدر التجريبي: ثلاثة ضوابط</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في طبعته الراهنة، هذا الكتاب لا ينتج معطيات تجريبية أصلية، بل يقرأ المعطيات المنشورة في الدوريات المحكّمة (رايشل 2001، باكنر 2008، نيوبرغ 2015، لازار 2005، زوبوف 2019) من منظور النموذج الاستخلافي. وهذه القراءة تخضع لثلاثة ضوابط صارمة:</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الضابط الأول — أمانة المعطى (Fidelity to Data)</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قبول المعطى التجريبي كما أورده باحثوه، بلا إسقاط دلالات عليه لا يحتملها ولا رفض له لأنه لا يوافق توقعًا مسبقًا. فإن أظهرت دراسة ما أن التأمل البوذي ينشّط الشبكة الافتراضية بنفس قدر التأمل الإسلامي، قبلنا هذا المعطى كما هو، دون إنكار أو تأويل تعسفي.</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الضابط الثاني — إعادة التأطير المشروع (Legitimate Reframing)</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نأخذ المعطى التجريبي من إطاره التفسيري الاختزالي ونضعه في إطار استخلافي: بدلًا من «الدماغ ينتج الضمير»، نقرأ «الدماغ مُصمَّم ليُمكّن الضمير من العمل». هذه إعادة تأطير (Reframing) لا تُزوّر البيانات، بل تُقدّم تفسيرًا بديلًا لنفس البيانات — وهي ممارسة مشروعة في فلسفة العلوم.</w:t>
      </w:r>
    </w:p>
    <w:p>
      <w:pPr>
        <w:bidi/>
        <w:spacing w:after="80" w:before="200"/>
        <w:ind w:right="200"/>
        <w:jc w:val="right"/>
      </w:pPr>
      <w:r>
        <w:rPr>
          <w:rFonts w:ascii="Traditional Arabic" w:cs="Traditional Arabic" w:eastAsia="Traditional Arabic" w:hAnsi="Traditional Arabic"/>
          <w:b/>
          <w:bCs/>
          <w:i w:val="false"/>
          <w:iCs w:val="false"/>
          <w:color w:val="9A7B1A"/>
          <w:sz w:val="22"/>
          <w:szCs w:val="22"/>
        </w:rPr>
        <w:t xml:space="preserve">❖ </w:t>
      </w:r>
      <w:r>
        <w:rPr>
          <w:rFonts w:ascii="Traditional Arabic" w:cs="Traditional Arabic" w:eastAsia="Traditional Arabic" w:hAnsi="Traditional Arabic"/>
          <w:b/>
          <w:bCs/>
          <w:i w:val="false"/>
          <w:iCs w:val="false"/>
          <w:color w:val="9A7B1A"/>
          <w:sz w:val="24"/>
          <w:szCs w:val="24"/>
        </w:rPr>
        <w:t xml:space="preserve">الضابط الثالث — البحث عن الأنماط الوظيفية (Pattern Identification)</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نبحث في المعطيات عن أنماط تتطابق مع ما أخبر عنه النص. المثال الأبرز: التطابق بين شرط «الصمت اليقظ» لنشاط DMN ومعطى تجريبي موثوق، وبين شرط «الصمت الوجودي» لسماع صوت اللوّامة كإشارة نصية تراثية. هذا التطابق النمطي هو الركيزة الاستدلالية الأساسية لفرضية التناظر الوظيفي.</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3.3 مؤشر DMN-HI — المواصفات المنهجية الكاملة</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مؤشر صحة الشبكة الافتراضية (DMN Health Index – DMN-HI) هو الأداة السيكومترية الأساسية في النموذج. فيما يلي المواصفات المنهجية الكاملة:</w:t>
      </w:r>
    </w:p>
    <w:p>
      <w:pPr>
        <w:spacing w:after="0" w:before="100"/>
      </w:pPr>
      <w:r>
        <w:rPr>
          <w:rFonts w:ascii="Traditional Arabic" w:cs="Traditional Arabic" w:eastAsia="Traditional Arabic" w:hAnsi="Traditional Arabic"/>
          <w:b w:val="false"/>
          <w:bCs w:val="false"/>
          <w:i w:val="false"/>
          <w:iCs w:val="false"/>
          <w:color w:val="1A1A1A"/>
          <w:sz w:val="24"/>
          <w:szCs w:val="24"/>
        </w:rP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000"/>
        <w:gridCol w:w="6506"/>
      </w:tblGrid>
      <w:tr>
        <w:trPr>
          <w:tblHeader/>
        </w:trPr>
        <w:tc>
          <w:tcPr>
            <w:tcW w:type="dxa" w:w="3000"/>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الخاصية</w:t>
            </w:r>
          </w:p>
        </w:tc>
        <w:tc>
          <w:tcPr>
            <w:tcW w:type="dxa" w:w="6506"/>
            <w:tcBorders>
              <w:top w:val="single" w:color="CCCCCC" w:sz="4"/>
              <w:left w:val="single" w:color="CCCCCC" w:sz="4"/>
              <w:bottom w:val="single" w:color="CCCCCC" w:sz="4"/>
              <w:right w:val="single" w:color="CCCCCC" w:sz="4"/>
            </w:tcBorders>
            <w:shd w:fill="0A5E5E"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التفصيل المنهجي</w:t>
            </w:r>
          </w:p>
        </w:tc>
      </w:tr>
      <w:tr>
        <w:trPr>
          <w:tblHeader w:val="false"/>
        </w:trPr>
        <w:tc>
          <w:tcPr>
            <w:tcW w:type="dxa" w:w="3000"/>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عدد البنود</w:t>
            </w:r>
          </w:p>
        </w:tc>
        <w:tc>
          <w:tcPr>
            <w:tcW w:type="dxa" w:w="6506"/>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36 بندًا موزّعة على 5 أبعاد (7-8 بنود لكل بُعد)</w:t>
            </w:r>
          </w:p>
        </w:tc>
      </w:tr>
      <w:tr>
        <w:trPr>
          <w:tblHeader w:val="false"/>
        </w:trPr>
        <w:tc>
          <w:tcPr>
            <w:tcW w:type="dxa" w:w="3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التدرج</w:t>
            </w:r>
          </w:p>
        </w:tc>
        <w:tc>
          <w:tcPr>
            <w:tcW w:type="dxa" w:w="65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مقياس ليكرت خماسي: 1 = لا تنطبق أبدًا — 5 = تنطبق تمامًا</w:t>
            </w:r>
          </w:p>
        </w:tc>
      </w:tr>
      <w:tr>
        <w:trPr>
          <w:tblHeader w:val="false"/>
        </w:trPr>
        <w:tc>
          <w:tcPr>
            <w:tcW w:type="dxa" w:w="3000"/>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المدى الكلي</w:t>
            </w:r>
          </w:p>
        </w:tc>
        <w:tc>
          <w:tcPr>
            <w:tcW w:type="dxa" w:w="6506"/>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36 إلى 180 درجة</w:t>
            </w:r>
          </w:p>
        </w:tc>
      </w:tr>
      <w:tr>
        <w:trPr>
          <w:tblHeader w:val="false"/>
        </w:trPr>
        <w:tc>
          <w:tcPr>
            <w:tcW w:type="dxa" w:w="3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التفسير — 144-180</w:t>
            </w:r>
          </w:p>
        </w:tc>
        <w:tc>
          <w:tcPr>
            <w:tcW w:type="dxa" w:w="65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شبكة افتراضية صحية / نفس لوّامة ناضجة</w:t>
            </w:r>
          </w:p>
        </w:tc>
      </w:tr>
      <w:tr>
        <w:trPr>
          <w:tblHeader w:val="false"/>
        </w:trPr>
        <w:tc>
          <w:tcPr>
            <w:tcW w:type="dxa" w:w="3000"/>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التفسير — 108-143</w:t>
            </w:r>
          </w:p>
        </w:tc>
        <w:tc>
          <w:tcPr>
            <w:tcW w:type="dxa" w:w="6506"/>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بداية اختلال وظيفي — يستدعي البروتوكول الوقائي</w:t>
            </w:r>
          </w:p>
        </w:tc>
      </w:tr>
      <w:tr>
        <w:trPr>
          <w:tblHeader w:val="false"/>
        </w:trPr>
        <w:tc>
          <w:tcPr>
            <w:tcW w:type="dxa" w:w="3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التفسير — 72-107</w:t>
            </w:r>
          </w:p>
        </w:tc>
        <w:tc>
          <w:tcPr>
            <w:tcW w:type="dxa" w:w="65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اختلال معتدل — يستدعي تدخل TLRT الكامل</w:t>
            </w:r>
          </w:p>
        </w:tc>
      </w:tr>
      <w:tr>
        <w:trPr>
          <w:tblHeader w:val="false"/>
        </w:trPr>
        <w:tc>
          <w:tcPr>
            <w:tcW w:type="dxa" w:w="3000"/>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التفسير — أقل من 72</w:t>
            </w:r>
          </w:p>
        </w:tc>
        <w:tc>
          <w:tcPr>
            <w:tcW w:type="dxa" w:w="6506"/>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ضمور وظيفي شديد — تدخل مكثف متخصص</w:t>
            </w:r>
          </w:p>
        </w:tc>
      </w:tr>
      <w:tr>
        <w:trPr>
          <w:tblHeader w:val="false"/>
        </w:trPr>
        <w:tc>
          <w:tcPr>
            <w:tcW w:type="dxa" w:w="3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الثبات المستهدف</w:t>
            </w:r>
          </w:p>
        </w:tc>
        <w:tc>
          <w:tcPr>
            <w:tcW w:type="dxa" w:w="65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معامل ألفا كرونباخ &gt; 0.80 في الدراسات اللاحقة</w:t>
            </w:r>
          </w:p>
        </w:tc>
      </w:tr>
      <w:tr>
        <w:trPr>
          <w:tblHeader w:val="false"/>
        </w:trPr>
        <w:tc>
          <w:tcPr>
            <w:tcW w:type="dxa" w:w="3000"/>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الصدق البنائي</w:t>
            </w:r>
          </w:p>
        </w:tc>
        <w:tc>
          <w:tcPr>
            <w:tcW w:type="dxa" w:w="6506"/>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التحليل العاملي التوكيدي (CFA) لتأكيد البنية الخماسية</w:t>
            </w:r>
          </w:p>
        </w:tc>
      </w:tr>
      <w:tr>
        <w:trPr>
          <w:tblHeader w:val="false"/>
        </w:trPr>
        <w:tc>
          <w:tcPr>
            <w:tcW w:type="dxa" w:w="3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الصدق التقاربي</w:t>
            </w:r>
          </w:p>
        </w:tc>
        <w:tc>
          <w:tcPr>
            <w:tcW w:type="dxa" w:w="65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ارتباط موجب مع مقاييس الوعي الذاتي ومقاييس المعنى الوجودي</w:t>
            </w:r>
          </w:p>
        </w:tc>
      </w:tr>
      <w:tr>
        <w:trPr>
          <w:tblHeader w:val="false"/>
        </w:trPr>
        <w:tc>
          <w:tcPr>
            <w:tcW w:type="dxa" w:w="3000"/>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الصدق التباعدي</w:t>
            </w:r>
          </w:p>
        </w:tc>
        <w:tc>
          <w:tcPr>
            <w:tcW w:type="dxa" w:w="6506"/>
            <w:tcBorders>
              <w:top w:val="single" w:color="CCCCCC" w:sz="4"/>
              <w:left w:val="single" w:color="CCCCCC" w:sz="4"/>
              <w:bottom w:val="single" w:color="CCCCCC" w:sz="4"/>
              <w:right w:val="single" w:color="CCCCCC" w:sz="4"/>
            </w:tcBorders>
            <w:shd w:fill="F0F7F7"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ارتباط سالب مع مقاييس الذهن المشتت (Mind Wandering) المرضي</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الأبعاد الخمسة لمؤشر DMN-HI</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2600"/>
        <w:gridCol w:w="2106"/>
      </w:tblGrid>
      <w:tr>
        <w:trPr>
          <w:tblHeader/>
        </w:trPr>
        <w:tc>
          <w:tcPr>
            <w:tcW w:type="dxa" w:w="20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البُعد</w:t>
            </w:r>
          </w:p>
        </w:tc>
        <w:tc>
          <w:tcPr>
            <w:tcW w:type="dxa" w:w="28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الوظيفة المقاسة</w:t>
            </w:r>
          </w:p>
        </w:tc>
        <w:tc>
          <w:tcPr>
            <w:tcW w:type="dxa" w:w="26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التناظر العصبي</w:t>
            </w:r>
          </w:p>
        </w:tc>
        <w:tc>
          <w:tcPr>
            <w:tcW w:type="dxa" w:w="21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عدد البنود</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الوعي الذاتي المرجعي</w:t>
            </w:r>
          </w:p>
        </w:tc>
        <w:tc>
          <w:tcPr>
            <w:tcW w:type="dxa" w:w="2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القدرة على التأمل في الذات بشكل غير مشوَّه</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القشرة الجبهية الإنسية (mPFC)</w:t>
            </w:r>
          </w:p>
        </w:tc>
        <w:tc>
          <w:tcPr>
            <w:tcW w:type="dxa" w:w="2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8 بنود</w:t>
            </w:r>
          </w:p>
        </w:tc>
      </w:tr>
      <w:tr>
        <w:trPr>
          <w:tblHeader w:val="false"/>
        </w:trPr>
        <w:tc>
          <w:tcPr>
            <w:tcW w:type="dxa" w:w="2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المحاسبة والتقييم الأخلاقي</w:t>
            </w:r>
          </w:p>
        </w:tc>
        <w:tc>
          <w:tcPr>
            <w:tcW w:type="dxa" w:w="28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القدرة على تقييم الأفعال وفق معايير ذاتية</w:t>
            </w:r>
          </w:p>
        </w:tc>
        <w:tc>
          <w:tcPr>
            <w:tcW w:type="dxa" w:w="2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نشاط مشترك mPFC + ACC</w:t>
            </w:r>
          </w:p>
        </w:tc>
        <w:tc>
          <w:tcPr>
            <w:tcW w:type="dxa" w:w="21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8 بنود</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الربط الزماني (ماضٍ–مستقبل)</w:t>
            </w:r>
          </w:p>
        </w:tc>
        <w:tc>
          <w:tcPr>
            <w:tcW w:type="dxa" w:w="2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سلامة الذاكرة السيرذاتية والتخطيط القيمي</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القشرة الحزامية الخلفية (PCC)</w:t>
            </w:r>
          </w:p>
        </w:tc>
        <w:tc>
          <w:tcPr>
            <w:tcW w:type="dxa" w:w="2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6 بنود</w:t>
            </w:r>
          </w:p>
        </w:tc>
      </w:tr>
      <w:tr>
        <w:trPr>
          <w:tblHeader w:val="false"/>
        </w:trPr>
        <w:tc>
          <w:tcPr>
            <w:tcW w:type="dxa" w:w="20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التعاطف ونظرية العقل</w:t>
            </w:r>
          </w:p>
        </w:tc>
        <w:tc>
          <w:tcPr>
            <w:tcW w:type="dxa" w:w="28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القدرة على استيعاب مشاعر وأفكار الآخرين</w:t>
            </w:r>
          </w:p>
        </w:tc>
        <w:tc>
          <w:tcPr>
            <w:tcW w:type="dxa" w:w="2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الموصل الصدغي الجداري (TPJ)</w:t>
            </w:r>
          </w:p>
        </w:tc>
        <w:tc>
          <w:tcPr>
            <w:tcW w:type="dxa" w:w="21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6 بنود</w:t>
            </w:r>
          </w:p>
        </w:tc>
      </w:tr>
      <w:tr>
        <w:trPr>
          <w:tblHeader w:val="false"/>
        </w:trPr>
        <w:tc>
          <w:tcPr>
            <w:tcW w:type="dxa" w:w="20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بناء المعنى الوجودي</w:t>
            </w:r>
          </w:p>
        </w:tc>
        <w:tc>
          <w:tcPr>
            <w:tcW w:type="dxa" w:w="2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وجود سردية شخصية متماسكة ذات معنى</w:t>
            </w:r>
          </w:p>
        </w:tc>
        <w:tc>
          <w:tcPr>
            <w:tcW w:type="dxa" w:w="2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شبكة DMN بمجملها</w:t>
            </w:r>
          </w:p>
        </w:tc>
        <w:tc>
          <w:tcPr>
            <w:tcW w:type="dxa" w:w="21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8 بنود</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المبحث الرابع: تصميم البحث والفرضيات القابلة للاختبار</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Section IV — Research Design &amp; Testable Hypotheses</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4.1 الفرضية العامة</w:t>
      </w:r>
    </w:p>
    <w:p>
      <w:pPr>
        <w:pBdr>
          <w:top w:val="single" w:color="1A3A6B" w:sz="3"/>
          <w:left w:val="single" w:color="1A3A6B" w:sz="3"/>
          <w:bottom w:val="single" w:color="1A3A6B" w:sz="3"/>
          <w:right w:val="single" w:color="1A3A6B" w:sz="10"/>
        </w:pBdr>
        <w:shd w:fill="EDF0FF" w:val="clear"/>
        <w:bidi/>
        <w:spacing w:after="140" w:before="140" w:line="360"/>
        <w:ind w:left="220" w:right="220"/>
        <w:jc w:val="right"/>
      </w:pPr>
      <w:r>
        <w:rPr>
          <w:rFonts w:ascii="Traditional Arabic" w:cs="Traditional Arabic" w:eastAsia="Traditional Arabic" w:hAnsi="Traditional Arabic"/>
          <w:b/>
          <w:bCs/>
          <w:i w:val="false"/>
          <w:iCs w:val="false"/>
          <w:color w:val="1A3A6B"/>
          <w:sz w:val="23"/>
          <w:szCs w:val="23"/>
        </w:rPr>
        <w:t xml:space="preserve">توجد علاقة تناظر وظيفي بين الشبكة الافتراضية (DMN) والنفس اللوّامة، بحيث يمكن رصد حيوية اللوّامة من خلال قياس نشاط DMN واتصاليتها، ويمكن استعادة هذه الحيوية عند اختلالها عبر بروتوكولات «تزكية الدماغ» المتمثلة في TLRT.</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هذه الفرضية العامة تنطوي على ثلاثة أجزاء قابلة للاختبار المستقل: (أ) ادعاء وجود التناظر؛ (ب) قابلية التناظر للرصد والقياس؛ (ج) قابلية الاختلال للعلاج. ورفض أي منها لا يلزم رفض الأخرى.</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4.2 الفرضيات الفرعية بالتفصيل الإجرائي الكامل</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300"/>
        <w:gridCol w:w="2800"/>
        <w:gridCol w:w="2300"/>
        <w:gridCol w:w="1800"/>
        <w:gridCol w:w="1306"/>
      </w:tblGrid>
      <w:tr>
        <w:trPr>
          <w:tblHeader/>
        </w:trPr>
        <w:tc>
          <w:tcPr>
            <w:tcW w:type="dxa" w:w="13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الفرضية</w:t>
            </w:r>
          </w:p>
        </w:tc>
        <w:tc>
          <w:tcPr>
            <w:tcW w:type="dxa" w:w="28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الصياغة الإجرائية الدقيقة</w:t>
            </w:r>
          </w:p>
        </w:tc>
        <w:tc>
          <w:tcPr>
            <w:tcW w:type="dxa" w:w="23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طريقة الاختبار</w:t>
            </w:r>
          </w:p>
        </w:tc>
        <w:tc>
          <w:tcPr>
            <w:tcW w:type="dxa" w:w="18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الأداة الإحصائية</w:t>
            </w:r>
          </w:p>
        </w:tc>
        <w:tc>
          <w:tcPr>
            <w:tcW w:type="dxa" w:w="13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الحد الأدنى للدلالة</w:t>
            </w:r>
          </w:p>
        </w:tc>
      </w:tr>
      <w:tr>
        <w:trPr>
          <w:tblHeader w:val="false"/>
        </w:trPr>
        <w:tc>
          <w:tcPr>
            <w:tcW w:type="dxa" w:w="13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H₁: DMN–اللوّامة</w:t>
            </w:r>
          </w:p>
        </w:tc>
        <w:tc>
          <w:tcPr>
            <w:tcW w:type="dxa" w:w="2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ارتباط موجب دال بين نشاط DMN في الراحة اليقظة (rsfMRI) ودرجة مؤشر DMN-HI الكلية</w:t>
            </w:r>
          </w:p>
        </w:tc>
        <w:tc>
          <w:tcPr>
            <w:tcW w:type="dxa" w:w="23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دراسة ارتباطية: rsfMRI + DMN-HI، عينة 60-100 مشارك</w:t>
            </w:r>
          </w:p>
        </w:tc>
        <w:tc>
          <w:tcPr>
            <w:tcW w:type="dxa" w:w="1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بيرسون + انحدار متعدد + تحليل مسار</w:t>
            </w:r>
          </w:p>
        </w:tc>
        <w:tc>
          <w:tcPr>
            <w:tcW w:type="dxa" w:w="13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p &lt; .05، r &gt; .30</w:t>
            </w:r>
          </w:p>
        </w:tc>
      </w:tr>
      <w:tr>
        <w:trPr>
          <w:tblHeader w:val="false"/>
        </w:trPr>
        <w:tc>
          <w:tcPr>
            <w:tcW w:type="dxa" w:w="13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H₂: التثبيط الرقمي</w:t>
            </w:r>
          </w:p>
        </w:tc>
        <w:tc>
          <w:tcPr>
            <w:tcW w:type="dxa" w:w="28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انخفاض دال في DMN-HI لدى مرتفعي الاستهلاك الرقمي (&gt;4 ساعات/يوم) مقارنة بمنخفضيه (&lt;ساعة)</w:t>
            </w:r>
          </w:p>
        </w:tc>
        <w:tc>
          <w:tcPr>
            <w:tcW w:type="dxa" w:w="23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مقارنة مجموعتين مستقلتين مع ضبط المتغيرات الدخيلة</w:t>
            </w:r>
          </w:p>
        </w:tc>
        <w:tc>
          <w:tcPr>
            <w:tcW w:type="dxa" w:w="18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اختبار T مستقل + حجم الأثر d كوهن</w:t>
            </w:r>
          </w:p>
        </w:tc>
        <w:tc>
          <w:tcPr>
            <w:tcW w:type="dxa" w:w="13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p &lt; .05، d &gt; .50</w:t>
            </w:r>
          </w:p>
        </w:tc>
      </w:tr>
      <w:tr>
        <w:trPr>
          <w:tblHeader w:val="false"/>
        </w:trPr>
        <w:tc>
          <w:tcPr>
            <w:tcW w:type="dxa" w:w="13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H₃: الصلاة–التنشيط</w:t>
            </w:r>
          </w:p>
        </w:tc>
        <w:tc>
          <w:tcPr>
            <w:tcW w:type="dxa" w:w="2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ارتفاع دال في DMN-HI بعد 8 أسابيع من الصلاة التأملية مقارنة بالقياس القبلي</w:t>
            </w:r>
          </w:p>
        </w:tc>
        <w:tc>
          <w:tcPr>
            <w:tcW w:type="dxa" w:w="23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شبه تجريبية: قياسان قبلي-بعدي، مجموعة واحدة</w:t>
            </w:r>
          </w:p>
        </w:tc>
        <w:tc>
          <w:tcPr>
            <w:tcW w:type="dxa" w:w="18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اختبار T مزدوج + حجم الأثر كوهن d</w:t>
            </w:r>
          </w:p>
        </w:tc>
        <w:tc>
          <w:tcPr>
            <w:tcW w:type="dxa" w:w="13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p &lt; .05، d &gt; .40</w:t>
            </w:r>
          </w:p>
        </w:tc>
      </w:tr>
      <w:tr>
        <w:trPr>
          <w:tblHeader w:val="false"/>
        </w:trPr>
        <w:tc>
          <w:tcPr>
            <w:tcW w:type="dxa" w:w="13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H₄: TLRT مقابل الضابطة</w:t>
            </w:r>
          </w:p>
        </w:tc>
        <w:tc>
          <w:tcPr>
            <w:tcW w:type="dxa" w:w="28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تحسن دال في DMN-HI بعد 12 أسبوعًا من TLRT يفوق التحسن في المجموعة الضابطة</w:t>
            </w:r>
          </w:p>
        </w:tc>
        <w:tc>
          <w:tcPr>
            <w:tcW w:type="dxa" w:w="23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RCT مجموعتان × قياسان (قبلي/بعدي) + متابعة 6 أشهر</w:t>
            </w:r>
          </w:p>
        </w:tc>
        <w:tc>
          <w:tcPr>
            <w:tcW w:type="dxa" w:w="18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ANOVA مكرر + نموذج المجموعات الكامنة (LGM)</w:t>
            </w:r>
          </w:p>
        </w:tc>
        <w:tc>
          <w:tcPr>
            <w:tcW w:type="dxa" w:w="13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p &lt; .05، حجم أثر كبير</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4.3 أجندة البحث التجريبي المقترحة: المراحل الثلاث (2026–2030)</w:t>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المرحلة الأولى: بناء الأدوات وتقنينها (2026–2027)</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إتمام بنود مؤشر DMN-HI وتوثيق التبرير النظري لكل بُعد.</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إجراء دراسة تقنين على عينة عربية (N ≥ 400) لاستخراج المعايير والقيم المرجعية.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التحقق من البنية العاملية عبر CFA وتقدير ألفا كرونباخ وثبات الإعادة.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ترجمة المقياس إلى الإنجليزية والفرنسية والتركية مع التحقق من الصدق الثقافي عبر التحليل العاملي متعدد المجموعات.</w:t>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المرحلة الثانية: الدراسات الارتباطية والمقارنة (2027–2028)</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اختبار H₁: دراسة ارتباطية تجمع rsfMRI ومؤشر DMN-HI على عينة جامعية.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اختبار H₂: مقارنة مجموعتي الاستهلاك الرقمي مع ضبط متغيرات الجنس والعمر والتدين.</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دراسة استكشافية للمتغيرات الوسيطة: هل الصلاة اليومية تتوسط العلاقة بين الاستهلاك الرقمي والـ DMN-HI؟</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دراسة مقارنة بين الممارسين لليقظة الإيمانية والممارسين لـ MBSR الغربي.</w:t>
      </w:r>
    </w:p>
    <w:p>
      <w:pPr>
        <w:pBdr>
          <w:right w:val="single" w:color="0A5E5E" w:sz="10" w:space="4"/>
        </w:pBdr>
        <w:bidi/>
        <w:spacing w:after="120" w:before="280"/>
        <w:ind w:right="120"/>
        <w:jc w:val="right"/>
      </w:pPr>
      <w:r>
        <w:rPr>
          <w:rFonts w:ascii="Traditional Arabic" w:cs="Traditional Arabic" w:eastAsia="Traditional Arabic" w:hAnsi="Traditional Arabic"/>
          <w:b/>
          <w:bCs/>
          <w:i w:val="false"/>
          <w:iCs w:val="false"/>
          <w:color w:val="0A5E5E"/>
          <w:sz w:val="26"/>
          <w:szCs w:val="26"/>
        </w:rPr>
        <w:t xml:space="preserve">المرحلة الثالثة: الدراسات التجريبية والتدخلية (2028–2030)</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اختبار H₃: تجربة شبه تجريبية لأثر الصلاة التأملية مع التحكم بعدد الصلوات والخشوع المُقاس.</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اختبار H₄: تجربة RCT كاملة لبروتوكول TLRT مع التخصيص العشوائي والعمياء الجزئي.</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دراسة متابعة طولية (6 أشهر — سنة) لقياس استدامة الأثر العلاجي ومنع الانتكاسة.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دراسة نوعية مرافقة: استطلاع تجارب المشاركين عبر المقابلات الظاهراتية (IPA).</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4.4 التنبيه المنهجي الأهم — التمييز بين النموذج والنتيجة</w:t>
      </w:r>
    </w:p>
    <w:p>
      <w:pPr>
        <w:pBdr>
          <w:top w:val="single" w:color="9A7B1A" w:sz="3"/>
          <w:left w:val="single" w:color="9A7B1A" w:sz="3"/>
          <w:bottom w:val="single" w:color="9A7B1A" w:sz="3"/>
          <w:right w:val="single" w:color="9A7B1A" w:sz="10"/>
        </w:pBdr>
        <w:shd w:fill="FFF8EE" w:val="clear"/>
        <w:bidi/>
        <w:spacing w:after="140" w:before="140" w:line="360"/>
        <w:ind w:left="220" w:right="220"/>
        <w:jc w:val="right"/>
      </w:pPr>
      <w:r>
        <w:rPr>
          <w:rFonts w:ascii="Traditional Arabic" w:cs="Traditional Arabic" w:eastAsia="Traditional Arabic" w:hAnsi="Traditional Arabic"/>
          <w:b/>
          <w:bCs/>
          <w:i w:val="false"/>
          <w:iCs w:val="false"/>
          <w:color w:val="9A7B1A"/>
          <w:sz w:val="23"/>
          <w:szCs w:val="23"/>
        </w:rPr>
        <w:t xml:space="preserve">هذه الفرضيات معروضة بوصفها خارطة طريق للبحث التجريبي، وليست نتائج مثبتة في هذا الكتاب. نحن نقدم: النموذج النظري + الأدوات (DMN-HI + TLRT) + الفرضيات بصيغة قابلة للاختبار. الكتاب الحاضر هو «نقطة الانطلاق» لأجندة بحثية، لا «نقطة الوصول» بنتائج مُثبَتة.</w:t>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المبحث الخامس: حدود المنهج — ما لا يفعله علم الأعصاب الاستخلافي</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Section V — Boundaries of the Field</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من شروط الأمانة العلمية — بل من علامات نضج الحقل المعرفي — أن يُحدّد ما لا يفعله بنفس وضوح ما يفعله. الحقل الذي لا يعرف حدوده حقل لا يعرف نفسه، ومؤهَّل لأن يدّعي ما لا يستطيع وأن يُدرَج بسهولة في أغراض غير معرفية.</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753"/>
        <w:gridCol w:w="4753"/>
      </w:tblGrid>
      <w:tr>
        <w:trPr>
          <w:tblHeader/>
        </w:trPr>
        <w:tc>
          <w:tcPr>
            <w:tcW w:type="dxa" w:w="4753"/>
            <w:tcBorders>
              <w:top w:val="single" w:color="CCCCCC" w:sz="4"/>
              <w:left w:val="single" w:color="CCCCCC" w:sz="4"/>
              <w:bottom w:val="single" w:color="CCCCCC" w:sz="4"/>
              <w:right w:val="single" w:color="CCCCCC" w:sz="4"/>
            </w:tcBorders>
            <w:shd w:fill="7A1A1A"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هذا من صميم الحقل</w:t>
            </w:r>
          </w:p>
        </w:tc>
        <w:tc>
          <w:tcPr>
            <w:tcW w:type="dxa" w:w="4753"/>
            <w:tcBorders>
              <w:top w:val="single" w:color="CCCCCC" w:sz="4"/>
              <w:left w:val="single" w:color="CCCCCC" w:sz="4"/>
              <w:bottom w:val="single" w:color="CCCCCC" w:sz="4"/>
              <w:right w:val="single" w:color="CCCCCC" w:sz="4"/>
            </w:tcBorders>
            <w:shd w:fill="7A1A1A"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هذا ليس منه — ولا يدّعيه</w:t>
            </w:r>
          </w:p>
        </w:tc>
      </w:tr>
      <w:tr>
        <w:trPr>
          <w:tblHeader w:val="false"/>
        </w:trPr>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دراسة العلاقة بين نشاط DMN وشعور المحاسبة الذاتية</w:t>
            </w:r>
          </w:p>
        </w:tc>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تفسير «الوحي» بوصفه ظاهرة عصبية في دماغ النبي ﷺ</w:t>
            </w:r>
          </w:p>
        </w:tc>
      </w:tr>
      <w:tr>
        <w:trPr>
          <w:tblHeader w:val="false"/>
        </w:trPr>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قياس أثر الصلاة على الاتصالية الوظيفية للشبكات الدماغية</w:t>
            </w:r>
          </w:p>
        </w:tc>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الحكم على صحة اعتقاد ديني بناءً على التصوير العصبي</w:t>
            </w:r>
          </w:p>
        </w:tc>
      </w:tr>
      <w:tr>
        <w:trPr>
          <w:tblHeader w:val="false"/>
        </w:trPr>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تطوير بروتوكولات علاجية لاستعادة وظائف الضمير والمحاسبة</w:t>
            </w:r>
          </w:p>
        </w:tc>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اختزال «الإيمان» أو «اليقين» إلى نشاط قشرة الفص الجبهي</w:t>
            </w:r>
          </w:p>
        </w:tc>
      </w:tr>
      <w:tr>
        <w:trPr>
          <w:tblHeader w:val="false"/>
        </w:trPr>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بناء مقاييس سيكومترية ذات مرجعية قرآنية (DMN-HI)</w:t>
            </w:r>
          </w:p>
        </w:tc>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ادعاء «إثبات وجود الله» بالرنين المغناطيسي الوظيفي</w:t>
            </w:r>
          </w:p>
        </w:tc>
      </w:tr>
      <w:tr>
        <w:trPr>
          <w:tblHeader w:val="false"/>
        </w:trPr>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وصف الآليات العصبية التي تتحقق من خلالها مراتب النفس</w:t>
            </w:r>
          </w:p>
        </w:tc>
        <w:tc>
          <w:tcPr>
            <w:tcW w:type="dxa" w:w="4753"/>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تفسير «الغيبيات» (الملائكة، الجن، الآخرة) بوصفها ظواهر عصبية</w:t>
            </w:r>
          </w:p>
        </w:tc>
      </w:tr>
      <w:tr>
        <w:trPr>
          <w:tblHeader w:val="false"/>
        </w:trPr>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المطالبة بإعادة تأهيل DMN عند اختلالها الوظيفي المُثبَت</w:t>
            </w:r>
          </w:p>
        </w:tc>
        <w:tc>
          <w:tcPr>
            <w:tcW w:type="dxa" w:w="4753"/>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استعمال المصطلح لوصم المرضى أو إصدار أحكام على إيمانهم</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5.1 الحد الفاصل الجوهري: آلية التمكين مقابل تفسير الغيب</w:t>
      </w:r>
    </w:p>
    <w:p>
      <w:pPr>
        <w:pBdr>
          <w:top w:val="single" w:color="1A5535" w:sz="3"/>
          <w:left w:val="single" w:color="1A5535" w:sz="3"/>
          <w:bottom w:val="single" w:color="1A5535" w:sz="3"/>
          <w:right w:val="single" w:color="1A5535" w:sz="10"/>
        </w:pBdr>
        <w:shd w:fill="EDF5E8" w:val="clear"/>
        <w:bidi/>
        <w:spacing w:after="140" w:before="140" w:line="360"/>
        <w:ind w:left="220" w:right="220"/>
        <w:jc w:val="right"/>
      </w:pPr>
      <w:r>
        <w:rPr>
          <w:rFonts w:ascii="Traditional Arabic" w:cs="Traditional Arabic" w:eastAsia="Traditional Arabic" w:hAnsi="Traditional Arabic"/>
          <w:b/>
          <w:bCs/>
          <w:i w:val="false"/>
          <w:iCs w:val="false"/>
          <w:color w:val="1A5535"/>
          <w:sz w:val="23"/>
          <w:szCs w:val="23"/>
        </w:rPr>
        <w:t xml:space="preserve">القاعدة المنهجية الحاسمة: ندرس الآليات العصبية التي تُمكّن الإنسان من أداء وظائف الخلافة (المحاسبة، التعاطف، بناء المعنى). ولا ندرس «مصدر» هذه الوظائف بوصفنا قادرين على تفسيره ماديًا. الوحي الذي أرشد إلى هذه الوظائف مصدره إلهي متعالٍ — ولا شأن للعلم العصبي بإثباته أو نفيه.</w:t>
      </w:r>
    </w:p>
    <w:p>
      <w:pPr>
        <w:spacing w:after="0" w:before="8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هذه القاعدة تحمي الحقل من خطأين متناقضين يقع فيهما كثير من المحاولات التكاملية: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خطأ التقصير (Reductionist Failure): الاكتفاء بالوصف العصبي المجرد دون الاعتراف بأن البنية العصبية «تُمكّن» — لا «تُنتج» — وظيفة تتجاوزها.</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خطأ الإسراف (Theological Overreach): ادعاء أن العلم العصبي «يُثبت» الحقائق الدينية الغيبية أو يُقدّم «دليلًا علميًا على الوجود الإلهي».</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5.2 خطر التوظيف الآيديولوجي — تحذير منهجي لازم</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هناك خطر حقيقي لا يمكن إغفاله: الحقول المعرفية الناشئة التي تجمع بين الدين والعلم قد تُوظَّف من قِبَل جهات مختلفة لأغراض غير معرفية. ونُحدّد ثلاثة مخاطر رئيسية:</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706"/>
      </w:tblGrid>
      <w:tr>
        <w:trPr>
          <w:tblHeader/>
        </w:trPr>
        <w:tc>
          <w:tcPr>
            <w:tcW w:type="dxa" w:w="22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نوع التوظيف الخاطئ</w:t>
            </w:r>
          </w:p>
        </w:tc>
        <w:tc>
          <w:tcPr>
            <w:tcW w:type="dxa" w:w="36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الصورة التي يتّخذها</w:t>
            </w:r>
          </w:p>
        </w:tc>
        <w:tc>
          <w:tcPr>
            <w:tcW w:type="dxa" w:w="37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الحماية المنهجية المطلوبة</w:t>
            </w:r>
          </w:p>
        </w:tc>
      </w:tr>
      <w:tr>
        <w:trPr>
          <w:tblHeader w:val="false"/>
        </w:trPr>
        <w:tc>
          <w:tcPr>
            <w:tcW w:type="dxa" w:w="2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التوظيف السياسي</w:t>
            </w:r>
          </w:p>
        </w:tc>
        <w:tc>
          <w:tcPr>
            <w:tcW w:type="dxa" w:w="3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استخدام «العلم الاستخلافي» لشرعنة سياسات أو تيارات أيديولوجية</w:t>
            </w:r>
          </w:p>
        </w:tc>
        <w:tc>
          <w:tcPr>
            <w:tcW w:type="dxa" w:w="37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الشفافية الكاملة في بيان حدود الحقل + عدم انتساب الباحث لأي توجه سياسي</w:t>
            </w:r>
          </w:p>
        </w:tc>
      </w:tr>
      <w:tr>
        <w:trPr>
          <w:tblHeader w:val="false"/>
        </w:trPr>
        <w:tc>
          <w:tcPr>
            <w:tcW w:type="dxa" w:w="2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التوظيف التجاري</w:t>
            </w:r>
          </w:p>
        </w:tc>
        <w:tc>
          <w:tcPr>
            <w:tcW w:type="dxa" w:w="36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تحويل البروتوكولات إلى منتجات استهلاكية مسوَّقة بادعاءات علمية مُبالَغ فيها</w:t>
            </w:r>
          </w:p>
        </w:tc>
        <w:tc>
          <w:tcPr>
            <w:tcW w:type="dxa" w:w="37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التمييز الصريح بين «البروتوكول المُطوَّر» والـ«منتج التجاري»</w:t>
            </w:r>
          </w:p>
        </w:tc>
      </w:tr>
      <w:tr>
        <w:trPr>
          <w:tblHeader w:val="false"/>
        </w:trPr>
        <w:tc>
          <w:tcPr>
            <w:tcW w:type="dxa" w:w="2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التوظيف الوعظي</w:t>
            </w:r>
          </w:p>
        </w:tc>
        <w:tc>
          <w:tcPr>
            <w:tcW w:type="dxa" w:w="36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استخدام المصطلحات العلمية لإضفاء مصداقية زائفة على خطاب وعظي غير علمي</w:t>
            </w:r>
          </w:p>
        </w:tc>
        <w:tc>
          <w:tcPr>
            <w:tcW w:type="dxa" w:w="37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التمسك بصياغة إجرائية دقيقة لكل مفهوم وعدم استعمال المصطلحات خارج حدودها</w:t>
            </w:r>
          </w:p>
        </w:tc>
      </w:tr>
    </w:tbl>
    <w:p>
      <w:pPr>
        <w:spacing w:after="0" w:before="120"/>
      </w:pPr>
      <w:r>
        <w:rPr>
          <w:rFonts w:ascii="Traditional Arabic" w:cs="Traditional Arabic" w:eastAsia="Traditional Arabic" w:hAnsi="Traditional Arabic"/>
          <w:b w:val="false"/>
          <w:bCs w:val="false"/>
          <w:i w:val="false"/>
          <w:iCs w:val="false"/>
          <w:color w:val="1A1A1A"/>
          <w:sz w:val="24"/>
          <w:szCs w:val="24"/>
        </w:rPr>
        <w:t xml:space="preserve"/>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المبحث السادس: الاعتبارات الأخلاقية والضوابط الشرعية</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Section VI — Ethical Considerations &amp; Scholarly Safeguards</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الحقل الذي يجمع بين الدماغ والنفس والوحي في السياق العلاجي والبحثي يُواجه اعتبارات أخلاقية مضاعفة: اعتبارات أخلاقيات البحث العلمي من جهة، واعتبارات الضوابط الشرعية وأعراف الأمانة الأكاديمية من جهة أخرى.</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6.1 في البحث التجريبي</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الحصول على موافقة لجنة الأخلاقيات المؤسسية (IRB) قبل أي دراسة تشمل مشاركين بشريين.</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الموافقة المستنيرة الكاملة (Full Informed Consent) مع بيان طبيعة البحث وإجراءاته والمخاطر المحتملة وحق الانسحاب في أي مرحلة.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الحفاظ على سرية البيانات وتشفيرها وعدم استعمالها خارج الأغراض البحثية المصرَّح بها.</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تجنب الإكراه في التجنيد — خاصة مع الأفراد في أوضاع ضعف نفسي أو ديني.</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الشفافية في الإبلاغ عن جميع النتائج — بما فيها السلبية أو المُفنِّدة للفرضيات.</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6.2 في التطبيق العلاجي</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بروتوكول TLRT مكمّل وليس بديلًا عن العلاج النفسي أو الدوائي عند الحاجة.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لا يُفرض البروتوكول على مريض لا يقتنع بمرجعيته القرآنية — المشاركة تقوم على الإذعان الحر.</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يُقدَّم البروتوكول بلغة علاجية مفهومة، لا بلغة وعظية أو إنشائية مُثيرة للذنب.</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المعالج ملزَم بالتحويل (Referral) إلى متخصصين عند تشخيص اضطرابات تستوجب تدخلًا دوائيًا أو طبيًا متخصصًا.</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6.3 في الخطاب الأكاديمي والعلمي</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التواضع العلمي الصريح: النموذج أداة فهم قابلة للتطوير والتعديل، لا حقيقة نهائية مطلقة.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التمييز الدائم بين «النموذج» (Model) و«الحقيقة» (Truth) في كل صياغة.</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الانفتاح على النقد الأكاديمي والمراجعة النظيرية بوصفها شرطًا لا اختيارًا.</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عدم استعمال المصطلحات القرآنية (الأمارة، اللوّامة، المطمئنة) كتوصيفات إكلينيكية خارج سياقها المحدد.</w:t>
      </w:r>
    </w:p>
    <w:p>
      <w:pPr>
        <w:pBdr>
          <w:bottom w:val="single" w:color="9A7B1A"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r>
        <w:br w:type="page"/>
      </w:r>
    </w:p>
    <w:p>
      <w:pPr>
        <w:pBdr>
          <w:bottom w:val="single" w:color="9A7B1A" w:sz="8" w:space="3"/>
        </w:pBdr>
        <w:shd w:fill="0D1B33" w:val="clear"/>
        <w:bidi/>
        <w:spacing w:after="280" w:before="560"/>
        <w:jc w:val="center"/>
      </w:pPr>
      <w:r>
        <w:rPr>
          <w:rFonts w:ascii="Traditional Arabic" w:cs="Traditional Arabic" w:eastAsia="Traditional Arabic" w:hAnsi="Traditional Arabic"/>
          <w:b/>
          <w:bCs/>
          <w:i w:val="false"/>
          <w:iCs w:val="false"/>
          <w:color w:val="FFFFFF"/>
          <w:sz w:val="40"/>
          <w:szCs w:val="40"/>
        </w:rPr>
        <w:t xml:space="preserve">خلاصة الفصل: العدسة المنهجية والانتقال</w:t>
      </w:r>
    </w:p>
    <w:p>
      <w:pPr>
        <w:shd w:fill="1A3A6B" w:val="clear"/>
        <w:bidi w:val="false"/>
        <w:spacing w:after="240" w:before="0"/>
        <w:jc w:val="center"/>
      </w:pPr>
      <w:r>
        <w:rPr>
          <w:rFonts w:ascii="Times New Roman" w:cs="Times New Roman" w:eastAsia="Times New Roman" w:hAnsi="Times New Roman"/>
          <w:b w:val="false"/>
          <w:bCs w:val="false"/>
          <w:i/>
          <w:iCs/>
          <w:color w:val="CCDAF5"/>
          <w:sz w:val="20"/>
          <w:szCs w:val="20"/>
        </w:rPr>
        <w:t xml:space="preserve">Summary — The Methodological Lens &amp; Transition</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ملخص الفصل في ستة محاور</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200"/>
        <w:gridCol w:w="7306"/>
      </w:tblGrid>
      <w:tr>
        <w:trPr>
          <w:tblHeader/>
        </w:trPr>
        <w:tc>
          <w:tcPr>
            <w:tcW w:type="dxa" w:w="2200"/>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المحور</w:t>
            </w:r>
          </w:p>
        </w:tc>
        <w:tc>
          <w:tcPr>
            <w:tcW w:type="dxa" w:w="7306"/>
            <w:tcBorders>
              <w:top w:val="single" w:color="CCCCCC" w:sz="4"/>
              <w:left w:val="single" w:color="CCCCCC" w:sz="4"/>
              <w:bottom w:val="single" w:color="CCCCCC" w:sz="4"/>
              <w:right w:val="single" w:color="CCCCCC" w:sz="4"/>
            </w:tcBorders>
            <w:shd w:fill="0D1B33"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bCs/>
                <w:i w:val="false"/>
                <w:iCs w:val="false"/>
                <w:color w:val="FFFFFF"/>
                <w:sz w:val="20"/>
                <w:szCs w:val="20"/>
              </w:rPr>
              <w:t xml:space="preserve">الإنجاز المنهجي</w:t>
            </w:r>
          </w:p>
        </w:tc>
      </w:tr>
      <w:tr>
        <w:trPr>
          <w:tblHeader w:val="false"/>
        </w:trPr>
        <w:tc>
          <w:tcPr>
            <w:tcW w:type="dxa" w:w="2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القطيعة المصطلحية</w:t>
            </w:r>
          </w:p>
        </w:tc>
        <w:tc>
          <w:tcPr>
            <w:tcW w:type="dxa" w:w="73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الانتقال من «النيورولاهوت الاختزالي» إلى «علم الأعصاب الاستخلافي» بثلاث وجاهات نقدية موثّقة</w:t>
            </w:r>
          </w:p>
        </w:tc>
      </w:tr>
      <w:tr>
        <w:trPr>
          <w:tblHeader w:val="false"/>
        </w:trPr>
        <w:tc>
          <w:tcPr>
            <w:tcW w:type="dxa" w:w="2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الركائز الإبستيمولوجية</w:t>
            </w:r>
          </w:p>
        </w:tc>
        <w:tc>
          <w:tcPr>
            <w:tcW w:type="dxa" w:w="73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أربعة مبادئ متلازمة: الاستخلاف العصبي — التكامل المعرفي — التناظر الوظيفي — الغائية العلاجية</w:t>
            </w:r>
          </w:p>
        </w:tc>
      </w:tr>
      <w:tr>
        <w:trPr>
          <w:tblHeader w:val="false"/>
        </w:trPr>
        <w:tc>
          <w:tcPr>
            <w:tcW w:type="dxa" w:w="2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مثلث المعرفة</w:t>
            </w:r>
          </w:p>
        </w:tc>
        <w:tc>
          <w:tcPr>
            <w:tcW w:type="dxa" w:w="73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ثلاثة مصادر (نصية، تجريبية، سيكومترية) بمنهجيات متمايزة — منع الخلط بين المستويات</w:t>
            </w:r>
          </w:p>
        </w:tc>
      </w:tr>
      <w:tr>
        <w:trPr>
          <w:tblHeader w:val="false"/>
        </w:trPr>
        <w:tc>
          <w:tcPr>
            <w:tcW w:type="dxa" w:w="2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فرضيات قابلة للتفنيد</w:t>
            </w:r>
          </w:p>
        </w:tc>
        <w:tc>
          <w:tcPr>
            <w:tcW w:type="dxa" w:w="73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أربع فرضيات فرعية بصياغة إجرائية دقيقة مع أجندة بحثية ممتدة (2026–2030)</w:t>
            </w:r>
          </w:p>
        </w:tc>
      </w:tr>
      <w:tr>
        <w:trPr>
          <w:tblHeader w:val="false"/>
        </w:trPr>
        <w:tc>
          <w:tcPr>
            <w:tcW w:type="dxa" w:w="2200"/>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حدود الحقل</w:t>
            </w:r>
          </w:p>
        </w:tc>
        <w:tc>
          <w:tcPr>
            <w:tcW w:type="dxa" w:w="7306"/>
            <w:tcBorders>
              <w:top w:val="single" w:color="CCCCCC" w:sz="4"/>
              <w:left w:val="single" w:color="CCCCCC" w:sz="4"/>
              <w:bottom w:val="single" w:color="CCCCCC" w:sz="4"/>
              <w:right w:val="single" w:color="CCCCCC" w:sz="4"/>
            </w:tcBorders>
            <w:shd w:fill="F4F6F9"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تمييز صريح بين التمكين العصبي وتفسير الغيب — مع تحذير من التوظيف الآيديولوجي</w:t>
            </w:r>
          </w:p>
        </w:tc>
      </w:tr>
      <w:tr>
        <w:trPr>
          <w:tblHeader w:val="false"/>
        </w:trPr>
        <w:tc>
          <w:tcPr>
            <w:tcW w:type="dxa" w:w="2200"/>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0D1B33"/>
                <w:sz w:val="19"/>
                <w:szCs w:val="19"/>
              </w:rPr>
              <w:t xml:space="preserve">الاعتبارات الأخلاقية</w:t>
            </w:r>
          </w:p>
        </w:tc>
        <w:tc>
          <w:tcPr>
            <w:tcW w:type="dxa" w:w="7306"/>
            <w:tcBorders>
              <w:top w:val="single" w:color="CCCCCC" w:sz="4"/>
              <w:left w:val="single" w:color="CCCCCC" w:sz="4"/>
              <w:bottom w:val="single" w:color="CCCCCC" w:sz="4"/>
              <w:right w:val="single" w:color="CCCCCC" w:sz="4"/>
            </w:tcBorders>
            <w:shd w:fill="FFFFFF" w:val="clear"/>
            <w:tcMar>
              <w:top w:type="dxa" w:w="80"/>
              <w:left w:type="dxa" w:w="140"/>
              <w:bottom w:type="dxa" w:w="80"/>
              <w:right w:type="dxa" w:w="140"/>
            </w:tcMar>
            <w:vAlign w:val="center"/>
          </w:tcPr>
          <w:p>
            <w:pPr>
              <w:bidi/>
              <w:spacing w:after="40" w:before="40" w:line="320"/>
              <w:jc w:val="center"/>
            </w:pPr>
            <w:r>
              <w:rPr>
                <w:rFonts w:ascii="Traditional Arabic" w:cs="Traditional Arabic" w:eastAsia="Traditional Arabic" w:hAnsi="Traditional Arabic"/>
                <w:b w:val="false"/>
                <w:bCs w:val="false"/>
                <w:i w:val="false"/>
                <w:iCs w:val="false"/>
                <w:color w:val="1A1A1A"/>
                <w:sz w:val="19"/>
                <w:szCs w:val="19"/>
              </w:rPr>
              <w:t xml:space="preserve">ضوابط ثلاثية: في البحث، في العلاج، في الخطاب الأكاديمي</w:t>
            </w:r>
          </w:p>
        </w:tc>
      </w:tr>
    </w:tbl>
    <w:p>
      <w:pPr>
        <w:spacing w:after="0" w:before="140"/>
      </w:pPr>
      <w:r>
        <w:rPr>
          <w:rFonts w:ascii="Traditional Arabic" w:cs="Traditional Arabic" w:eastAsia="Traditional Arabic" w:hAnsi="Traditional Arabic"/>
          <w:b w:val="false"/>
          <w:bCs w:val="false"/>
          <w:i w:val="false"/>
          <w:iCs w:val="false"/>
          <w:color w:val="1A1A1A"/>
          <w:sz w:val="24"/>
          <w:szCs w:val="24"/>
        </w:rPr>
        <w:t xml:space="preserve"/>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بهذا تكون قد توفّرت للقارئ «العدسة المنهجية» التي سينظر من خلالها إلى كل فصل لاحق. فما يُعرض في الفصول التالية — من تحليل للشبكة الافتراضية إلى دراسة النفس اللوّامة إلى بروتوكول TLRT — هو تطبيق مباشر لهذه المنهجية.</w:t>
      </w:r>
    </w:p>
    <w:p>
      <w:pPr>
        <w:pBdr>
          <w:right w:val="single" w:color="0A5E5E" w:sz="10" w:space="4"/>
        </w:pBdr>
        <w:shd w:fill="EDF7F7" w:val="clear"/>
        <w:bidi/>
        <w:spacing w:after="100" w:before="100" w:line="360"/>
        <w:ind w:left="440" w:right="440"/>
        <w:jc w:val="right"/>
      </w:pPr>
      <w:r>
        <w:rPr>
          <w:rFonts w:ascii="Traditional Arabic" w:cs="Traditional Arabic" w:eastAsia="Traditional Arabic" w:hAnsi="Traditional Arabic"/>
          <w:b w:val="false"/>
          <w:bCs w:val="false"/>
          <w:i/>
          <w:iCs/>
          <w:color w:val="0A5E5E"/>
          <w:sz w:val="22"/>
          <w:szCs w:val="22"/>
        </w:rPr>
        <w:t xml:space="preserve">«المنهج ليس قيدًا يُقيّد الباحث، بل هو الطريق الذي يحميه من الضياع: بين فراغ المعرفة المطلقة من جهة، وتضييق الاختزالية العمياء من جهة أخرى.» — الزراع، 2026</w:t>
      </w:r>
    </w:p>
    <w:p>
      <w:pPr>
        <w:pBdr>
          <w:top w:val="single" w:color="E8ECF3" w:sz="2" w:space="2"/>
          <w:bottom w:val="single" w:color="E8ECF3" w:sz="2" w:space="2"/>
          <w:right w:val="single" w:color="9A7B1A" w:sz="20" w:space="6"/>
        </w:pBdr>
        <w:bidi/>
        <w:spacing w:after="180" w:before="400"/>
        <w:jc w:val="right"/>
      </w:pPr>
      <w:r>
        <w:rPr>
          <w:rFonts w:ascii="Traditional Arabic" w:cs="Traditional Arabic" w:eastAsia="Traditional Arabic" w:hAnsi="Traditional Arabic"/>
          <w:b/>
          <w:bCs/>
          <w:i w:val="false"/>
          <w:iCs w:val="false"/>
          <w:color w:val="1A3A6B"/>
          <w:sz w:val="30"/>
          <w:szCs w:val="30"/>
        </w:rPr>
        <w:t xml:space="preserve">مقترح الانتقال للقارئ</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بعد استيعاب البنية المنهجية، يتشعّب الكتاب في اتجاهين تكاملين:</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الاتجاه الأول (الفصول 1–3): التشريح الوظيفي للشبكة الافتراضية وعلاقتها بالنفس اللوّامة — المضمون النظري والتجريبي.</w:t>
      </w:r>
    </w:p>
    <w:p>
      <w:pPr>
        <w:bidi/>
        <w:spacing w:after="70" w:before="70" w:line="360"/>
        <w:ind w:right="360" w:hanging="220"/>
        <w:jc w:val="right"/>
      </w:pPr>
      <w:r>
        <w:rPr>
          <w:rFonts w:ascii="Traditional Arabic" w:cs="Traditional Arabic" w:eastAsia="Traditional Arabic" w:hAnsi="Traditional Arabic"/>
          <w:b/>
          <w:bCs/>
          <w:i w:val="false"/>
          <w:iCs w:val="false"/>
          <w:color w:val="0A5E5E"/>
          <w:sz w:val="20"/>
          <w:szCs w:val="20"/>
        </w:rPr>
        <w:t xml:space="preserve">◀ </w:t>
      </w:r>
      <w:r>
        <w:rPr>
          <w:rFonts w:ascii="Traditional Arabic" w:cs="Traditional Arabic" w:eastAsia="Traditional Arabic" w:hAnsi="Traditional Arabic"/>
          <w:b w:val="false"/>
          <w:bCs w:val="false"/>
          <w:i w:val="false"/>
          <w:iCs w:val="false"/>
          <w:color w:val="1A1A1A"/>
          <w:sz w:val="22"/>
          <w:szCs w:val="22"/>
        </w:rPr>
        <w:t xml:space="preserve">الاتجاه الثاني (الفصل 6): بروتوكول TLRT التطبيقي — الثمرة العلاجية للنموذج.</w:t>
      </w:r>
    </w:p>
    <w:p>
      <w:pPr>
        <w:bidi/>
        <w:spacing w:after="80" w:before="80" w:line="380"/>
        <w:jc w:val="right"/>
      </w:pPr>
      <w:r>
        <w:rPr>
          <w:rFonts w:ascii="Traditional Arabic" w:cs="Traditional Arabic" w:eastAsia="Traditional Arabic" w:hAnsi="Traditional Arabic"/>
          <w:b w:val="false"/>
          <w:bCs w:val="false"/>
          <w:i w:val="false"/>
          <w:iCs w:val="false"/>
          <w:color w:val="1A1A1A"/>
          <w:sz w:val="23"/>
          <w:szCs w:val="23"/>
        </w:rPr>
        <w:t xml:space="preserve">وكلا الاتجاهين يُقرآن في ضوء هذا الفصل — أي أن ما كتبناه هنا هو «المرجع» الذي يُعاد إليه كلما وقف القارئ أمام سؤال: «لماذا نقول هذا؟ وكيف نُسوّغه؟»</w:t>
      </w:r>
    </w:p>
    <w:p>
      <w:pPr>
        <w:pBdr>
          <w:bottom w:val="single" w:color="0D1B33" w:sz="6" w:space="1"/>
        </w:pBdr>
        <w:bidi/>
        <w:spacing w:after="240" w:before="240"/>
      </w:pPr>
      <w:r>
        <w:rPr>
          <w:rFonts w:ascii="Traditional Arabic" w:cs="Traditional Arabic" w:eastAsia="Traditional Arabic" w:hAnsi="Traditional Arabic"/>
          <w:b w:val="false"/>
          <w:bCs w:val="false"/>
          <w:i w:val="false"/>
          <w:iCs w:val="false"/>
          <w:color w:val="1A1A1A"/>
          <w:sz w:val="24"/>
          <w:szCs w:val="24"/>
        </w:rPr>
        <w:t xml:space="preserve"/>
      </w:r>
    </w:p>
    <w:p>
      <w:pPr>
        <w:spacing w:after="0" w:before="200"/>
      </w:pPr>
      <w:r>
        <w:rPr>
          <w:rFonts w:ascii="Traditional Arabic" w:cs="Traditional Arabic" w:eastAsia="Traditional Arabic" w:hAnsi="Traditional Arabic"/>
          <w:b w:val="false"/>
          <w:bCs w:val="false"/>
          <w:i w:val="false"/>
          <w:iCs w:val="false"/>
          <w:color w:val="1A1A1A"/>
          <w:sz w:val="24"/>
          <w:szCs w:val="24"/>
        </w:rPr>
        <w:t xml:space="preserve"/>
      </w:r>
    </w:p>
    <w:p>
      <w:pPr>
        <w:shd w:fill="0D1B33" w:val="clear"/>
        <w:bidi/>
        <w:spacing w:after="100" w:before="200"/>
        <w:jc w:val="center"/>
      </w:pPr>
      <w:r>
        <w:rPr>
          <w:rFonts w:ascii="Traditional Arabic" w:cs="Traditional Arabic" w:eastAsia="Traditional Arabic" w:hAnsi="Traditional Arabic"/>
          <w:b w:val="false"/>
          <w:bCs w:val="false"/>
          <w:i w:val="false"/>
          <w:iCs w:val="false"/>
          <w:color w:val="FFFFFF"/>
          <w:sz w:val="20"/>
          <w:szCs w:val="20"/>
        </w:rPr>
        <w:t xml:space="preserve">حقوق النشر محفوظة © عبد السلام الزراع — سلسلة علم النفس الاستخلافي — 2026م</w:t>
      </w:r>
    </w:p>
    <w:sectPr>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2026-05-15T02:52:20.263Z</dcterms:created>
  <dcterms:modified xsi:type="dcterms:W3CDTF">2026-05-15T02:52:20.280Z</dcterms:modified>
</cp:coreProperties>
</file>

<file path=docProps/custom.xml><?xml version="1.0" encoding="utf-8"?>
<Properties xmlns="http://schemas.openxmlformats.org/officeDocument/2006/custom-properties" xmlns:vt="http://schemas.openxmlformats.org/officeDocument/2006/docPropsVTypes"/>
</file>