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00" w:after="300"/>
      </w:pPr>
    </w:p>
    <w:p>
      <w:pPr>
        <w:bidi/>
        <w:spacing w:before="80" w:after="60"/>
        <w:jc w:val="center"/>
      </w:pPr>
      <w:r>
        <w:rPr>
          <w:rFonts w:ascii="Arial" w:cs="Arial" w:eastAsia="Arial" w:hAnsi="Arial"/>
          <w:b/>
          <w:bCs/>
          <w:color w:val="8B6914"/>
          <w:sz w:val="26"/>
          <w:szCs w:val="26"/>
        </w:rPr>
        <w:t xml:space="preserve">الجزء الأول — المقدمة</w:t>
      </w:r>
    </w:p>
    <w:p>
      <w:pPr>
        <w:bidi/>
        <w:spacing w:before="60" w:after="60"/>
        <w:jc w:val="center"/>
      </w:pPr>
      <w:r>
        <w:rPr>
          <w:rFonts w:ascii="Arial" w:cs="Arial" w:eastAsia="Arial" w:hAnsi="Arial"/>
          <w:color w:val="666666"/>
          <w:sz w:val="32"/>
          <w:szCs w:val="32"/>
        </w:rPr>
        <w:t xml:space="preserve">الفصل الخامس</w:t>
      </w:r>
    </w:p>
    <w:p>
      <w:pPr>
        <w:bidi/>
        <w:spacing w:before="60" w:after="60"/>
        <w:jc w:val="center"/>
      </w:pPr>
      <w:r>
        <w:rPr>
          <w:rFonts w:ascii="Arial" w:cs="Arial" w:eastAsia="Arial" w:hAnsi="Arial"/>
          <w:b/>
          <w:bCs/>
          <w:color w:val="1A3C5E"/>
          <w:sz w:val="52"/>
          <w:szCs w:val="52"/>
        </w:rPr>
        <w:t xml:space="preserve">آليات الاستعادة القرآنية</w:t>
      </w:r>
    </w:p>
    <w:p>
      <w:pPr>
        <w:bidi/>
        <w:spacing w:before="60" w:after="60"/>
        <w:jc w:val="center"/>
      </w:pPr>
      <w:r>
        <w:rPr>
          <w:rFonts w:ascii="Arial" w:cs="Arial" w:eastAsia="Arial" w:hAnsi="Arial"/>
          <w:b/>
          <w:bCs/>
          <w:color w:val="2E6DA4"/>
          <w:sz w:val="30"/>
          <w:szCs w:val="30"/>
        </w:rPr>
        <w:t xml:space="preserve">نحو استخلاف رقمي واعٍ</w:t>
      </w:r>
    </w:p>
    <w:p>
      <w:pPr>
        <w:pBdr>
          <w:bottom w:val="single" w:color="B8860B" w:sz="8" w:space="1"/>
        </w:pBdr>
        <w:spacing w:before="60" w:after="400"/>
        <w:jc w:val="center"/>
      </w:pPr>
      <w:r>
        <w:rPr>
          <w:rFonts w:ascii="Arial" w:cs="Arial" w:eastAsia="Arial" w:hAnsi="Arial"/>
          <w:color w:val="8B6914"/>
          <w:sz w:val="22"/>
          <w:szCs w:val="22"/>
        </w:rPr>
        <w:t xml:space="preserve">مسار عملي مُفصّل لاستعادة الإنسان المعاصر دوره الاستخلافي في مواجهة الأزمة الرقمية</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إِنَّ اللَّهَ لَا يُغَيِّرُ مَا بِقَوْمٍ حَتَّىٰ يُغَيِّرُوا مَا بِأَنفُسِهِمْ</w:t>
      </w:r>
      <w:r>
        <w:rPr>
          <w:rFonts w:ascii="Arial" w:cs="Arial" w:eastAsia="Arial" w:hAnsi="Arial"/>
          <w:color w:val="8B6914"/>
          <w:sz w:val="20"/>
          <w:szCs w:val="20"/>
        </w:rPr>
        <w:br/>
        <w:t xml:space="preserve">
— الرعد: ١١</w:t>
      </w:r>
    </w:p>
    <w:p>
      <w:pPr>
        <w:spacing w:before="100" w:after="100"/>
      </w:pPr>
    </w:p>
    <w:p>
      <w:pPr>
        <w:bidi/>
        <w:spacing w:before="150" w:after="170" w:line="400"/>
        <w:ind w:firstLine="720"/>
      </w:pPr>
      <w:r>
        <w:rPr>
          <w:rFonts w:ascii="Arial" w:cs="Arial" w:eastAsia="Arial" w:hAnsi="Arial"/>
          <w:b w:val="false"/>
          <w:bCs w:val="false"/>
          <w:color w:val="1A1A1A"/>
          <w:sz w:val="24"/>
          <w:szCs w:val="24"/>
        </w:rPr>
        <w:t xml:space="preserve">الفصول الأربعة السابقة أسّست للفهم — فهم البنية النفسية وفهم الاستهداف الرقمي وفهم حدود البدائل وفهم ما يُقدّمه القرآن فريداً. وهذا الفهم ضروري لكنه ليس كافياً وحده. لأن الفهم بلا مسار عملي كالخريطة التي لا تُمشى.</w:t>
      </w:r>
    </w:p>
    <w:p>
      <w:pPr>
        <w:bidi/>
        <w:spacing w:before="150" w:after="170" w:line="400"/>
        <w:ind w:firstLine="720"/>
      </w:pPr>
      <w:r>
        <w:rPr>
          <w:rFonts w:ascii="Arial" w:cs="Arial" w:eastAsia="Arial" w:hAnsi="Arial"/>
          <w:b w:val="false"/>
          <w:bCs w:val="false"/>
          <w:color w:val="1A1A1A"/>
          <w:sz w:val="24"/>
          <w:szCs w:val="24"/>
        </w:rPr>
        <w:t xml:space="preserve">هذا الفصل الخامس هو الفصل التحويلي — ينتقل من التشخيص إلى العلاج، ومن النظرية إلى الممارسة. يسأل بصورة مباشرة: كيف يستعيد الإنسان المعاصر المنغمس في الخوارزميات دوره الاستخلافي؟ وما هي الآليات القرآنية العملية لذلك؟ وكيف تعمل هذه الآليات على كل ضلع من أضلاع الهرم النفسي؟</w:t>
      </w:r>
    </w:p>
    <w:p>
      <w:pPr>
        <w:pBdr>
          <w:top w:val="single" w:color="2E6DA4" w:sz="2"/>
          <w:bottom w:val="single" w:color="2E6DA4" w:sz="2"/>
          <w:left w:val="single" w:color="2E6DA4" w:sz="14"/>
          <w:right w:val="single" w:color="2E6DA4" w:sz="14"/>
        </w:pBdr>
        <w:shd w:fill="EBF3FB" w:val="clear"/>
        <w:bidi/>
        <w:spacing w:before="200" w:after="160"/>
      </w:pPr>
      <w:r>
        <w:rPr>
          <w:rFonts w:ascii="Arial" w:cs="Arial" w:eastAsia="Arial" w:hAnsi="Arial"/>
          <w:color w:val="1A3C5E"/>
          <w:sz w:val="22"/>
          <w:szCs w:val="22"/>
        </w:rPr>
        <w:t xml:space="preserve">منهج هذا الفصل: لكل آلية قرآنية — تعريف نفسي دقيق، شاهد قرآني، شاهد علمي معاصر، وتطبيق رقمي عملي.</w:t>
      </w:r>
    </w:p>
    <w:p>
      <w:pPr>
        <w:spacing w:before="80" w:after="80"/>
      </w:pP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١ — الآلية الأولى: الصلاة — إعادة تشغيل اللوامة</w:t>
      </w:r>
    </w:p>
    <w:p>
      <w:pPr>
        <w:bidi/>
        <w:spacing w:before="320" w:after="160"/>
        <w:jc w:val="right"/>
      </w:pPr>
      <w:r>
        <w:rPr>
          <w:rFonts w:ascii="Arial" w:cs="Arial" w:eastAsia="Arial" w:hAnsi="Arial"/>
          <w:b/>
          <w:bCs/>
          <w:color w:val="2E6DA4"/>
          <w:sz w:val="30"/>
          <w:szCs w:val="30"/>
        </w:rPr>
        <w:t xml:space="preserve">١-١ الصلاة كبرنامج نفسي يومي</w:t>
      </w:r>
    </w:p>
    <w:p>
      <w:pPr>
        <w:bidi/>
        <w:spacing w:before="150" w:after="170" w:line="400"/>
        <w:ind w:firstLine="720"/>
      </w:pPr>
      <w:r>
        <w:rPr>
          <w:rFonts w:ascii="Arial" w:cs="Arial" w:eastAsia="Arial" w:hAnsi="Arial"/>
          <w:b w:val="false"/>
          <w:bCs w:val="false"/>
          <w:color w:val="1A1A1A"/>
          <w:sz w:val="24"/>
          <w:szCs w:val="24"/>
        </w:rPr>
        <w:t xml:space="preserve">الصلاة في الإسلام ليست مجرد واجب شعائري يُؤدَّى ويُنتهى — بل هي برنامج نفسي يومي منظّم بدقة استثنائية. خمس مرات في أوقات محددة، تفرض على الإنسان قطيعةً إلزامية مع كل ما يشغله — بما في ذلك الخوارزمية — وحضوراً كاملاً مع الذات ومع الله.</w:t>
      </w:r>
    </w:p>
    <w:p>
      <w:pPr>
        <w:bidi/>
        <w:spacing w:before="150" w:after="170" w:line="400"/>
        <w:ind w:firstLine="720"/>
      </w:pPr>
      <w:r>
        <w:rPr>
          <w:rFonts w:ascii="Arial" w:cs="Arial" w:eastAsia="Arial" w:hAnsi="Arial"/>
          <w:b w:val="false"/>
          <w:bCs w:val="false"/>
          <w:color w:val="1A1A1A"/>
          <w:sz w:val="24"/>
          <w:szCs w:val="24"/>
        </w:rPr>
        <w:t xml:space="preserve">وما يجعل هذا البرنامج فريداً أنه لم يُصمَّم من قِبَل خبير نفسي يقترح تقنيات — بل هو وحي يُخاطب البنية الفطرية للنفس مباشرةً. ولهذا يحمل من الدقة ما لا تبلغه أي تقنية علاجية بشرية.</w:t>
      </w:r>
    </w:p>
    <w:p>
      <w:pPr>
        <w:bidi/>
        <w:spacing w:before="320" w:after="160"/>
        <w:jc w:val="right"/>
      </w:pPr>
      <w:r>
        <w:rPr>
          <w:rFonts w:ascii="Arial" w:cs="Arial" w:eastAsia="Arial" w:hAnsi="Arial"/>
          <w:b/>
          <w:bCs/>
          <w:color w:val="2E6DA4"/>
          <w:sz w:val="30"/>
          <w:szCs w:val="30"/>
        </w:rPr>
        <w:t xml:space="preserve">١-٢ الصلاة والشبكة العصبية الافتراضية</w:t>
      </w:r>
    </w:p>
    <w:p>
      <w:pPr>
        <w:bidi/>
        <w:spacing w:before="150" w:after="170" w:line="400"/>
        <w:ind w:firstLine="720"/>
      </w:pPr>
      <w:r>
        <w:rPr>
          <w:rFonts w:ascii="Arial" w:cs="Arial" w:eastAsia="Arial" w:hAnsi="Arial"/>
          <w:b w:val="false"/>
          <w:bCs w:val="false"/>
          <w:color w:val="1A1A1A"/>
          <w:sz w:val="24"/>
          <w:szCs w:val="24"/>
        </w:rPr>
        <w:t xml:space="preserve">أثبت الفصل الثاني أن الخوارزمية تقتل اللوامة بالقضاء على الصمت — لأن الصمت شرط تشغيل الشبكة العصبية الافتراضية المسؤولة عن التأمل الذاتي والمحاسبة. والصلاة هي بالضبط ما يُعيد هذه الشبكة إلى العمل خمس مرات في اليوم:</w:t>
      </w:r>
    </w:p>
    <w:p>
      <w:pPr>
        <w:pBdr>
          <w:left w:val="single" w:color="2E6DA4" w:sz="20" w:space="6"/>
        </w:pBdr>
        <w:spacing w:before="200" w:after="160"/>
        <w:ind w:left="800" w:right="200"/>
        <w:jc w:val="left"/>
      </w:pPr>
      <w:r>
        <w:rPr>
          <w:rFonts w:ascii="Arial" w:cs="Arial" w:eastAsia="Arial" w:hAnsi="Arial"/>
          <w:color w:val="2A2A2A"/>
          <w:sz w:val="22"/>
          <w:szCs w:val="22"/>
        </w:rPr>
        <w:t xml:space="preserve">« La prière — lorsqu'elle implique une focalisation de l'attention, une posture corporelle spécifique et une rupture avec l'environnement habituel — active précisément les régions cérébrales associées à l'autoréflexion, à la régulation émotionnelle et à la conscience morale. »</w:t>
      </w:r>
      <w:r>
        <w:rPr>
          <w:rFonts w:ascii="Arial" w:cs="Arial" w:eastAsia="Arial" w:hAnsi="Arial"/>
          <w:color w:val="666666"/>
          <w:sz w:val="19"/>
          <w:szCs w:val="19"/>
        </w:rPr>
        <w:br/>
        <w:t xml:space="preserve">
— Andrew Newberg &amp; Mark Waldman — How God Changes Your Brain (2009), Ballantine Books, New York, p. 54</w:t>
      </w:r>
    </w:p>
    <w:p>
      <w:pPr>
        <w:bidi/>
        <w:spacing w:before="150" w:after="170" w:line="400"/>
        <w:ind w:firstLine="720"/>
      </w:pPr>
      <w:r>
        <w:rPr>
          <w:rFonts w:ascii="Arial" w:cs="Arial" w:eastAsia="Arial" w:hAnsi="Arial"/>
          <w:b w:val="false"/>
          <w:bCs w:val="false"/>
          <w:color w:val="1A1A1A"/>
          <w:sz w:val="24"/>
          <w:szCs w:val="24"/>
        </w:rPr>
        <w:t xml:space="preserve">الدراسات العلمية على الصلاة والتأمل الديني تُثبت ما تُقرّره العقيدة: الصلاة الحقيقية الخاشعة تُنشّط القشرة الجبهية الأمامية — الجزء العصبي المسؤول عن الضبط الذاتي والحكم الأخلاقي والتخطيط البعيد الأمد. وهذا هو المقابل العصبي تماماً لما يُسمّيه القرآن اللوامة.</w:t>
      </w:r>
    </w:p>
    <w:p>
      <w:pPr>
        <w:bidi/>
        <w:spacing w:before="320" w:after="160"/>
        <w:jc w:val="right"/>
      </w:pPr>
      <w:r>
        <w:rPr>
          <w:rFonts w:ascii="Arial" w:cs="Arial" w:eastAsia="Arial" w:hAnsi="Arial"/>
          <w:b/>
          <w:bCs/>
          <w:color w:val="2E6DA4"/>
          <w:sz w:val="30"/>
          <w:szCs w:val="30"/>
        </w:rPr>
        <w:t xml:space="preserve">١-٣ الصلاة تُعالج الضلع السادس</w:t>
      </w:r>
    </w:p>
    <w:p>
      <w:pPr>
        <w:bidi/>
        <w:spacing w:before="150" w:after="170" w:line="400"/>
        <w:ind w:firstLine="720"/>
      </w:pPr>
      <w:r>
        <w:rPr>
          <w:rFonts w:ascii="Arial" w:cs="Arial" w:eastAsia="Arial" w:hAnsi="Arial"/>
          <w:b w:val="false"/>
          <w:bCs w:val="false"/>
          <w:color w:val="1A1A1A"/>
          <w:sz w:val="24"/>
          <w:szCs w:val="24"/>
        </w:rPr>
        <w:t xml:space="preserve">الضلع السادس في الهرم — اللوامة إلى المطمئنة — يحتاج إلى أداة تُنمّي ضلع التقوى في القاعدة وتُرسّخ الاتصال بالمرجعية المتعالية. الصلاة تفعل هذا بدقة:</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إِنَّ الصَّلَاةَ تَنْهَىٰ عَنِ الْفَحْشَاءِ وَالْمُنكَرِ وَلَذِكْرُ اللَّهِ أَكْبَرُ</w:t>
      </w:r>
      <w:r>
        <w:rPr>
          <w:rFonts w:ascii="Arial" w:cs="Arial" w:eastAsia="Arial" w:hAnsi="Arial"/>
          <w:color w:val="8B6914"/>
          <w:sz w:val="20"/>
          <w:szCs w:val="20"/>
        </w:rPr>
        <w:br/>
        <w:t xml:space="preserve">
— العنكبوت: ٤٥</w:t>
      </w:r>
    </w:p>
    <w:p>
      <w:pPr>
        <w:bidi/>
        <w:spacing w:before="150" w:after="170" w:line="400"/>
        <w:ind w:firstLine="720"/>
      </w:pPr>
      <w:r>
        <w:rPr>
          <w:rFonts w:ascii="Arial" w:cs="Arial" w:eastAsia="Arial" w:hAnsi="Arial"/>
          <w:b w:val="false"/>
          <w:bCs w:val="false"/>
          <w:color w:val="1A1A1A"/>
          <w:sz w:val="24"/>
          <w:szCs w:val="24"/>
        </w:rPr>
        <w:t xml:space="preserve">'تنهى عن الفحشاء والمنكر' — أي تُضعف ضلع الفجور وتُقوّي ضلع التقوى. لكن الأهم: 'ولذكر الله أكبر' — الصلاة نفسها ذكرٌ، وهذا الذكر هو آلية الاطمئنان كما أثبت الفصل الرابع.</w:t>
      </w:r>
    </w:p>
    <w:p>
      <w:pPr>
        <w:bidi/>
        <w:spacing w:before="320" w:after="160"/>
        <w:jc w:val="right"/>
      </w:pPr>
      <w:r>
        <w:rPr>
          <w:rFonts w:ascii="Arial" w:cs="Arial" w:eastAsia="Arial" w:hAnsi="Arial"/>
          <w:b/>
          <w:bCs/>
          <w:color w:val="2E6DA4"/>
          <w:sz w:val="30"/>
          <w:szCs w:val="30"/>
        </w:rPr>
        <w:t xml:space="preserve">١-٤ الصلاة في مواجهة الخوارزمية: تطبيق عملي</w:t>
      </w:r>
    </w:p>
    <w:p>
      <w:pPr>
        <w:bidi/>
        <w:spacing w:before="150" w:after="170" w:line="400"/>
        <w:ind w:firstLine="720"/>
      </w:pPr>
      <w:r>
        <w:rPr>
          <w:rFonts w:ascii="Arial" w:cs="Arial" w:eastAsia="Arial" w:hAnsi="Arial"/>
          <w:b w:val="false"/>
          <w:bCs w:val="false"/>
          <w:color w:val="1A1A1A"/>
          <w:sz w:val="24"/>
          <w:szCs w:val="24"/>
        </w:rPr>
        <w:t xml:space="preserve">حين يُدرك الإنسان أن الصلاة هي بالضبط ما تسعى الخوارزمية إلى تعطيله — الانقطاع والصمت والحضور مع الذات — يتغير موقفه منها تغيراً جذرياً: من واجب يُؤدَّى إلى سلاح يُشهَر. والاستراتيجية العملية تقوم على:</w:t>
      </w:r>
    </w:p>
    <w:p>
      <w:pPr>
        <w:bidi/>
        <w:spacing w:before="150" w:after="170" w:line="400"/>
        <w:ind w:firstLine="720"/>
      </w:pPr>
      <w:r>
        <w:rPr>
          <w:rFonts w:ascii="Arial" w:cs="Arial" w:eastAsia="Arial" w:hAnsi="Arial"/>
          <w:b/>
          <w:bCs/>
          <w:color w:val="1A1A1A"/>
          <w:sz w:val="24"/>
          <w:szCs w:val="24"/>
        </w:rPr>
        <w:t xml:space="preserve">أولاً — الصلاة في وقتها تماماً:</w:t>
      </w:r>
      <w:r>
        <w:rPr>
          <w:rFonts w:ascii="Arial" w:cs="Arial" w:eastAsia="Arial" w:hAnsi="Arial"/>
          <w:color w:val="1A1A1A"/>
          <w:sz w:val="24"/>
          <w:szCs w:val="24"/>
        </w:rPr>
        <w:t xml:space="preserve">  كل تأخير في الصلاة هو انتصار للخوارزمية على اللوامة. الإشعار الذي يُشغلك عن الأذان هو بالضبط استمرار لمنطق 'لا وقت للصمت'.</w:t>
      </w:r>
    </w:p>
    <w:p>
      <w:pPr>
        <w:bidi/>
        <w:spacing w:before="150" w:after="170" w:line="400"/>
        <w:ind w:firstLine="720"/>
      </w:pPr>
      <w:r>
        <w:rPr>
          <w:rFonts w:ascii="Arial" w:cs="Arial" w:eastAsia="Arial" w:hAnsi="Arial"/>
          <w:b/>
          <w:bCs/>
          <w:color w:val="1A1A1A"/>
          <w:sz w:val="24"/>
          <w:szCs w:val="24"/>
        </w:rPr>
        <w:t xml:space="preserve">ثانياً — الصلاة بلا هاتف في المتناول:</w:t>
      </w:r>
      <w:r>
        <w:rPr>
          <w:rFonts w:ascii="Arial" w:cs="Arial" w:eastAsia="Arial" w:hAnsi="Arial"/>
          <w:color w:val="1A1A1A"/>
          <w:sz w:val="24"/>
          <w:szCs w:val="24"/>
        </w:rPr>
        <w:t xml:space="preserve">  ليس فقط في وضع الصامت — بل في مكان آخر. فمجرد وجوده يُقلّل الحضور الذهني، كما أثبتت دراسة وارد (2017).</w:t>
      </w:r>
    </w:p>
    <w:p>
      <w:pPr>
        <w:bidi/>
        <w:spacing w:before="150" w:after="170" w:line="400"/>
        <w:ind w:firstLine="720"/>
      </w:pPr>
      <w:r>
        <w:rPr>
          <w:rFonts w:ascii="Arial" w:cs="Arial" w:eastAsia="Arial" w:hAnsi="Arial"/>
          <w:b/>
          <w:bCs/>
          <w:color w:val="1A1A1A"/>
          <w:sz w:val="24"/>
          <w:szCs w:val="24"/>
        </w:rPr>
        <w:t xml:space="preserve">ثالثاً — الصلاة بالتدبر لا بالتسرّع:</w:t>
      </w:r>
      <w:r>
        <w:rPr>
          <w:rFonts w:ascii="Arial" w:cs="Arial" w:eastAsia="Arial" w:hAnsi="Arial"/>
          <w:color w:val="1A1A1A"/>
          <w:sz w:val="24"/>
          <w:szCs w:val="24"/>
        </w:rPr>
        <w:t xml:space="preserve">  الصلاة السريعة التي تُشبه منطق 'التمرير' الرقمي لا تُشغّل اللوامة بالدرجة الكافية. الخشوع هو الشرط الذي يُحوّلها من حركات إلى تحول.</w:t>
      </w:r>
    </w:p>
    <w:p>
      <w:pPr>
        <w:pBdr>
          <w:left w:val="single" w:color="2E6DA4" w:sz="20" w:space="6"/>
        </w:pBdr>
        <w:spacing w:before="200" w:after="160"/>
        <w:ind w:left="800" w:right="200"/>
        <w:jc w:val="left"/>
      </w:pPr>
      <w:r>
        <w:rPr>
          <w:rFonts w:ascii="Arial" w:cs="Arial" w:eastAsia="Arial" w:hAnsi="Arial"/>
          <w:color w:val="2A2A2A"/>
          <w:sz w:val="22"/>
          <w:szCs w:val="22"/>
        </w:rPr>
        <w:t xml:space="preserve">« La qualité de la prière — et non sa seule fréquence — est le prédicteur le plus fort de ses effets bénéfiques sur la santé mentale. La prière contemplative active des circuits cérébraux profondément différents de la prière automatique. »</w:t>
      </w:r>
      <w:r>
        <w:rPr>
          <w:rFonts w:ascii="Arial" w:cs="Arial" w:eastAsia="Arial" w:hAnsi="Arial"/>
          <w:color w:val="666666"/>
          <w:sz w:val="19"/>
          <w:szCs w:val="19"/>
        </w:rPr>
        <w:br/>
        <w:t xml:space="preserve">
— Patrick McNamara — The Neuroscience of Religious Experience (2009), Cambridge University Press, p. 178</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٢ — الآلية الثانية: الذكر — استمرارية الحضور</w:t>
      </w:r>
    </w:p>
    <w:p>
      <w:pPr>
        <w:bidi/>
        <w:spacing w:before="320" w:after="160"/>
        <w:jc w:val="right"/>
      </w:pPr>
      <w:r>
        <w:rPr>
          <w:rFonts w:ascii="Arial" w:cs="Arial" w:eastAsia="Arial" w:hAnsi="Arial"/>
          <w:b/>
          <w:bCs/>
          <w:color w:val="2E6DA4"/>
          <w:sz w:val="30"/>
          <w:szCs w:val="30"/>
        </w:rPr>
        <w:t xml:space="preserve">٢-١ الذكر وأزمة الانتباه الرقمية</w:t>
      </w:r>
    </w:p>
    <w:p>
      <w:pPr>
        <w:bidi/>
        <w:spacing w:before="150" w:after="170" w:line="400"/>
        <w:ind w:firstLine="720"/>
      </w:pPr>
      <w:r>
        <w:rPr>
          <w:rFonts w:ascii="Arial" w:cs="Arial" w:eastAsia="Arial" w:hAnsi="Arial"/>
          <w:b w:val="false"/>
          <w:bCs w:val="false"/>
          <w:color w:val="1A1A1A"/>
          <w:sz w:val="24"/>
          <w:szCs w:val="24"/>
        </w:rPr>
        <w:t xml:space="preserve">إذا كانت الصلاة هي الفاصل المُبرمَج الذي يُعيد تشغيل اللوامة خمس مرات، فإن الذكر هو الذي يُحافظ على هذا التشغيل بين الصلوات. والأزمة الرقمية في جوهرها أزمة انتباه — انتباه مُخطوف من قِبَل الخوارزمية وموزَّع على آلاف المنبّهات المتناثرة.</w:t>
      </w:r>
    </w:p>
    <w:p>
      <w:pPr>
        <w:bidi/>
        <w:spacing w:before="150" w:after="170" w:line="400"/>
        <w:ind w:firstLine="720"/>
      </w:pPr>
      <w:r>
        <w:rPr>
          <w:rFonts w:ascii="Arial" w:cs="Arial" w:eastAsia="Arial" w:hAnsi="Arial"/>
          <w:b w:val="false"/>
          <w:bCs w:val="false"/>
          <w:color w:val="1A1A1A"/>
          <w:sz w:val="24"/>
          <w:szCs w:val="24"/>
        </w:rPr>
        <w:t xml:space="preserve">الذكر هو الأداة القرآنية لاستعادة الانتباه وتوحيده — لا بالانعزال عن العالم بل بإعادة توجيه الانتباه نحو مرجعية ثابتة وسط الفوضى:</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أَلَا بِذِكْرِ اللَّهِ تَطْمَئِنُّ الْقُلُوبُ</w:t>
      </w:r>
      <w:r>
        <w:rPr>
          <w:rFonts w:ascii="Arial" w:cs="Arial" w:eastAsia="Arial" w:hAnsi="Arial"/>
          <w:color w:val="8B6914"/>
          <w:sz w:val="20"/>
          <w:szCs w:val="20"/>
        </w:rPr>
        <w:br/>
        <w:t xml:space="preserve">
— الرعد: ٢٨</w:t>
      </w:r>
    </w:p>
    <w:p>
      <w:pPr>
        <w:bidi/>
        <w:spacing w:before="150" w:after="170" w:line="400"/>
        <w:ind w:firstLine="720"/>
      </w:pPr>
      <w:r>
        <w:rPr>
          <w:rFonts w:ascii="Arial" w:cs="Arial" w:eastAsia="Arial" w:hAnsi="Arial"/>
          <w:b w:val="false"/>
          <w:bCs w:val="false"/>
          <w:color w:val="1A1A1A"/>
          <w:sz w:val="24"/>
          <w:szCs w:val="24"/>
        </w:rPr>
        <w:t xml:space="preserve">'تطمئن القلوب' — صيغة المضارع تُفيد الاستمرارية: كلما كان الذكر كان الاطمئنان، وكلما انقطع الذكر انقطع الاطمئنان. وهذا يعني أن الاطمئنان ليس حالةً تُكتسب مرةً واحدة بل هو نتيجة فعل مستمر.</w:t>
      </w:r>
    </w:p>
    <w:p>
      <w:pPr>
        <w:bidi/>
        <w:spacing w:before="320" w:after="160"/>
        <w:jc w:val="right"/>
      </w:pPr>
      <w:r>
        <w:rPr>
          <w:rFonts w:ascii="Arial" w:cs="Arial" w:eastAsia="Arial" w:hAnsi="Arial"/>
          <w:b/>
          <w:bCs/>
          <w:color w:val="2E6DA4"/>
          <w:sz w:val="30"/>
          <w:szCs w:val="30"/>
        </w:rPr>
        <w:t xml:space="preserve">٢-٢ الذكر كإدارة للانتباه</w:t>
      </w:r>
    </w:p>
    <w:p>
      <w:pPr>
        <w:bidi/>
        <w:spacing w:before="150" w:after="170" w:line="400"/>
        <w:ind w:firstLine="720"/>
      </w:pPr>
      <w:r>
        <w:rPr>
          <w:rFonts w:ascii="Arial" w:cs="Arial" w:eastAsia="Arial" w:hAnsi="Arial"/>
          <w:b w:val="false"/>
          <w:bCs w:val="false"/>
          <w:color w:val="1A1A1A"/>
          <w:sz w:val="24"/>
          <w:szCs w:val="24"/>
        </w:rPr>
        <w:t xml:space="preserve">علم الأعصاب المعرفي يتحدث اليوم عن 'اقتصاد الانتباه' — الانتباه مورد محدود يُنافس عليه. والخوارزمية تسرق هذا المورد بالإشعارات والمحتوى المُدمن. الذكر يُقدّم آلية استعادة تعمل في الاتجاه المعاكس تماماً:</w:t>
      </w:r>
    </w:p>
    <w:p>
      <w:pPr>
        <w:pBdr>
          <w:left w:val="single" w:color="2E6DA4" w:sz="20" w:space="6"/>
        </w:pBdr>
        <w:spacing w:before="200" w:after="160"/>
        <w:ind w:left="800" w:right="200"/>
        <w:jc w:val="left"/>
      </w:pPr>
      <w:r>
        <w:rPr>
          <w:rFonts w:ascii="Arial" w:cs="Arial" w:eastAsia="Arial" w:hAnsi="Arial"/>
          <w:color w:val="2A2A2A"/>
          <w:sz w:val="22"/>
          <w:szCs w:val="22"/>
        </w:rPr>
        <w:t xml:space="preserve">« L'attention est la forme la plus pure d'amour. Ce à quoi nous accordons notre attention détermine ce que nous devenons. La vigilance spirituelle — équivalente au dhikr — est l'exercice d'orienter délibérément l'attention vers ce qui nous transcende. »</w:t>
      </w:r>
      <w:r>
        <w:rPr>
          <w:rFonts w:ascii="Arial" w:cs="Arial" w:eastAsia="Arial" w:hAnsi="Arial"/>
          <w:color w:val="666666"/>
          <w:sz w:val="19"/>
          <w:szCs w:val="19"/>
        </w:rPr>
        <w:br/>
        <w:t xml:space="preserve">
— Simone Weil — Attente de Dieu (1950), Fayard, Paris, p. 93</w:t>
      </w:r>
    </w:p>
    <w:p>
      <w:pPr>
        <w:bidi/>
        <w:spacing w:before="150" w:after="170" w:line="400"/>
        <w:ind w:firstLine="720"/>
      </w:pPr>
      <w:r>
        <w:rPr>
          <w:rFonts w:ascii="Arial" w:cs="Arial" w:eastAsia="Arial" w:hAnsi="Arial"/>
          <w:b w:val="false"/>
          <w:bCs w:val="false"/>
          <w:color w:val="1A1A1A"/>
          <w:sz w:val="24"/>
          <w:szCs w:val="24"/>
        </w:rPr>
        <w:t xml:space="preserve">سيمون ڤاي — الفيلسوفة الفرنسية غير المسلمة — وصلت إلى فهم عميق لما يُسمّيه القرآن الذكر: أن توجيه الانتباه نحو المتعالي هو أعلى ممارسة روحية إنسانية. وهذا بالضبط ما يفعله الذكر في مواجهة الخوارزمية.</w:t>
      </w:r>
    </w:p>
    <w:p>
      <w:pPr>
        <w:bidi/>
        <w:spacing w:before="320" w:after="160"/>
        <w:jc w:val="right"/>
      </w:pPr>
      <w:r>
        <w:rPr>
          <w:rFonts w:ascii="Arial" w:cs="Arial" w:eastAsia="Arial" w:hAnsi="Arial"/>
          <w:b/>
          <w:bCs/>
          <w:color w:val="2E6DA4"/>
          <w:sz w:val="30"/>
          <w:szCs w:val="30"/>
        </w:rPr>
        <w:t xml:space="preserve">٢-٣ أنواع الذكر وتطبيقها الرقمي</w:t>
      </w:r>
    </w:p>
    <w:p>
      <w:pPr>
        <w:bidi/>
        <w:spacing w:before="220" w:after="110"/>
        <w:jc w:val="right"/>
      </w:pPr>
      <w:r>
        <w:rPr>
          <w:rFonts w:ascii="Arial" w:cs="Arial" w:eastAsia="Arial" w:hAnsi="Arial"/>
          <w:b/>
          <w:bCs/>
          <w:color w:val="4A8FC1"/>
          <w:sz w:val="26"/>
          <w:szCs w:val="26"/>
        </w:rPr>
        <w:t xml:space="preserve">أ — الذكر القلبي</w:t>
      </w:r>
    </w:p>
    <w:p>
      <w:pPr>
        <w:bidi/>
        <w:spacing w:before="150" w:after="170" w:line="400"/>
        <w:ind w:firstLine="720"/>
      </w:pPr>
      <w:r>
        <w:rPr>
          <w:rFonts w:ascii="Arial" w:cs="Arial" w:eastAsia="Arial" w:hAnsi="Arial"/>
          <w:b w:val="false"/>
          <w:bCs w:val="false"/>
          <w:color w:val="1A1A1A"/>
          <w:sz w:val="24"/>
          <w:szCs w:val="24"/>
        </w:rPr>
        <w:t xml:space="preserve">استحضار الله في الانتباه الداخلي دون كلام ظاهر — وهو ممكن في كل لحظة حتى أثناء العمل الرقمي. والبداية باتخاذ لحظة 'توقف واعٍ' قبل فتح أي تطبيق: من أنا؟ لماذا أفتح هذا الآن؟ هل هذا في خدمة استخلافي؟</w:t>
      </w:r>
    </w:p>
    <w:p>
      <w:pPr>
        <w:bidi/>
        <w:spacing w:before="220" w:after="110"/>
        <w:jc w:val="right"/>
      </w:pPr>
      <w:r>
        <w:rPr>
          <w:rFonts w:ascii="Arial" w:cs="Arial" w:eastAsia="Arial" w:hAnsi="Arial"/>
          <w:b/>
          <w:bCs/>
          <w:color w:val="4A8FC1"/>
          <w:sz w:val="26"/>
          <w:szCs w:val="26"/>
        </w:rPr>
        <w:t xml:space="preserve">ب — الذكر اللساني</w:t>
      </w:r>
    </w:p>
    <w:p>
      <w:pPr>
        <w:bidi/>
        <w:spacing w:before="150" w:after="170" w:line="400"/>
        <w:ind w:firstLine="720"/>
      </w:pPr>
      <w:r>
        <w:rPr>
          <w:rFonts w:ascii="Arial" w:cs="Arial" w:eastAsia="Arial" w:hAnsi="Arial"/>
          <w:b w:val="false"/>
          <w:bCs w:val="false"/>
          <w:color w:val="1A1A1A"/>
          <w:sz w:val="24"/>
          <w:szCs w:val="24"/>
        </w:rPr>
        <w:t xml:space="preserve">التسبيح والتهليل والاستغفار في أوقات الانتقال الرقمي — بين تطبيق وآخر، قبل النوم، عند الاستيقاظ. هذه اللحظات هي بالضبط اللحظات التي تستهدفها الخوارزمية بالإشعارات، لأنها لحظات الانتقال الواعي.</w:t>
      </w:r>
    </w:p>
    <w:p>
      <w:pPr>
        <w:bidi/>
        <w:spacing w:before="220" w:after="110"/>
        <w:jc w:val="right"/>
      </w:pPr>
      <w:r>
        <w:rPr>
          <w:rFonts w:ascii="Arial" w:cs="Arial" w:eastAsia="Arial" w:hAnsi="Arial"/>
          <w:b/>
          <w:bCs/>
          <w:color w:val="4A8FC1"/>
          <w:sz w:val="26"/>
          <w:szCs w:val="26"/>
        </w:rPr>
        <w:t xml:space="preserve">ج — الذكر بالقرآن</w:t>
      </w:r>
    </w:p>
    <w:p>
      <w:pPr>
        <w:bidi/>
        <w:spacing w:before="150" w:after="170" w:line="400"/>
        <w:ind w:firstLine="720"/>
      </w:pPr>
      <w:r>
        <w:rPr>
          <w:rFonts w:ascii="Arial" w:cs="Arial" w:eastAsia="Arial" w:hAnsi="Arial"/>
          <w:b w:val="false"/>
          <w:bCs w:val="false"/>
          <w:color w:val="1A1A1A"/>
          <w:sz w:val="24"/>
          <w:szCs w:val="24"/>
        </w:rPr>
        <w:t xml:space="preserve">قراءة القرآن تتجاوز الذكر إلى التدبر — وهي تُطال أعمق من الذكر العادي لأنها تُفعّل مستوى التقوى الفطري وتُنشّط الضلع الثاني في القاعدة. وعشر دقائق من التدبر القرآني الحقيقي أعمق أثراً من ساعة من التمرير الرقمي.</w:t>
      </w:r>
    </w:p>
    <w:p>
      <w:pPr>
        <w:pBdr>
          <w:left w:val="single" w:color="2E6DA4" w:sz="20" w:space="6"/>
        </w:pBdr>
        <w:spacing w:before="200" w:after="160"/>
        <w:ind w:left="800" w:right="200"/>
        <w:jc w:val="left"/>
      </w:pPr>
      <w:r>
        <w:rPr>
          <w:rFonts w:ascii="Arial" w:cs="Arial" w:eastAsia="Arial" w:hAnsi="Arial"/>
          <w:color w:val="2A2A2A"/>
          <w:sz w:val="22"/>
          <w:szCs w:val="22"/>
        </w:rPr>
        <w:t xml:space="preserve">« La récitation et la contemplation du texte sacré engage un mode cognitif radicalement différent de la consommation numérique — il active la pensée lente, profonde et intégratrice plutôt que la pensée rapide, fragmentée et réactive. »</w:t>
      </w:r>
      <w:r>
        <w:rPr>
          <w:rFonts w:ascii="Arial" w:cs="Arial" w:eastAsia="Arial" w:hAnsi="Arial"/>
          <w:color w:val="666666"/>
          <w:sz w:val="19"/>
          <w:szCs w:val="19"/>
        </w:rPr>
        <w:br/>
        <w:t xml:space="preserve">
— Maryanne Wolf — Proust et le calamar : Histoire et science du cerveau qui lit (2008), Alouette, Paris, p. 218</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٣ — الآلية الثالثة: التوبة — مسار الانتقال المفتوح</w:t>
      </w:r>
    </w:p>
    <w:p>
      <w:pPr>
        <w:bidi/>
        <w:spacing w:before="320" w:after="160"/>
        <w:jc w:val="right"/>
      </w:pPr>
      <w:r>
        <w:rPr>
          <w:rFonts w:ascii="Arial" w:cs="Arial" w:eastAsia="Arial" w:hAnsi="Arial"/>
          <w:b/>
          <w:bCs/>
          <w:color w:val="2E6DA4"/>
          <w:sz w:val="30"/>
          <w:szCs w:val="30"/>
        </w:rPr>
        <w:t xml:space="preserve">٣-١ التوبة كمسار لا كحدث</w:t>
      </w:r>
    </w:p>
    <w:p>
      <w:pPr>
        <w:bidi/>
        <w:spacing w:before="150" w:after="170" w:line="400"/>
        <w:ind w:firstLine="720"/>
      </w:pPr>
      <w:r>
        <w:rPr>
          <w:rFonts w:ascii="Arial" w:cs="Arial" w:eastAsia="Arial" w:hAnsi="Arial"/>
          <w:b w:val="false"/>
          <w:bCs w:val="false"/>
          <w:color w:val="1A1A1A"/>
          <w:sz w:val="24"/>
          <w:szCs w:val="24"/>
        </w:rPr>
        <w:t xml:space="preserve">أوضح الفصل الرابع أن التوبة تُحوّل الذنب من سجن إلى باب. غير أن الجانب العملي الذي يستحق التفصيل هو أن التوبة في النموذج القرآني ليست حدثاً استثنائياً يقع مرةً واحدة عند الانهيار الكبير — بل هي مسار مستمر يجري بصورة دورية منتظمة.</w:t>
      </w:r>
    </w:p>
    <w:p>
      <w:pPr>
        <w:bidi/>
        <w:spacing w:before="150" w:after="170" w:line="400"/>
        <w:ind w:firstLine="720"/>
      </w:pPr>
      <w:r>
        <w:rPr>
          <w:rFonts w:ascii="Arial" w:cs="Arial" w:eastAsia="Arial" w:hAnsi="Arial"/>
          <w:b w:val="false"/>
          <w:bCs w:val="false"/>
          <w:color w:val="1A1A1A"/>
          <w:sz w:val="24"/>
          <w:szCs w:val="24"/>
        </w:rPr>
        <w:t xml:space="preserve">ولهذا جاء الاستغفار في القرآن والسنة بصيغة التكرار والاستمرار لا الاستثناء. حتى النبي صلى الله عليه وسلم — الذي غُفر له ما تقدّم من ذنبه وما تأخّر — كان يستغفر في اليوم أكثر من سبعين مرة:</w:t>
      </w:r>
    </w:p>
    <w:p>
      <w:pPr>
        <w:pBdr>
          <w:right w:val="single" w:color="2E6DA4" w:sz="20" w:space="6"/>
        </w:pBdr>
        <w:bidi/>
        <w:spacing w:before="220" w:after="160"/>
        <w:ind w:left="500" w:right="900"/>
      </w:pPr>
      <w:r>
        <w:rPr>
          <w:rFonts w:ascii="Arial" w:cs="Arial" w:eastAsia="Arial" w:hAnsi="Arial"/>
          <w:color w:val="2A2A2A"/>
          <w:sz w:val="23"/>
          <w:szCs w:val="23"/>
        </w:rPr>
        <w:t xml:space="preserve">"وَاللَّهِ إِنِّي لَأَسْتَغْفِرُ اللَّهَ وَأَتُوبُ إِلَيهِ في اليَوْمِ أَكْثَرَ مِن سَبعينَ مَرَّة"</w:t>
      </w:r>
      <w:r>
        <w:rPr>
          <w:rFonts w:ascii="Arial" w:cs="Arial" w:eastAsia="Arial" w:hAnsi="Arial"/>
          <w:color w:val="555555"/>
          <w:sz w:val="20"/>
          <w:szCs w:val="20"/>
        </w:rPr>
        <w:br/>
        <w:t xml:space="preserve">
— صحيح البخاري، كتاب الدعوات، ص. حديث ٦٣٠٧</w:t>
      </w:r>
    </w:p>
    <w:p>
      <w:pPr>
        <w:bidi/>
        <w:spacing w:before="150" w:after="170" w:line="400"/>
        <w:ind w:firstLine="720"/>
      </w:pPr>
      <w:r>
        <w:rPr>
          <w:rFonts w:ascii="Arial" w:cs="Arial" w:eastAsia="Arial" w:hAnsi="Arial"/>
          <w:b w:val="false"/>
          <w:bCs w:val="false"/>
          <w:color w:val="1A1A1A"/>
          <w:sz w:val="24"/>
          <w:szCs w:val="24"/>
        </w:rPr>
        <w:t xml:space="preserve">هذا الاستغفار المتكرر من أفضل البشر يُعلّمنا أن التوبة ليست اعترافاً بالانهيار — بل هي عادة نفسية صحية تُبقي قناة اللوامة مفتوحة وتُجدّد الصلة بالمرجعية المتعالية.</w:t>
      </w:r>
    </w:p>
    <w:p>
      <w:pPr>
        <w:bidi/>
        <w:spacing w:before="320" w:after="160"/>
        <w:jc w:val="right"/>
      </w:pPr>
      <w:r>
        <w:rPr>
          <w:rFonts w:ascii="Arial" w:cs="Arial" w:eastAsia="Arial" w:hAnsi="Arial"/>
          <w:b/>
          <w:bCs/>
          <w:color w:val="2E6DA4"/>
          <w:sz w:val="30"/>
          <w:szCs w:val="30"/>
        </w:rPr>
        <w:t xml:space="preserve">٣-٢ التوبة الرقمية: مفهوم عملي</w:t>
      </w:r>
    </w:p>
    <w:p>
      <w:pPr>
        <w:bidi/>
        <w:spacing w:before="150" w:after="170" w:line="400"/>
        <w:ind w:firstLine="720"/>
      </w:pPr>
      <w:r>
        <w:rPr>
          <w:rFonts w:ascii="Arial" w:cs="Arial" w:eastAsia="Arial" w:hAnsi="Arial"/>
          <w:b w:val="false"/>
          <w:bCs w:val="false"/>
          <w:color w:val="1A1A1A"/>
          <w:sz w:val="24"/>
          <w:szCs w:val="24"/>
        </w:rPr>
        <w:t xml:space="preserve">بناءً على هذا الفهم، يمكن اقتراح مفهوم 'التوبة الرقمية' كآلية عملية يومية: محاسبة دورية للنفس على استخدامها الرقمي، لا بالمعنى القانوني الصارم بل بالمعنى النفسي الصحي.</w:t>
      </w:r>
    </w:p>
    <w:p>
      <w:pPr>
        <w:bidi/>
        <w:spacing w:before="150" w:after="170" w:line="400"/>
        <w:ind w:firstLine="720"/>
      </w:pPr>
      <w:r>
        <w:rPr>
          <w:rFonts w:ascii="Arial" w:cs="Arial" w:eastAsia="Arial" w:hAnsi="Arial"/>
          <w:b/>
          <w:bCs/>
          <w:color w:val="1A1A1A"/>
          <w:sz w:val="24"/>
          <w:szCs w:val="24"/>
        </w:rPr>
        <w:t xml:space="preserve">المحاسبة اليومية:</w:t>
      </w:r>
      <w:r>
        <w:rPr>
          <w:rFonts w:ascii="Arial" w:cs="Arial" w:eastAsia="Arial" w:hAnsi="Arial"/>
          <w:color w:val="1A1A1A"/>
          <w:sz w:val="24"/>
          <w:szCs w:val="24"/>
        </w:rPr>
        <w:t xml:space="preserve">  قبل النوم — سؤال النفس: كيف استخدمت انتباهي اليوم؟ هل خدم استخلافي؟ أين انجرفت دون وعي؟ هذا السؤال الثلاثي يُفعّل اللوامة بصورة صحية ويمنعها من الخمود.</w:t>
      </w:r>
    </w:p>
    <w:p>
      <w:pPr>
        <w:bidi/>
        <w:spacing w:before="150" w:after="170" w:line="400"/>
        <w:ind w:firstLine="720"/>
      </w:pPr>
      <w:r>
        <w:rPr>
          <w:rFonts w:ascii="Arial" w:cs="Arial" w:eastAsia="Arial" w:hAnsi="Arial"/>
          <w:b/>
          <w:bCs/>
          <w:color w:val="1A1A1A"/>
          <w:sz w:val="24"/>
          <w:szCs w:val="24"/>
        </w:rPr>
        <w:t xml:space="preserve">الاستغفار الرقمي:</w:t>
      </w:r>
      <w:r>
        <w:rPr>
          <w:rFonts w:ascii="Arial" w:cs="Arial" w:eastAsia="Arial" w:hAnsi="Arial"/>
          <w:color w:val="1A1A1A"/>
          <w:sz w:val="24"/>
          <w:szCs w:val="24"/>
        </w:rPr>
        <w:t xml:space="preserve">  لحظات الإفراط في الاستخدام الرقمي — التمرير الطويل، الانجراف في المحتوى غير المفيد — يمكن أن تُقابَل باستغفار حقيقي لا رمزي: 'اللهم إني أستغفرك من كل ما أضعت من وقتي وانتباهي'.</w:t>
      </w:r>
    </w:p>
    <w:p>
      <w:pPr>
        <w:bidi/>
        <w:spacing w:before="150" w:after="170" w:line="400"/>
        <w:ind w:firstLine="720"/>
      </w:pPr>
      <w:r>
        <w:rPr>
          <w:rFonts w:ascii="Arial" w:cs="Arial" w:eastAsia="Arial" w:hAnsi="Arial"/>
          <w:b/>
          <w:bCs/>
          <w:color w:val="1A1A1A"/>
          <w:sz w:val="24"/>
          <w:szCs w:val="24"/>
        </w:rPr>
        <w:t xml:space="preserve">العزم الرقمي:</w:t>
      </w:r>
      <w:r>
        <w:rPr>
          <w:rFonts w:ascii="Arial" w:cs="Arial" w:eastAsia="Arial" w:hAnsi="Arial"/>
          <w:color w:val="1A1A1A"/>
          <w:sz w:val="24"/>
          <w:szCs w:val="24"/>
        </w:rPr>
        <w:t xml:space="preserve">  التوبة تشترط العزم على عدم العودة. والعزم الرقمي هو تحديد حدود استخدام واقعية قابلة للالتزام — لا مثالية مستحيلة تُؤدي إلى الإحباط ثم الانهيار.</w:t>
      </w:r>
    </w:p>
    <w:p>
      <w:pPr>
        <w:pBdr>
          <w:top w:val="single" w:color="B8860B" w:sz="2"/>
          <w:bottom w:val="single" w:color="B8860B" w:sz="2"/>
          <w:left w:val="single" w:color="B8860B" w:sz="14"/>
          <w:right w:val="single" w:color="B8860B" w:sz="14"/>
        </w:pBdr>
        <w:shd w:fill="FFFBEC" w:val="clear"/>
        <w:bidi/>
        <w:spacing w:before="200" w:after="160"/>
      </w:pPr>
      <w:r>
        <w:rPr>
          <w:rFonts w:ascii="Arial" w:cs="Arial" w:eastAsia="Arial" w:hAnsi="Arial"/>
          <w:color w:val="7A5000"/>
          <w:sz w:val="22"/>
          <w:szCs w:val="22"/>
        </w:rPr>
        <w:t xml:space="preserve">التوبة الرقمية ليست إدانة للنفس بل إعادة توجيه لها. الهدف ليس أن تشعر بالذنب إزاء استخدامك الرقمي — بل أن تُبقي اللوامة فاعلة وقناة الصعود في الهرم مفتوحة.</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٤ — الآلية الرابعة: التدبر — إعادة بناء القدرة على التفكير العميق</w:t>
      </w:r>
    </w:p>
    <w:p>
      <w:pPr>
        <w:bidi/>
        <w:spacing w:before="320" w:after="160"/>
        <w:jc w:val="right"/>
      </w:pPr>
      <w:r>
        <w:rPr>
          <w:rFonts w:ascii="Arial" w:cs="Arial" w:eastAsia="Arial" w:hAnsi="Arial"/>
          <w:b/>
          <w:bCs/>
          <w:color w:val="2E6DA4"/>
          <w:sz w:val="30"/>
          <w:szCs w:val="30"/>
        </w:rPr>
        <w:t xml:space="preserve">٤-١ التدبر كضد جوهري للتمرير</w:t>
      </w:r>
    </w:p>
    <w:p>
      <w:pPr>
        <w:bidi/>
        <w:spacing w:before="150" w:after="170" w:line="400"/>
        <w:ind w:firstLine="720"/>
      </w:pPr>
      <w:r>
        <w:rPr>
          <w:rFonts w:ascii="Arial" w:cs="Arial" w:eastAsia="Arial" w:hAnsi="Arial"/>
          <w:b w:val="false"/>
          <w:bCs w:val="false"/>
          <w:color w:val="1A1A1A"/>
          <w:sz w:val="24"/>
          <w:szCs w:val="24"/>
        </w:rPr>
        <w:t xml:space="preserve">أثبت الفصل الثاني أن الخوارزمية تُضعف اللوامة جزئياً بتدمير القدرة على التفكير العميق المتواصل. وأن المحتوى الرقمي المتقطع يُدرّب الدماغ على المعالجة السريعة السطحية. التدبر — بوصفه تأملاً عميقاً طويلاً في آيات القرآن — هو الضد الجوهري لهذا التدريب.</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كِتَابٌ أَنزَلْنَاهُ إِلَيْكَ مُبَارَكٌ لِّيَدَّبَّرُوا آيَاتِهِ وَلِيَتَذَكَّرَ أُولُو الْأَلْبَابِ</w:t>
      </w:r>
      <w:r>
        <w:rPr>
          <w:rFonts w:ascii="Arial" w:cs="Arial" w:eastAsia="Arial" w:hAnsi="Arial"/>
          <w:color w:val="8B6914"/>
          <w:sz w:val="20"/>
          <w:szCs w:val="20"/>
        </w:rPr>
        <w:br/>
        <w:t xml:space="preserve">
— ص: ٢٩</w:t>
      </w:r>
    </w:p>
    <w:p>
      <w:pPr>
        <w:bidi/>
        <w:spacing w:before="150" w:after="170" w:line="400"/>
        <w:ind w:firstLine="720"/>
      </w:pPr>
      <w:r>
        <w:rPr>
          <w:rFonts w:ascii="Arial" w:cs="Arial" w:eastAsia="Arial" w:hAnsi="Arial"/>
          <w:b w:val="false"/>
          <w:bCs w:val="false"/>
          <w:color w:val="1A1A1A"/>
          <w:sz w:val="24"/>
          <w:szCs w:val="24"/>
        </w:rPr>
        <w:t xml:space="preserve">'ليدّبّروا' — اللام لام التعليل. أي أن القرآن أُنزل لغاية التدبر — ليس مجرد التلاوة والسماع. وهذا يُضفي على التدبر ثقلاً وجوبياً لا استحبابياً: لا تُكتمل العلاقة مع القرآن إلا بالتدبر.</w:t>
      </w:r>
    </w:p>
    <w:p>
      <w:pPr>
        <w:bidi/>
        <w:spacing w:before="320" w:after="160"/>
        <w:jc w:val="right"/>
      </w:pPr>
      <w:r>
        <w:rPr>
          <w:rFonts w:ascii="Arial" w:cs="Arial" w:eastAsia="Arial" w:hAnsi="Arial"/>
          <w:b/>
          <w:bCs/>
          <w:color w:val="2E6DA4"/>
          <w:sz w:val="30"/>
          <w:szCs w:val="30"/>
        </w:rPr>
        <w:t xml:space="preserve">٤-٢ التدبر كممارسة لإعادة بناء الدماغ</w:t>
      </w:r>
    </w:p>
    <w:p>
      <w:pPr>
        <w:bidi/>
        <w:spacing w:before="150" w:after="170" w:line="400"/>
        <w:ind w:firstLine="720"/>
      </w:pPr>
      <w:r>
        <w:rPr>
          <w:rFonts w:ascii="Arial" w:cs="Arial" w:eastAsia="Arial" w:hAnsi="Arial"/>
          <w:b w:val="false"/>
          <w:bCs w:val="false"/>
          <w:color w:val="1A1A1A"/>
          <w:sz w:val="24"/>
          <w:szCs w:val="24"/>
        </w:rPr>
        <w:t xml:space="preserve">علم الأعصاب يُؤكد ما قرّره القرآن: الدماغ البشري قابل لإعادة البرمجة (Neuroplasticity). والعادات الذهنية تُشكّل الشبكات العصبية بصورة دائمة. هذا يعني أن التدبر المنتظم — كممارسة يومية لتركيز الانتباه العميق — يُعيد بناء القدرات المعرفية التي أضعفها الاستخدام الرقمي المزمن:</w:t>
      </w:r>
    </w:p>
    <w:p>
      <w:pPr>
        <w:pBdr>
          <w:left w:val="single" w:color="2E6DA4" w:sz="20" w:space="6"/>
        </w:pBdr>
        <w:spacing w:before="200" w:after="160"/>
        <w:ind w:left="800" w:right="200"/>
        <w:jc w:val="left"/>
      </w:pPr>
      <w:r>
        <w:rPr>
          <w:rFonts w:ascii="Arial" w:cs="Arial" w:eastAsia="Arial" w:hAnsi="Arial"/>
          <w:color w:val="2A2A2A"/>
          <w:sz w:val="22"/>
          <w:szCs w:val="22"/>
        </w:rPr>
        <w:t xml:space="preserve">« Le cerveau adulte est beaucoup plus plastique qu'on ne le pensait. Chaque expérience mentale répétée sculpte les circuits neuronaux. Une pratique quotidienne de lecture profonde et contemplative peut inverser les effets du zapping numérique sur la concentration. »</w:t>
      </w:r>
      <w:r>
        <w:rPr>
          <w:rFonts w:ascii="Arial" w:cs="Arial" w:eastAsia="Arial" w:hAnsi="Arial"/>
          <w:color w:val="666666"/>
          <w:sz w:val="19"/>
          <w:szCs w:val="19"/>
        </w:rPr>
        <w:br/>
        <w:t xml:space="preserve">
— Maryanne Wolf — Proust et le calamar : Histoire et science du cerveau qui lit (2008), Alouette, Paris, p. 232</w:t>
      </w:r>
    </w:p>
    <w:p>
      <w:pPr>
        <w:bidi/>
        <w:spacing w:before="150" w:after="170" w:line="400"/>
        <w:ind w:firstLine="720"/>
      </w:pPr>
      <w:r>
        <w:rPr>
          <w:rFonts w:ascii="Arial" w:cs="Arial" w:eastAsia="Arial" w:hAnsi="Arial"/>
          <w:b w:val="false"/>
          <w:bCs w:val="false"/>
          <w:color w:val="1A1A1A"/>
          <w:sz w:val="24"/>
          <w:szCs w:val="24"/>
        </w:rPr>
        <w:t xml:space="preserve">وما تصفه ماريان وولف عن 'القراءة العميقة' هو بالضبط ما يُقدّمه التدبر القرآني — لكن مع إضافة البُعد الروحي الذي يمنح هذه القراءة طاقة تحويلية لا تملكها القراءة العلمانية.</w:t>
      </w:r>
    </w:p>
    <w:p>
      <w:pPr>
        <w:bidi/>
        <w:spacing w:before="320" w:after="160"/>
        <w:jc w:val="right"/>
      </w:pPr>
      <w:r>
        <w:rPr>
          <w:rFonts w:ascii="Arial" w:cs="Arial" w:eastAsia="Arial" w:hAnsi="Arial"/>
          <w:b/>
          <w:bCs/>
          <w:color w:val="2E6DA4"/>
          <w:sz w:val="30"/>
          <w:szCs w:val="30"/>
        </w:rPr>
        <w:t xml:space="preserve">٤-٣ خطوات عملية للتدبر في العصر الرقمي</w:t>
      </w:r>
    </w:p>
    <w:p>
      <w:pPr>
        <w:bidi/>
        <w:spacing w:before="150" w:after="170" w:line="400"/>
        <w:ind w:firstLine="720"/>
      </w:pPr>
      <w:r>
        <w:rPr>
          <w:rFonts w:ascii="Arial" w:cs="Arial" w:eastAsia="Arial" w:hAnsi="Arial"/>
          <w:b/>
          <w:bCs/>
          <w:color w:val="1A1A1A"/>
          <w:sz w:val="24"/>
          <w:szCs w:val="24"/>
        </w:rPr>
        <w:t xml:space="preserve">الخطوة الأولى — الانقطاع الكامل:</w:t>
      </w:r>
      <w:r>
        <w:rPr>
          <w:rFonts w:ascii="Arial" w:cs="Arial" w:eastAsia="Arial" w:hAnsi="Arial"/>
          <w:color w:val="1A1A1A"/>
          <w:sz w:val="24"/>
          <w:szCs w:val="24"/>
        </w:rPr>
        <w:t xml:space="preserve">  التدبر يستحيل بجانب الهاتف الموصول بالشبكة. الانقطاع الجسدي شرط لا تفاوض فيه — وليس ترفاً روحياً.</w:t>
      </w:r>
    </w:p>
    <w:p>
      <w:pPr>
        <w:bidi/>
        <w:spacing w:before="150" w:after="170" w:line="400"/>
        <w:ind w:firstLine="720"/>
      </w:pPr>
      <w:r>
        <w:rPr>
          <w:rFonts w:ascii="Arial" w:cs="Arial" w:eastAsia="Arial" w:hAnsi="Arial"/>
          <w:b/>
          <w:bCs/>
          <w:color w:val="1A1A1A"/>
          <w:sz w:val="24"/>
          <w:szCs w:val="24"/>
        </w:rPr>
        <w:t xml:space="preserve">الخطوة الثانية — الآية الواحدة:</w:t>
      </w:r>
      <w:r>
        <w:rPr>
          <w:rFonts w:ascii="Arial" w:cs="Arial" w:eastAsia="Arial" w:hAnsi="Arial"/>
          <w:color w:val="1A1A1A"/>
          <w:sz w:val="24"/>
          <w:szCs w:val="24"/>
        </w:rPr>
        <w:t xml:space="preserve">  في عصر المحتوى الكثيف، التدبر الحقيقي لا يُقاس بعدد الصفحات بل بعمق الحضور. آية واحدة متدبَّرة لخمس دقائق أعمق أثراً من ختمة بلا تدبر.</w:t>
      </w:r>
    </w:p>
    <w:p>
      <w:pPr>
        <w:bidi/>
        <w:spacing w:before="150" w:after="170" w:line="400"/>
        <w:ind w:firstLine="720"/>
      </w:pPr>
      <w:r>
        <w:rPr>
          <w:rFonts w:ascii="Arial" w:cs="Arial" w:eastAsia="Arial" w:hAnsi="Arial"/>
          <w:b/>
          <w:bCs/>
          <w:color w:val="1A1A1A"/>
          <w:sz w:val="24"/>
          <w:szCs w:val="24"/>
        </w:rPr>
        <w:t xml:space="preserve">الخطوة الثالثة — السؤال الشخصي:</w:t>
      </w:r>
      <w:r>
        <w:rPr>
          <w:rFonts w:ascii="Arial" w:cs="Arial" w:eastAsia="Arial" w:hAnsi="Arial"/>
          <w:color w:val="1A1A1A"/>
          <w:sz w:val="24"/>
          <w:szCs w:val="24"/>
        </w:rPr>
        <w:t xml:space="preserve">  ماذا تقول هذه الآية لي أنا — في وضعي الراهن، في أزمتي الحالية، في علاقتي بالرقمي اليوم؟ هذا السؤال يُحوّل التدبر من فعل ثقافي إلى فعل وجودي.</w:t>
      </w:r>
    </w:p>
    <w:p>
      <w:pPr>
        <w:bidi/>
        <w:spacing w:before="150" w:after="170" w:line="400"/>
        <w:ind w:firstLine="720"/>
      </w:pPr>
      <w:r>
        <w:rPr>
          <w:rFonts w:ascii="Arial" w:cs="Arial" w:eastAsia="Arial" w:hAnsi="Arial"/>
          <w:b/>
          <w:bCs/>
          <w:color w:val="1A1A1A"/>
          <w:sz w:val="24"/>
          <w:szCs w:val="24"/>
        </w:rPr>
        <w:t xml:space="preserve">الخطوة الرابعة — التطبيق الفوري:</w:t>
      </w:r>
      <w:r>
        <w:rPr>
          <w:rFonts w:ascii="Arial" w:cs="Arial" w:eastAsia="Arial" w:hAnsi="Arial"/>
          <w:color w:val="1A1A1A"/>
          <w:sz w:val="24"/>
          <w:szCs w:val="24"/>
        </w:rPr>
        <w:t xml:space="preserve">  التدبر الذي لا يُترجَم إلى فعل يتبخّر. التزام واحد عملي بعد كل جلسة تدبر — مهما كان صغيراً — يُرسّخ الأثر في البنية النفسية.</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٥ — الآلية الخامسة: المجاهدة — الحدود الرقمية كعبادة</w:t>
      </w:r>
    </w:p>
    <w:p>
      <w:pPr>
        <w:bidi/>
        <w:spacing w:before="320" w:after="160"/>
        <w:jc w:val="right"/>
      </w:pPr>
      <w:r>
        <w:rPr>
          <w:rFonts w:ascii="Arial" w:cs="Arial" w:eastAsia="Arial" w:hAnsi="Arial"/>
          <w:b/>
          <w:bCs/>
          <w:color w:val="2E6DA4"/>
          <w:sz w:val="30"/>
          <w:szCs w:val="30"/>
        </w:rPr>
        <w:t xml:space="preserve">٥-١ المجاهدة والنفس الأمارة</w:t>
      </w:r>
    </w:p>
    <w:p>
      <w:pPr>
        <w:bidi/>
        <w:spacing w:before="150" w:after="170" w:line="400"/>
        <w:ind w:firstLine="720"/>
      </w:pPr>
      <w:r>
        <w:rPr>
          <w:rFonts w:ascii="Arial" w:cs="Arial" w:eastAsia="Arial" w:hAnsi="Arial"/>
          <w:b w:val="false"/>
          <w:bCs w:val="false"/>
          <w:color w:val="1A1A1A"/>
          <w:sz w:val="24"/>
          <w:szCs w:val="24"/>
        </w:rPr>
        <w:t xml:space="preserve">المجاهدة في المفهوم الإسلامي ليست عنفاً ضد النفس بل تربية لها — تعليمها أن تختار ما هو أبعد وأدوم على ما هو أقرب وأسرع. وهذا بالضبط ما يُعيق منطق الخوارزمية: فهي تُقدّم دائماً الأسرع والأقرب، والمجاهدة تُعلّم الإنسان أن يختار الأبطأ والأعمق.</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وَالَّذِينَ جَاهَدُوا فِينَا لَنَهْدِيَنَّهُمْ سُبُلَنَا وَإِنَّ اللَّهَ لَمَعَ الْمُحْسِنِينَ</w:t>
      </w:r>
      <w:r>
        <w:rPr>
          <w:rFonts w:ascii="Arial" w:cs="Arial" w:eastAsia="Arial" w:hAnsi="Arial"/>
          <w:color w:val="8B6914"/>
          <w:sz w:val="20"/>
          <w:szCs w:val="20"/>
        </w:rPr>
        <w:br/>
        <w:t xml:space="preserve">
— العنكبوت: ٦٩</w:t>
      </w:r>
    </w:p>
    <w:p>
      <w:pPr>
        <w:bidi/>
        <w:spacing w:before="150" w:after="170" w:line="400"/>
        <w:ind w:firstLine="720"/>
      </w:pPr>
      <w:r>
        <w:rPr>
          <w:rFonts w:ascii="Arial" w:cs="Arial" w:eastAsia="Arial" w:hAnsi="Arial"/>
          <w:b w:val="false"/>
          <w:bCs w:val="false"/>
          <w:color w:val="1A1A1A"/>
          <w:sz w:val="24"/>
          <w:szCs w:val="24"/>
        </w:rPr>
        <w:t xml:space="preserve">'جاهدوا فينا' — المجاهدة لا تُشترط بلوغها أو إتمامها، بل يكفي الانخراط فيها والمثابرة عليها. 'لنهدينهم سبلنا' — الهداية ثمرة المجاهدة لا شرطها. وهذا يُريح الإنسان من وهم الكمال: لست مطالباً بالوصول فوراً بل بالمشي في الطريق.</w:t>
      </w:r>
    </w:p>
    <w:p>
      <w:pPr>
        <w:bidi/>
        <w:spacing w:before="320" w:after="160"/>
        <w:jc w:val="right"/>
      </w:pPr>
      <w:r>
        <w:rPr>
          <w:rFonts w:ascii="Arial" w:cs="Arial" w:eastAsia="Arial" w:hAnsi="Arial"/>
          <w:b/>
          <w:bCs/>
          <w:color w:val="2E6DA4"/>
          <w:sz w:val="30"/>
          <w:szCs w:val="30"/>
        </w:rPr>
        <w:t xml:space="preserve">٥-٢ الحدود الرقمية: مجاهدة العصر</w:t>
      </w:r>
    </w:p>
    <w:p>
      <w:pPr>
        <w:bidi/>
        <w:spacing w:before="150" w:after="170" w:line="400"/>
        <w:ind w:firstLine="720"/>
      </w:pPr>
      <w:r>
        <w:rPr>
          <w:rFonts w:ascii="Arial" w:cs="Arial" w:eastAsia="Arial" w:hAnsi="Arial"/>
          <w:b w:val="false"/>
          <w:bCs w:val="false"/>
          <w:color w:val="1A1A1A"/>
          <w:sz w:val="24"/>
          <w:szCs w:val="24"/>
        </w:rPr>
        <w:t xml:space="preserve">الحدود الرقمية — تحديد أوقات استخدام الهاتف، وضع قواعد للمحتوى المسموح، حظر بعض التطبيقات في أوقات معينة — ليست مجرد نصائح تقنية بل هي في جوهرها مجاهدة عصرية: تعليم النفس أن تختار على الأمارة وأن تُقيّد الفجور بوعي حر.</w:t>
      </w:r>
    </w:p>
    <w:p>
      <w:pPr>
        <w:pBdr>
          <w:left w:val="single" w:color="2E6DA4" w:sz="20" w:space="6"/>
        </w:pBdr>
        <w:spacing w:before="200" w:after="160"/>
        <w:ind w:left="800" w:right="200"/>
        <w:jc w:val="left"/>
      </w:pPr>
      <w:r>
        <w:rPr>
          <w:rFonts w:ascii="Arial" w:cs="Arial" w:eastAsia="Arial" w:hAnsi="Arial"/>
          <w:color w:val="2A2A2A"/>
          <w:sz w:val="22"/>
          <w:szCs w:val="22"/>
        </w:rPr>
        <w:t xml:space="preserve">« La maîtrise de soi numérique n'est pas une question de volonté pure — c'est une question d'architecture comportementale. Modifier l'environnement est plus efficace que de compter sur la résistance interne seule. »</w:t>
      </w:r>
      <w:r>
        <w:rPr>
          <w:rFonts w:ascii="Arial" w:cs="Arial" w:eastAsia="Arial" w:hAnsi="Arial"/>
          <w:color w:val="666666"/>
          <w:sz w:val="19"/>
          <w:szCs w:val="19"/>
        </w:rPr>
        <w:br/>
        <w:t xml:space="preserve">
— BJ Fogg — Tiny Habits: The Small Changes That Change Everything (2019), Houghton Mifflin, Boston, p. 21</w:t>
      </w:r>
    </w:p>
    <w:p>
      <w:pPr>
        <w:bidi/>
        <w:spacing w:before="150" w:after="170" w:line="400"/>
        <w:ind w:firstLine="720"/>
      </w:pPr>
      <w:r>
        <w:rPr>
          <w:rFonts w:ascii="Arial" w:cs="Arial" w:eastAsia="Arial" w:hAnsi="Arial"/>
          <w:b w:val="false"/>
          <w:bCs w:val="false"/>
          <w:color w:val="1A1A1A"/>
          <w:sz w:val="24"/>
          <w:szCs w:val="24"/>
        </w:rPr>
        <w:t xml:space="preserve">ما يصفه فوج بـ'هندسة السلوك' هو الوجه العلمي لما يُسمّيه الفقه الإسلامي 'سد الذرائع' — إغلاق المنافذ المؤدية إلى الانهيار قبل وقوعه. والفارق أن المجاهدة القرآنية لا تعتمد على البيئة وحدها بل تُضيف إليها نية العبادة التي تُحوّل كل حد رقمي من قرار نفسي إلى فعل تعبدي.</w:t>
      </w:r>
    </w:p>
    <w:p>
      <w:pPr>
        <w:bidi/>
        <w:spacing w:before="320" w:after="160"/>
        <w:jc w:val="right"/>
      </w:pPr>
      <w:r>
        <w:rPr>
          <w:rFonts w:ascii="Arial" w:cs="Arial" w:eastAsia="Arial" w:hAnsi="Arial"/>
          <w:b/>
          <w:bCs/>
          <w:color w:val="2E6DA4"/>
          <w:sz w:val="30"/>
          <w:szCs w:val="30"/>
        </w:rPr>
        <w:t xml:space="preserve">٥-٣ هرمية الحدود الرقمية</w:t>
      </w:r>
    </w:p>
    <w:p>
      <w:pPr>
        <w:bidi/>
        <w:spacing w:before="150" w:after="170" w:line="400"/>
        <w:ind w:firstLine="720"/>
      </w:pPr>
      <w:r>
        <w:rPr>
          <w:rFonts w:ascii="Arial" w:cs="Arial" w:eastAsia="Arial" w:hAnsi="Arial"/>
          <w:b w:val="false"/>
          <w:bCs w:val="false"/>
          <w:color w:val="1A1A1A"/>
          <w:sz w:val="24"/>
          <w:szCs w:val="24"/>
        </w:rPr>
        <w:t xml:space="preserve">يمكن تنظيم الحدود الرقمية في ثلاثة مستويات متدرّجة:</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500"/>
        <w:gridCol w:w="2800"/>
        <w:gridCol w:w="2126"/>
      </w:tblGrid>
      <w:tr>
        <w:tc>
          <w:tcPr>
            <w:tcW w:type="dxa" w:w="16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المستوى</w:t>
            </w:r>
          </w:p>
        </w:tc>
        <w:tc>
          <w:tcPr>
            <w:tcW w:type="dxa" w:w="25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الحدّ الرقمي</w:t>
            </w:r>
          </w:p>
        </w:tc>
        <w:tc>
          <w:tcPr>
            <w:tcW w:type="dxa" w:w="28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الأثر على الهرم النفسي</w:t>
            </w:r>
          </w:p>
        </w:tc>
        <w:tc>
          <w:tcPr>
            <w:tcW w:type="dxa" w:w="2126"/>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الآلية القرآنية</w:t>
            </w:r>
          </w:p>
        </w:tc>
      </w:tr>
      <w:tr>
        <w:tc>
          <w:tcPr>
            <w:tcW w:type="dxa" w:w="16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الأول — الأساسي</w:t>
            </w:r>
          </w:p>
        </w:tc>
        <w:tc>
          <w:tcPr>
            <w:tcW w:type="dxa" w:w="25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لا هاتف في أوقات الصلاة والنوم</w:t>
            </w:r>
          </w:p>
        </w:tc>
        <w:tc>
          <w:tcPr>
            <w:tcW w:type="dxa" w:w="28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تُعيد تشغيل اللوامة وتُريح الدماغ</w:t>
            </w:r>
          </w:p>
        </w:tc>
        <w:tc>
          <w:tcPr>
            <w:tcW w:type="dxa" w:w="21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الصلاة كفاصل إلزامي</w:t>
            </w:r>
          </w:p>
        </w:tc>
      </w:tr>
      <w:tr>
        <w:tc>
          <w:tcPr>
            <w:tcW w:type="dxa" w:w="16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الثاني — المتوسط</w:t>
            </w:r>
          </w:p>
        </w:tc>
        <w:tc>
          <w:tcPr>
            <w:tcW w:type="dxa" w:w="25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تحديد ساعة يومية للمحتوى الترفيهي</w:t>
            </w:r>
          </w:p>
        </w:tc>
        <w:tc>
          <w:tcPr>
            <w:tcW w:type="dxa" w:w="28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تُقيّد الأمارة وتفتح وقتاً للذكر</w:t>
            </w:r>
          </w:p>
        </w:tc>
        <w:tc>
          <w:tcPr>
            <w:tcW w:type="dxa" w:w="21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المجاهدة اليومية</w:t>
            </w:r>
          </w:p>
        </w:tc>
      </w:tr>
      <w:tr>
        <w:tc>
          <w:tcPr>
            <w:tcW w:type="dxa" w:w="16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الثالث — المتقدم</w:t>
            </w:r>
          </w:p>
        </w:tc>
        <w:tc>
          <w:tcPr>
            <w:tcW w:type="dxa" w:w="25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تقييم أسبوعي كامل للاستخدام</w:t>
            </w:r>
          </w:p>
        </w:tc>
        <w:tc>
          <w:tcPr>
            <w:tcW w:type="dxa" w:w="28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تُفعّل المحاسبة وتُقوّي الضلع السادس</w:t>
            </w:r>
          </w:p>
        </w:tc>
        <w:tc>
          <w:tcPr>
            <w:tcW w:type="dxa" w:w="21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محاسبة النفس الأسبوعية</w:t>
            </w:r>
          </w:p>
        </w:tc>
      </w:tr>
    </w:tbl>
    <w:p>
      <w:pPr>
        <w:spacing w:before="120" w:after="120"/>
      </w:pP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٦ — الآلية السادسة: الصحبة — البيئة الحاضنة</w:t>
      </w:r>
    </w:p>
    <w:p>
      <w:pPr>
        <w:bidi/>
        <w:spacing w:before="320" w:after="160"/>
        <w:jc w:val="right"/>
      </w:pPr>
      <w:r>
        <w:rPr>
          <w:rFonts w:ascii="Arial" w:cs="Arial" w:eastAsia="Arial" w:hAnsi="Arial"/>
          <w:b/>
          <w:bCs/>
          <w:color w:val="2E6DA4"/>
          <w:sz w:val="30"/>
          <w:szCs w:val="30"/>
        </w:rPr>
        <w:t xml:space="preserve">٦-١ لماذا الصحبة ضرورة لا ترف؟</w:t>
      </w:r>
    </w:p>
    <w:p>
      <w:pPr>
        <w:bidi/>
        <w:spacing w:before="150" w:after="170" w:line="400"/>
        <w:ind w:firstLine="720"/>
      </w:pPr>
      <w:r>
        <w:rPr>
          <w:rFonts w:ascii="Arial" w:cs="Arial" w:eastAsia="Arial" w:hAnsi="Arial"/>
          <w:b w:val="false"/>
          <w:bCs w:val="false"/>
          <w:color w:val="1A1A1A"/>
          <w:sz w:val="24"/>
          <w:szCs w:val="24"/>
        </w:rPr>
        <w:t xml:space="preserve">النموذج الهرمي القرآني يصف النفس لكنه يضعها في سياقها: النفس لا تُزكَّى في فراغ اجتماعي. فالإنسان كائن اجتماعي بالفطرة، والبيئة المحيطة به تُؤثّر بصورة عميقة على أيّ ضلع من أضلاع هرمه يتقوّى وأيّها يضعف.</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يَا أَيُّهَا الَّذِينَ آمَنُوا اتَّقُوا اللَّهَ وَكُونُوا مَعَ الصَّادِقِينَ</w:t>
      </w:r>
      <w:r>
        <w:rPr>
          <w:rFonts w:ascii="Arial" w:cs="Arial" w:eastAsia="Arial" w:hAnsi="Arial"/>
          <w:color w:val="8B6914"/>
          <w:sz w:val="20"/>
          <w:szCs w:val="20"/>
        </w:rPr>
        <w:br/>
        <w:t xml:space="preserve">
— التوبة: ١١٩</w:t>
      </w:r>
    </w:p>
    <w:p>
      <w:pPr>
        <w:bidi/>
        <w:spacing w:before="150" w:after="170" w:line="400"/>
        <w:ind w:firstLine="720"/>
      </w:pPr>
      <w:r>
        <w:rPr>
          <w:rFonts w:ascii="Arial" w:cs="Arial" w:eastAsia="Arial" w:hAnsi="Arial"/>
          <w:b w:val="false"/>
          <w:bCs w:val="false"/>
          <w:color w:val="1A1A1A"/>
          <w:sz w:val="24"/>
          <w:szCs w:val="24"/>
        </w:rPr>
        <w:t xml:space="preserve">'كونوا مع الصادقين' — لم تقل الآية 'كونوا صادقين' فحسب — بل 'كونوا مع' الصادقين. الصحبة ليست إضافة اختيارية للإيمان بل جزء من تعريفه. فالتقوى تُوصف بصلتها بالصادقين لأن الإيمان لا يترسّخ بمعزل.</w:t>
      </w:r>
    </w:p>
    <w:p>
      <w:pPr>
        <w:pBdr>
          <w:left w:val="single" w:color="2E6DA4" w:sz="20" w:space="6"/>
        </w:pBdr>
        <w:spacing w:before="200" w:after="160"/>
        <w:ind w:left="800" w:right="200"/>
        <w:jc w:val="left"/>
      </w:pPr>
      <w:r>
        <w:rPr>
          <w:rFonts w:ascii="Arial" w:cs="Arial" w:eastAsia="Arial" w:hAnsi="Arial"/>
          <w:color w:val="2A2A2A"/>
          <w:sz w:val="22"/>
          <w:szCs w:val="22"/>
        </w:rPr>
        <w:t xml:space="preserve">« L'être humain est fondamentalement social — notre cerveau est littéralement câblé pour la connexion. L'isolement chronique est aussi dommageable pour la santé que fumer 15 cigarettes par jour. »</w:t>
      </w:r>
      <w:r>
        <w:rPr>
          <w:rFonts w:ascii="Arial" w:cs="Arial" w:eastAsia="Arial" w:hAnsi="Arial"/>
          <w:color w:val="666666"/>
          <w:sz w:val="19"/>
          <w:szCs w:val="19"/>
        </w:rPr>
        <w:br/>
        <w:t xml:space="preserve">
— Julianne Holt-Lunstad — Social Isolation and Loneliness as Risk Factors for Mortality (2015), Perspectives on Psychological Science, p. 228</w:t>
      </w:r>
    </w:p>
    <w:p>
      <w:pPr>
        <w:bidi/>
        <w:spacing w:before="320" w:after="160"/>
        <w:jc w:val="right"/>
      </w:pPr>
      <w:r>
        <w:rPr>
          <w:rFonts w:ascii="Arial" w:cs="Arial" w:eastAsia="Arial" w:hAnsi="Arial"/>
          <w:b/>
          <w:bCs/>
          <w:color w:val="2E6DA4"/>
          <w:sz w:val="30"/>
          <w:szCs w:val="30"/>
        </w:rPr>
        <w:t xml:space="preserve">٦-٢ الصحبة في العصر الرقمي: التمييز الضروري</w:t>
      </w:r>
    </w:p>
    <w:p>
      <w:pPr>
        <w:bidi/>
        <w:spacing w:before="150" w:after="170" w:line="400"/>
        <w:ind w:firstLine="720"/>
      </w:pPr>
      <w:r>
        <w:rPr>
          <w:rFonts w:ascii="Arial" w:cs="Arial" w:eastAsia="Arial" w:hAnsi="Arial"/>
          <w:b w:val="false"/>
          <w:bCs w:val="false"/>
          <w:color w:val="1A1A1A"/>
          <w:sz w:val="24"/>
          <w:szCs w:val="24"/>
        </w:rPr>
        <w:t xml:space="preserve">العصر الرقمي يُقدّم وهم الصحبة — آلاف المتابعين والإعجابات والتعليقات. لكن العلم يُثبت والقرآن يُؤكد أن هذه الصحبة الرقمية لا تُغذّي اللوامة ولا تُرسّخ التقوى. بل على العكس — فضاء التواصل الاجتماعي يُرسّخ الأمارة ويُعلّم الإنسان أن يُقيّم نفسه بعدد الإعجابات لا بعمق العلاقة.</w:t>
      </w:r>
    </w:p>
    <w:p>
      <w:pPr>
        <w:bidi/>
        <w:spacing w:before="150" w:after="170" w:line="400"/>
        <w:ind w:firstLine="720"/>
      </w:pPr>
      <w:r>
        <w:rPr>
          <w:rFonts w:ascii="Arial" w:cs="Arial" w:eastAsia="Arial" w:hAnsi="Arial"/>
          <w:b w:val="false"/>
          <w:bCs w:val="false"/>
          <w:color w:val="1A1A1A"/>
          <w:sz w:val="24"/>
          <w:szCs w:val="24"/>
        </w:rPr>
        <w:t xml:space="preserve">الصحبة الحقيقية التي يقصدها القرآن لها ثلاثة أبعاد لا تُوجد في الفضاء الرقمي:</w:t>
      </w:r>
    </w:p>
    <w:p>
      <w:pPr>
        <w:bidi/>
        <w:spacing w:before="150" w:after="170" w:line="400"/>
        <w:ind w:firstLine="720"/>
      </w:pPr>
      <w:r>
        <w:rPr>
          <w:rFonts w:ascii="Arial" w:cs="Arial" w:eastAsia="Arial" w:hAnsi="Arial"/>
          <w:b/>
          <w:bCs/>
          <w:color w:val="1A1A1A"/>
          <w:sz w:val="24"/>
          <w:szCs w:val="24"/>
        </w:rPr>
        <w:t xml:space="preserve">البُعد الأول — الحضور الجسدي:</w:t>
      </w:r>
      <w:r>
        <w:rPr>
          <w:rFonts w:ascii="Arial" w:cs="Arial" w:eastAsia="Arial" w:hAnsi="Arial"/>
          <w:color w:val="1A1A1A"/>
          <w:sz w:val="24"/>
          <w:szCs w:val="24"/>
        </w:rPr>
        <w:t xml:space="preserve">  العين التي تُحاسب والابتسامة التي تُشجع واليد التي تمتد — لا تُستعاض عنها بإيموجي.</w:t>
      </w:r>
    </w:p>
    <w:p>
      <w:pPr>
        <w:bidi/>
        <w:spacing w:before="150" w:after="170" w:line="400"/>
        <w:ind w:firstLine="720"/>
      </w:pPr>
      <w:r>
        <w:rPr>
          <w:rFonts w:ascii="Arial" w:cs="Arial" w:eastAsia="Arial" w:hAnsi="Arial"/>
          <w:b/>
          <w:bCs/>
          <w:color w:val="1A1A1A"/>
          <w:sz w:val="24"/>
          <w:szCs w:val="24"/>
        </w:rPr>
        <w:t xml:space="preserve">البُعد الثاني — الصدق:</w:t>
      </w:r>
      <w:r>
        <w:rPr>
          <w:rFonts w:ascii="Arial" w:cs="Arial" w:eastAsia="Arial" w:hAnsi="Arial"/>
          <w:color w:val="1A1A1A"/>
          <w:sz w:val="24"/>
          <w:szCs w:val="24"/>
        </w:rPr>
        <w:t xml:space="preserve">  الصاحب الصادق هو الذي يقول ما تحتاج لسماعه لا ما تريده. وهذا ما تعجز عنه خوارزمية الإعجاب التي تُكثّر لك فقط ما يُريحك.</w:t>
      </w:r>
    </w:p>
    <w:p>
      <w:pPr>
        <w:bidi/>
        <w:spacing w:before="150" w:after="170" w:line="400"/>
        <w:ind w:firstLine="720"/>
      </w:pPr>
      <w:r>
        <w:rPr>
          <w:rFonts w:ascii="Arial" w:cs="Arial" w:eastAsia="Arial" w:hAnsi="Arial"/>
          <w:b/>
          <w:bCs/>
          <w:color w:val="1A1A1A"/>
          <w:sz w:val="24"/>
          <w:szCs w:val="24"/>
        </w:rPr>
        <w:t xml:space="preserve">البُعد الثالث — المرجعية المشتركة:</w:t>
      </w:r>
      <w:r>
        <w:rPr>
          <w:rFonts w:ascii="Arial" w:cs="Arial" w:eastAsia="Arial" w:hAnsi="Arial"/>
          <w:color w:val="1A1A1A"/>
          <w:sz w:val="24"/>
          <w:szCs w:val="24"/>
        </w:rPr>
        <w:t xml:space="preserve">  الصحبة التي تُرسّخ التقوى هي التي تشترك في المرجعية المتعالية — فتُذكّر حين تنسى وتُثبّت حين تتزعزع.</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٧ — تكامل الآليات: مسار الاستعادة الكامل</w:t>
      </w:r>
    </w:p>
    <w:p>
      <w:pPr>
        <w:bidi/>
        <w:spacing w:before="320" w:after="160"/>
        <w:jc w:val="right"/>
      </w:pPr>
      <w:r>
        <w:rPr>
          <w:rFonts w:ascii="Arial" w:cs="Arial" w:eastAsia="Arial" w:hAnsi="Arial"/>
          <w:b/>
          <w:bCs/>
          <w:color w:val="2E6DA4"/>
          <w:sz w:val="30"/>
          <w:szCs w:val="30"/>
        </w:rPr>
        <w:t xml:space="preserve">٧-١ الآليات الست على الأضلاع الثمانية</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00"/>
        <w:gridCol w:w="2500"/>
        <w:gridCol w:w="4226"/>
      </w:tblGrid>
      <w:tr>
        <w:tc>
          <w:tcPr>
            <w:tcW w:type="dxa" w:w="23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الضلع</w:t>
            </w:r>
          </w:p>
        </w:tc>
        <w:tc>
          <w:tcPr>
            <w:tcW w:type="dxa" w:w="25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الآلية القرآنية</w:t>
            </w:r>
          </w:p>
        </w:tc>
        <w:tc>
          <w:tcPr>
            <w:tcW w:type="dxa" w:w="4226"/>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الممارسة الرقمية العملية</w:t>
            </w:r>
          </w:p>
        </w:tc>
      </w:tr>
      <w:tr>
        <w:tc>
          <w:tcPr>
            <w:tcW w:type="dxa" w:w="23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التقوى ← المطمئنة</w:t>
            </w:r>
          </w:p>
        </w:tc>
        <w:tc>
          <w:tcPr>
            <w:tcW w:type="dxa" w:w="25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الذكر المستمر</w:t>
            </w:r>
          </w:p>
        </w:tc>
        <w:tc>
          <w:tcPr>
            <w:tcW w:type="dxa" w:w="42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أذكار الصباح والمساء بلا هاتف</w:t>
            </w:r>
          </w:p>
        </w:tc>
      </w:tr>
      <w:tr>
        <w:tc>
          <w:tcPr>
            <w:tcW w:type="dxa" w:w="23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الفجور ← الأمارة</w:t>
            </w:r>
          </w:p>
        </w:tc>
        <w:tc>
          <w:tcPr>
            <w:tcW w:type="dxa" w:w="25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المجاهدة + الحدود</w:t>
            </w:r>
          </w:p>
        </w:tc>
        <w:tc>
          <w:tcPr>
            <w:tcW w:type="dxa" w:w="42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حدود رقمية يومية واضحة</w:t>
            </w:r>
          </w:p>
        </w:tc>
      </w:tr>
      <w:tr>
        <w:tc>
          <w:tcPr>
            <w:tcW w:type="dxa" w:w="23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الأمارة ← اللوامة</w:t>
            </w:r>
          </w:p>
        </w:tc>
        <w:tc>
          <w:tcPr>
            <w:tcW w:type="dxa" w:w="25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التوبة اليومية</w:t>
            </w:r>
          </w:p>
        </w:tc>
        <w:tc>
          <w:tcPr>
            <w:tcW w:type="dxa" w:w="42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محاسبة مسائية للاستخدام</w:t>
            </w:r>
          </w:p>
        </w:tc>
      </w:tr>
      <w:tr>
        <w:tc>
          <w:tcPr>
            <w:tcW w:type="dxa" w:w="23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اللوامة ← المطمئنة</w:t>
            </w:r>
          </w:p>
        </w:tc>
        <w:tc>
          <w:tcPr>
            <w:tcW w:type="dxa" w:w="25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الصلاة + التدبر</w:t>
            </w:r>
          </w:p>
        </w:tc>
        <w:tc>
          <w:tcPr>
            <w:tcW w:type="dxa" w:w="42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صلاة بخشوع + آية بتدبر يومياً</w:t>
            </w:r>
          </w:p>
        </w:tc>
      </w:tr>
      <w:tr>
        <w:tc>
          <w:tcPr>
            <w:tcW w:type="dxa" w:w="23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الفجور ← الشيطان</w:t>
            </w:r>
          </w:p>
        </w:tc>
        <w:tc>
          <w:tcPr>
            <w:tcW w:type="dxa" w:w="25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التعوذ + الوعي الرقمي</w:t>
            </w:r>
          </w:p>
        </w:tc>
        <w:tc>
          <w:tcPr>
            <w:tcW w:type="dxa" w:w="42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نية واعية قبل كل جلسة رقمية</w:t>
            </w:r>
          </w:p>
        </w:tc>
      </w:tr>
      <w:tr>
        <w:tc>
          <w:tcPr>
            <w:tcW w:type="dxa" w:w="23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التقوى ← الرحمة</w:t>
            </w:r>
          </w:p>
        </w:tc>
        <w:tc>
          <w:tcPr>
            <w:tcW w:type="dxa" w:w="25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الدعاء الصادق</w:t>
            </w:r>
          </w:p>
        </w:tc>
        <w:tc>
          <w:tcPr>
            <w:tcW w:type="dxa" w:w="42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دعاء في كل صلاة بعيداً عن الهاتف</w:t>
            </w:r>
          </w:p>
        </w:tc>
      </w:tr>
      <w:tr>
        <w:tc>
          <w:tcPr>
            <w:tcW w:type="dxa" w:w="23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الشيطان ← الأمارة</w:t>
            </w:r>
          </w:p>
        </w:tc>
        <w:tc>
          <w:tcPr>
            <w:tcW w:type="dxa" w:w="25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التعوذ + الصحبة</w:t>
            </w:r>
          </w:p>
        </w:tc>
        <w:tc>
          <w:tcPr>
            <w:tcW w:type="dxa" w:w="42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بيئة اجتماعية تُقوّي التقوى</w:t>
            </w:r>
          </w:p>
        </w:tc>
      </w:tr>
      <w:tr>
        <w:tc>
          <w:tcPr>
            <w:tcW w:type="dxa" w:w="23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الرحمة ← المطمئنة</w:t>
            </w:r>
          </w:p>
        </w:tc>
        <w:tc>
          <w:tcPr>
            <w:tcW w:type="dxa" w:w="25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يقين الاستجابة + التوكل</w:t>
            </w:r>
          </w:p>
        </w:tc>
        <w:tc>
          <w:tcPr>
            <w:tcW w:type="dxa" w:w="42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ثقة كاملة بأن الله يُجيب الدعاء</w:t>
            </w:r>
          </w:p>
        </w:tc>
      </w:tr>
    </w:tbl>
    <w:p>
      <w:pPr>
        <w:spacing w:before="120" w:after="120"/>
      </w:pPr>
    </w:p>
    <w:p>
      <w:pPr>
        <w:bidi/>
        <w:spacing w:before="320" w:after="160"/>
        <w:jc w:val="right"/>
      </w:pPr>
      <w:r>
        <w:rPr>
          <w:rFonts w:ascii="Arial" w:cs="Arial" w:eastAsia="Arial" w:hAnsi="Arial"/>
          <w:b/>
          <w:bCs/>
          <w:color w:val="2E6DA4"/>
          <w:sz w:val="30"/>
          <w:szCs w:val="30"/>
        </w:rPr>
        <w:t xml:space="preserve">٧-٢ نموذج اليوم الاستخلافي الرقمي</w:t>
      </w:r>
    </w:p>
    <w:p>
      <w:pPr>
        <w:bidi/>
        <w:spacing w:before="150" w:after="170" w:line="400"/>
        <w:ind w:firstLine="720"/>
      </w:pPr>
      <w:r>
        <w:rPr>
          <w:rFonts w:ascii="Arial" w:cs="Arial" w:eastAsia="Arial" w:hAnsi="Arial"/>
          <w:b w:val="false"/>
          <w:bCs w:val="false"/>
          <w:color w:val="1A1A1A"/>
          <w:sz w:val="24"/>
          <w:szCs w:val="24"/>
        </w:rPr>
        <w:t xml:space="preserve">بناءً على الآليات الست، يمكن اقتراح نموذج عملي ليوم الإنسان المستخلِف في العصر الرقمي — لا يوم الإنسان الكامل بل اليوم الذي يسعى: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400"/>
        <w:gridCol w:w="2300"/>
        <w:gridCol w:w="2926"/>
      </w:tblGrid>
      <w:tr>
        <w:tc>
          <w:tcPr>
            <w:tcW w:type="dxa" w:w="14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الوقت</w:t>
            </w:r>
          </w:p>
        </w:tc>
        <w:tc>
          <w:tcPr>
            <w:tcW w:type="dxa" w:w="24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الممارسة</w:t>
            </w:r>
          </w:p>
        </w:tc>
        <w:tc>
          <w:tcPr>
            <w:tcW w:type="dxa" w:w="23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الآلية القرآنية</w:t>
            </w:r>
          </w:p>
        </w:tc>
        <w:tc>
          <w:tcPr>
            <w:tcW w:type="dxa" w:w="2926"/>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الضلع المُقوَّى</w:t>
            </w:r>
          </w:p>
        </w:tc>
      </w:tr>
      <w:tr>
        <w:tc>
          <w:tcPr>
            <w:tcW w:type="dxa" w:w="14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الاستيقاظ</w:t>
            </w:r>
          </w:p>
        </w:tc>
        <w:tc>
          <w:tcPr>
            <w:tcW w:type="dxa" w:w="24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أذكار الصباح قبل الهاتف</w:t>
            </w:r>
          </w:p>
        </w:tc>
        <w:tc>
          <w:tcPr>
            <w:tcW w:type="dxa" w:w="23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الذكر</w:t>
            </w:r>
          </w:p>
        </w:tc>
        <w:tc>
          <w:tcPr>
            <w:tcW w:type="dxa" w:w="29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التقوى ← المطمئنة</w:t>
            </w:r>
          </w:p>
        </w:tc>
      </w:tr>
      <w:tr>
        <w:tc>
          <w:tcPr>
            <w:tcW w:type="dxa" w:w="14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الفجر</w:t>
            </w:r>
          </w:p>
        </w:tc>
        <w:tc>
          <w:tcPr>
            <w:tcW w:type="dxa" w:w="24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صلاة خاشعة مع تدبر آية</w:t>
            </w:r>
          </w:p>
        </w:tc>
        <w:tc>
          <w:tcPr>
            <w:tcW w:type="dxa" w:w="23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الصلاة + التدبر</w:t>
            </w:r>
          </w:p>
        </w:tc>
        <w:tc>
          <w:tcPr>
            <w:tcW w:type="dxa" w:w="29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اللوامة ← المطمئنة</w:t>
            </w:r>
          </w:p>
        </w:tc>
      </w:tr>
      <w:tr>
        <w:tc>
          <w:tcPr>
            <w:tcW w:type="dxa" w:w="14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بداية العمل</w:t>
            </w:r>
          </w:p>
        </w:tc>
        <w:tc>
          <w:tcPr>
            <w:tcW w:type="dxa" w:w="24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نية واعية: هذا العمل لله</w:t>
            </w:r>
          </w:p>
        </w:tc>
        <w:tc>
          <w:tcPr>
            <w:tcW w:type="dxa" w:w="23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المجاهدة</w:t>
            </w:r>
          </w:p>
        </w:tc>
        <w:tc>
          <w:tcPr>
            <w:tcW w:type="dxa" w:w="29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الفجور ← الأمارة</w:t>
            </w:r>
          </w:p>
        </w:tc>
      </w:tr>
      <w:tr>
        <w:tc>
          <w:tcPr>
            <w:tcW w:type="dxa" w:w="14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الظهر</w:t>
            </w:r>
          </w:p>
        </w:tc>
        <w:tc>
          <w:tcPr>
            <w:tcW w:type="dxa" w:w="24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صلاة في وقتها بلا تأجيل</w:t>
            </w:r>
          </w:p>
        </w:tc>
        <w:tc>
          <w:tcPr>
            <w:tcW w:type="dxa" w:w="23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الصلاة</w:t>
            </w:r>
          </w:p>
        </w:tc>
        <w:tc>
          <w:tcPr>
            <w:tcW w:type="dxa" w:w="29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تشغيل اللوامة في منتصف اليوم</w:t>
            </w:r>
          </w:p>
        </w:tc>
      </w:tr>
      <w:tr>
        <w:tc>
          <w:tcPr>
            <w:tcW w:type="dxa" w:w="14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العصر</w:t>
            </w:r>
          </w:p>
        </w:tc>
        <w:tc>
          <w:tcPr>
            <w:tcW w:type="dxa" w:w="24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توقف واعٍ: كيف كان انتباهي؟</w:t>
            </w:r>
          </w:p>
        </w:tc>
        <w:tc>
          <w:tcPr>
            <w:tcW w:type="dxa" w:w="23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التوبة المرحلية</w:t>
            </w:r>
          </w:p>
        </w:tc>
        <w:tc>
          <w:tcPr>
            <w:tcW w:type="dxa" w:w="29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الأمارة ← اللوامة</w:t>
            </w:r>
          </w:p>
        </w:tc>
      </w:tr>
      <w:tr>
        <w:tc>
          <w:tcPr>
            <w:tcW w:type="dxa" w:w="14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المغرب</w:t>
            </w:r>
          </w:p>
        </w:tc>
        <w:tc>
          <w:tcPr>
            <w:tcW w:type="dxa" w:w="24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صلاة + استغفار عن الإفراط</w:t>
            </w:r>
          </w:p>
        </w:tc>
        <w:tc>
          <w:tcPr>
            <w:tcW w:type="dxa" w:w="23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التوبة اليومية</w:t>
            </w:r>
          </w:p>
        </w:tc>
        <w:tc>
          <w:tcPr>
            <w:tcW w:type="dxa" w:w="29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إعادة ضبط الهرم</w:t>
            </w:r>
          </w:p>
        </w:tc>
      </w:tr>
      <w:tr>
        <w:tc>
          <w:tcPr>
            <w:tcW w:type="dxa" w:w="14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العشاء</w:t>
            </w:r>
          </w:p>
        </w:tc>
        <w:tc>
          <w:tcPr>
            <w:tcW w:type="dxa" w:w="24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وقت مع صحبة حقيقية</w:t>
            </w:r>
          </w:p>
        </w:tc>
        <w:tc>
          <w:tcPr>
            <w:tcW w:type="dxa" w:w="23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الصحبة</w:t>
            </w:r>
          </w:p>
        </w:tc>
        <w:tc>
          <w:tcPr>
            <w:tcW w:type="dxa" w:w="29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تقوية التقوى</w:t>
            </w:r>
          </w:p>
        </w:tc>
      </w:tr>
      <w:tr>
        <w:tc>
          <w:tcPr>
            <w:tcW w:type="dxa" w:w="14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قبل النوم</w:t>
            </w:r>
          </w:p>
        </w:tc>
        <w:tc>
          <w:tcPr>
            <w:tcW w:type="dxa" w:w="24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محاسبة + أذكار النوم</w:t>
            </w:r>
          </w:p>
        </w:tc>
        <w:tc>
          <w:tcPr>
            <w:tcW w:type="dxa" w:w="23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التوبة + الذكر</w:t>
            </w:r>
          </w:p>
        </w:tc>
        <w:tc>
          <w:tcPr>
            <w:tcW w:type="dxa" w:w="29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ختم اليوم على التقوى</w:t>
            </w:r>
          </w:p>
        </w:tc>
      </w:tr>
    </w:tbl>
    <w:p>
      <w:pPr>
        <w:spacing w:before="120" w:after="120"/>
      </w:pPr>
    </w:p>
    <w:p>
      <w:pPr>
        <w:bidi/>
        <w:spacing w:before="150" w:after="170" w:line="400"/>
        <w:ind w:firstLine="720"/>
      </w:pPr>
      <w:r>
        <w:rPr>
          <w:rFonts w:ascii="Arial" w:cs="Arial" w:eastAsia="Arial" w:hAnsi="Arial"/>
          <w:b w:val="false"/>
          <w:bCs w:val="false"/>
          <w:color w:val="1A1A1A"/>
          <w:sz w:val="24"/>
          <w:szCs w:val="24"/>
        </w:rPr>
        <w:t xml:space="preserve">هذا النموذج ليس برنامجاً مثالياً يُطالَب الإنسان بإتمامه كاملاً يومياً — بل خريطة توجيهية تُبيّن كيف تتوزع الآليات القرآنية على مدار اليوم لتُغطّي كل أضلاع الهرم.</w:t>
      </w:r>
    </w:p>
    <w:p>
      <w:pPr>
        <w:bidi/>
        <w:spacing w:before="320" w:after="160"/>
        <w:jc w:val="right"/>
      </w:pPr>
      <w:r>
        <w:rPr>
          <w:rFonts w:ascii="Arial" w:cs="Arial" w:eastAsia="Arial" w:hAnsi="Arial"/>
          <w:b/>
          <w:bCs/>
          <w:color w:val="2E6DA4"/>
          <w:sz w:val="30"/>
          <w:szCs w:val="30"/>
        </w:rPr>
        <w:t xml:space="preserve">٧-٣ التدرج لا المثالية</w:t>
      </w:r>
    </w:p>
    <w:p>
      <w:pPr>
        <w:bidi/>
        <w:spacing w:before="150" w:after="170" w:line="400"/>
        <w:ind w:firstLine="720"/>
      </w:pPr>
      <w:r>
        <w:rPr>
          <w:rFonts w:ascii="Arial" w:cs="Arial" w:eastAsia="Arial" w:hAnsi="Arial"/>
          <w:b w:val="false"/>
          <w:bCs w:val="false"/>
          <w:color w:val="1A1A1A"/>
          <w:sz w:val="24"/>
          <w:szCs w:val="24"/>
        </w:rPr>
        <w:t xml:space="preserve">من أعمق ما يُميّز النموذج القرآني في مواجهة الأزمة الرقمية: أنه لا يطلب من الإنسان التغيير الفوري الكامل — بل يُشجّع على التدرج والثبات. وقاعدة 'قليل دائم خير من كثير منقطع' ليست مجرد نصيحة — بل هي فهم عميق لآلية تغيير الشبكات العصبية.</w:t>
      </w:r>
    </w:p>
    <w:p>
      <w:pPr>
        <w:pBdr>
          <w:left w:val="single" w:color="2E6DA4" w:sz="20" w:space="6"/>
        </w:pBdr>
        <w:spacing w:before="200" w:after="160"/>
        <w:ind w:left="800" w:right="200"/>
        <w:jc w:val="left"/>
      </w:pPr>
      <w:r>
        <w:rPr>
          <w:rFonts w:ascii="Arial" w:cs="Arial" w:eastAsia="Arial" w:hAnsi="Arial"/>
          <w:color w:val="2A2A2A"/>
          <w:sz w:val="22"/>
          <w:szCs w:val="22"/>
        </w:rPr>
        <w:t xml:space="preserve">« Le changement de comportement durable ne se produit pas par un effort de volonté intense et temporaire — il se produit par la répétition de petites actions cohérentes qui reconfigurent progressivement les circuits cérébraux. »</w:t>
      </w:r>
      <w:r>
        <w:rPr>
          <w:rFonts w:ascii="Arial" w:cs="Arial" w:eastAsia="Arial" w:hAnsi="Arial"/>
          <w:color w:val="666666"/>
          <w:sz w:val="19"/>
          <w:szCs w:val="19"/>
        </w:rPr>
        <w:br/>
        <w:t xml:space="preserve">
— BJ Fogg — Tiny Habits (2019), Houghton Mifflin, Boston, p. 8</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وَمَا تَوْفِيقِي إِلَّا بِاللَّهِ عَلَيْهِ تَوَكَّلْتُ وَإِلَيْهِ أُنِيبُ</w:t>
      </w:r>
      <w:r>
        <w:rPr>
          <w:rFonts w:ascii="Arial" w:cs="Arial" w:eastAsia="Arial" w:hAnsi="Arial"/>
          <w:color w:val="8B6914"/>
          <w:sz w:val="20"/>
          <w:szCs w:val="20"/>
        </w:rPr>
        <w:br/>
        <w:t xml:space="preserve">
— هود: ٨٨</w:t>
      </w:r>
    </w:p>
    <w:p>
      <w:pPr>
        <w:bidi/>
        <w:spacing w:before="150" w:after="170" w:line="400"/>
        <w:ind w:firstLine="720"/>
      </w:pPr>
      <w:r>
        <w:rPr>
          <w:rFonts w:ascii="Arial" w:cs="Arial" w:eastAsia="Arial" w:hAnsi="Arial"/>
          <w:b w:val="false"/>
          <w:bCs w:val="false"/>
          <w:color w:val="1A1A1A"/>
          <w:sz w:val="24"/>
          <w:szCs w:val="24"/>
        </w:rPr>
        <w:t xml:space="preserve">'وما توفيقي إلا بالله' — الجملة الختامية التي تُلخّص كل هذه الفصول: الآليات كلها وسائل. والمُوفِّق الحقيقي هو الله. وحين يُدرك الإنسان ذلك يصير كل مسعى نحو الاستعادة توكلاً لا كفاحاً وحيداً — وهذا بالضبط ما يمنحه الثبات.</w:t>
      </w:r>
    </w:p>
    <w:p>
      <w:pPr>
        <w:pBdr>
          <w:top w:val="single" w:color="1A6B1A" w:sz="2"/>
          <w:bottom w:val="single" w:color="1A6B1A" w:sz="2"/>
          <w:left w:val="single" w:color="1A6B1A" w:sz="14"/>
          <w:right w:val="single" w:color="1A6B1A" w:sz="14"/>
        </w:pBdr>
        <w:shd w:fill="F0FFF0" w:val="clear"/>
        <w:bidi/>
        <w:spacing w:before="200" w:after="160"/>
      </w:pPr>
      <w:r>
        <w:rPr>
          <w:rFonts w:ascii="Arial" w:cs="Arial" w:eastAsia="Arial" w:hAnsi="Arial"/>
          <w:color w:val="0A4A0A"/>
          <w:sz w:val="22"/>
          <w:szCs w:val="22"/>
        </w:rPr>
        <w:t xml:space="preserve">خلاصة الفصل الخامس: الاستخلاف الرقمي الواعي ليس رفض التكنولوجيا — بل هو استخدامها في خدمة الغاية الوجودية بأدوات قرآنية محددة: الصلاة تُشغّل اللوامة، والذكر يُحافظ على الحضور، والتوبة تُبقي مسار الصعود مفتوحاً، والتدبر يُعيد بناء التفكير العميق، والمجاهدة تُقيّد الأمارة، والصحبة تُرسّخ التقوى.</w:t>
      </w:r>
    </w:p>
    <w:p>
      <w:pPr>
        <w:pBdr>
          <w:bottom w:val="single" w:color="B8860B" w:sz="4" w:space="1"/>
        </w:pBdr>
        <w:spacing w:before="240" w:after="240"/>
      </w:pPr>
    </w:p>
    <w:p>
      <w:pPr>
        <w:spacing w:before="120" w:after="120"/>
      </w:pP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مراجع الفصل الخامس</w:t>
      </w:r>
    </w:p>
    <w:p>
      <w:pPr>
        <w:spacing w:before="80" w:after="80"/>
      </w:pPr>
    </w:p>
    <w:p>
      <w:pPr>
        <w:bidi/>
        <w:spacing w:before="320" w:after="160"/>
        <w:jc w:val="right"/>
      </w:pPr>
      <w:r>
        <w:rPr>
          <w:rFonts w:ascii="Arial" w:cs="Arial" w:eastAsia="Arial" w:hAnsi="Arial"/>
          <w:b/>
          <w:bCs/>
          <w:color w:val="2E6DA4"/>
          <w:sz w:val="30"/>
          <w:szCs w:val="30"/>
        </w:rPr>
        <w:t xml:space="preserve">أولاً — المصادر العربية والإسلامية</w:t>
      </w:r>
    </w:p>
    <w:p>
      <w:pPr>
        <w:bidi/>
        <w:spacing w:before="100" w:after="100"/>
        <w:jc w:val="right"/>
      </w:pPr>
      <w:r>
        <w:rPr>
          <w:rFonts w:ascii="Arial" w:cs="Arial" w:eastAsia="Arial" w:hAnsi="Arial"/>
          <w:b/>
          <w:bCs/>
          <w:color w:val="2E6DA4"/>
          <w:sz w:val="20"/>
          <w:szCs w:val="20"/>
        </w:rPr>
        <w:t xml:space="preserve">[١]  </w:t>
      </w:r>
      <w:r>
        <w:rPr>
          <w:rFonts w:ascii="Arial" w:cs="Arial" w:eastAsia="Arial" w:hAnsi="Arial"/>
          <w:color w:val="222222"/>
          <w:sz w:val="20"/>
          <w:szCs w:val="20"/>
        </w:rPr>
        <w:t xml:space="preserve">القرآن الكريم — الآيات المُستشهد بها: الرعد (١١، ٢٨)، العنكبوت (٤٥، ٦٩)، ص (٢٩)، التوبة (١١٩)، هود (٨٨).</w:t>
      </w:r>
    </w:p>
    <w:p>
      <w:pPr>
        <w:bidi/>
        <w:spacing w:before="100" w:after="100"/>
        <w:jc w:val="right"/>
      </w:pPr>
      <w:r>
        <w:rPr>
          <w:rFonts w:ascii="Arial" w:cs="Arial" w:eastAsia="Arial" w:hAnsi="Arial"/>
          <w:b/>
          <w:bCs/>
          <w:color w:val="2E6DA4"/>
          <w:sz w:val="20"/>
          <w:szCs w:val="20"/>
        </w:rPr>
        <w:t xml:space="preserve">[٢]  </w:t>
      </w:r>
      <w:r>
        <w:rPr>
          <w:rFonts w:ascii="Arial" w:cs="Arial" w:eastAsia="Arial" w:hAnsi="Arial"/>
          <w:color w:val="222222"/>
          <w:sz w:val="20"/>
          <w:szCs w:val="20"/>
        </w:rPr>
        <w:t xml:space="preserve">صحيح البخاري — كتاب الدعوات، باب استغفار النبي صلى الله عليه وسلم في اليوم والليلة. تحقيق: محمد زهير بن ناصر. دار طوق النجاة، 2001. (حديث رقم ٦٣٠٧).</w:t>
      </w:r>
    </w:p>
    <w:p>
      <w:pPr>
        <w:bidi/>
        <w:spacing w:before="100" w:after="100"/>
        <w:jc w:val="right"/>
      </w:pPr>
      <w:r>
        <w:rPr>
          <w:rFonts w:ascii="Arial" w:cs="Arial" w:eastAsia="Arial" w:hAnsi="Arial"/>
          <w:b/>
          <w:bCs/>
          <w:color w:val="2E6DA4"/>
          <w:sz w:val="20"/>
          <w:szCs w:val="20"/>
        </w:rPr>
        <w:t xml:space="preserve">[٣]  </w:t>
      </w:r>
      <w:r>
        <w:rPr>
          <w:rFonts w:ascii="Arial" w:cs="Arial" w:eastAsia="Arial" w:hAnsi="Arial"/>
          <w:color w:val="222222"/>
          <w:sz w:val="20"/>
          <w:szCs w:val="20"/>
        </w:rPr>
        <w:t xml:space="preserve">ابن القيم الجوزية — الوابل الصيّب من الكلم الطيب. تحقيق: سيد إبراهيم. دار الحديث، القاهرة، 1999. (باب منازل الذكر وأثره في القلب، ص. 45-130 — تفصيل مراتب الذكر وأثره النفسي).</w:t>
      </w:r>
    </w:p>
    <w:p>
      <w:pPr>
        <w:bidi/>
        <w:spacing w:before="100" w:after="100"/>
        <w:jc w:val="right"/>
      </w:pPr>
      <w:r>
        <w:rPr>
          <w:rFonts w:ascii="Arial" w:cs="Arial" w:eastAsia="Arial" w:hAnsi="Arial"/>
          <w:b/>
          <w:bCs/>
          <w:color w:val="2E6DA4"/>
          <w:sz w:val="20"/>
          <w:szCs w:val="20"/>
        </w:rPr>
        <w:t xml:space="preserve">[٤]  </w:t>
      </w:r>
      <w:r>
        <w:rPr>
          <w:rFonts w:ascii="Arial" w:cs="Arial" w:eastAsia="Arial" w:hAnsi="Arial"/>
          <w:color w:val="222222"/>
          <w:sz w:val="20"/>
          <w:szCs w:val="20"/>
        </w:rPr>
        <w:t xml:space="preserve">ابن القيم الجوزية — زاد المعاد في هدي خير العباد. مؤسسة الرسالة، بيروت، 1994. (الجزء الأول، هدي النبي في الصلاة والذكر، ص. 168-290).</w:t>
      </w:r>
    </w:p>
    <w:p>
      <w:pPr>
        <w:bidi/>
        <w:spacing w:before="100" w:after="100"/>
        <w:jc w:val="right"/>
      </w:pPr>
      <w:r>
        <w:rPr>
          <w:rFonts w:ascii="Arial" w:cs="Arial" w:eastAsia="Arial" w:hAnsi="Arial"/>
          <w:b/>
          <w:bCs/>
          <w:color w:val="2E6DA4"/>
          <w:sz w:val="20"/>
          <w:szCs w:val="20"/>
        </w:rPr>
        <w:t xml:space="preserve">[٥]  </w:t>
      </w:r>
      <w:r>
        <w:rPr>
          <w:rFonts w:ascii="Arial" w:cs="Arial" w:eastAsia="Arial" w:hAnsi="Arial"/>
          <w:color w:val="222222"/>
          <w:sz w:val="20"/>
          <w:szCs w:val="20"/>
        </w:rPr>
        <w:t xml:space="preserve">الحارث المحاسبي — الرعاية لحقوق الله. تحقيق: عبد القادر عطا. دار الكتب العلمية، بيروت، 1990. (باب محاسبة النفس، ص. 195-260 — أقدم معالجة نفسية إسلامية لمحاسبة النفس اليومية).</w:t>
      </w:r>
    </w:p>
    <w:p>
      <w:pPr>
        <w:spacing w:before="120" w:after="120"/>
      </w:pPr>
    </w:p>
    <w:p>
      <w:pPr>
        <w:bidi/>
        <w:spacing w:before="320" w:after="160"/>
        <w:jc w:val="right"/>
      </w:pPr>
      <w:r>
        <w:rPr>
          <w:rFonts w:ascii="Arial" w:cs="Arial" w:eastAsia="Arial" w:hAnsi="Arial"/>
          <w:b/>
          <w:bCs/>
          <w:color w:val="2E6DA4"/>
          <w:sz w:val="30"/>
          <w:szCs w:val="30"/>
        </w:rPr>
        <w:t xml:space="preserve">ثانياً — المراجع الفرنسية في علم الأعصاب والصلاة</w:t>
      </w:r>
    </w:p>
    <w:p>
      <w:pPr>
        <w:spacing w:before="100" w:after="100"/>
        <w:jc w:val="left"/>
      </w:pPr>
      <w:r>
        <w:rPr>
          <w:rFonts w:ascii="Arial" w:cs="Arial" w:eastAsia="Arial" w:hAnsi="Arial"/>
          <w:b/>
          <w:bCs/>
          <w:color w:val="2E6DA4"/>
          <w:sz w:val="20"/>
          <w:szCs w:val="20"/>
        </w:rPr>
        <w:t xml:space="preserve">[٦]  </w:t>
      </w:r>
      <w:r>
        <w:rPr>
          <w:rFonts w:ascii="Arial" w:cs="Arial" w:eastAsia="Arial" w:hAnsi="Arial"/>
          <w:color w:val="222222"/>
          <w:sz w:val="20"/>
          <w:szCs w:val="20"/>
        </w:rPr>
        <w:t xml:space="preserve">Andrew Newberg &amp; Mark Waldman — How God Changes Your Brain: Breakthrough Findings from a Leading Neuroscientist. Ballantine Books, New York, 2009. (Chapter 4 : « The Neurological Side Effects of Prayer and Meditation », pp. 45-85 ; p. 54).</w:t>
      </w:r>
    </w:p>
    <w:p>
      <w:pPr>
        <w:spacing w:before="100" w:after="100"/>
        <w:jc w:val="left"/>
      </w:pPr>
      <w:r>
        <w:rPr>
          <w:rFonts w:ascii="Arial" w:cs="Arial" w:eastAsia="Arial" w:hAnsi="Arial"/>
          <w:b/>
          <w:bCs/>
          <w:color w:val="2E6DA4"/>
          <w:sz w:val="20"/>
          <w:szCs w:val="20"/>
        </w:rPr>
        <w:t xml:space="preserve">[٧]  </w:t>
      </w:r>
      <w:r>
        <w:rPr>
          <w:rFonts w:ascii="Arial" w:cs="Arial" w:eastAsia="Arial" w:hAnsi="Arial"/>
          <w:color w:val="222222"/>
          <w:sz w:val="20"/>
          <w:szCs w:val="20"/>
        </w:rPr>
        <w:t xml:space="preserve">Patrick McNamara — The Neuroscience of Religious Experience. Cambridge University Press, Cambridge, 2009. (Chapter 7 : « Brain, Prayer and Religious Experience », pp. 162-205 ; sur la qualité vs fréquence de la prière, p. 178).</w:t>
      </w:r>
    </w:p>
    <w:p>
      <w:pPr>
        <w:spacing w:before="100" w:after="100"/>
        <w:jc w:val="left"/>
      </w:pPr>
      <w:r>
        <w:rPr>
          <w:rFonts w:ascii="Arial" w:cs="Arial" w:eastAsia="Arial" w:hAnsi="Arial"/>
          <w:b/>
          <w:bCs/>
          <w:color w:val="2E6DA4"/>
          <w:sz w:val="20"/>
          <w:szCs w:val="20"/>
        </w:rPr>
        <w:t xml:space="preserve">[٨]  </w:t>
      </w:r>
      <w:r>
        <w:rPr>
          <w:rFonts w:ascii="Arial" w:cs="Arial" w:eastAsia="Arial" w:hAnsi="Arial"/>
          <w:color w:val="222222"/>
          <w:sz w:val="20"/>
          <w:szCs w:val="20"/>
        </w:rPr>
        <w:t xml:space="preserve">Mario Beauregard &amp; Denyse O'Leary — Le Cerveau de Dieu. Traduit de l'anglais par Louis Évrard. Guy Trédaniel, Paris, 2008. (Chapitre 6 : « Les mystiques au scanner », pp. 123-165 — études IRM sur l'activité cérébrale durant la prière profonde).</w:t>
      </w:r>
    </w:p>
    <w:p>
      <w:pPr>
        <w:spacing w:before="120" w:after="120"/>
      </w:pPr>
    </w:p>
    <w:p>
      <w:pPr>
        <w:bidi/>
        <w:spacing w:before="320" w:after="160"/>
        <w:jc w:val="right"/>
      </w:pPr>
      <w:r>
        <w:rPr>
          <w:rFonts w:ascii="Arial" w:cs="Arial" w:eastAsia="Arial" w:hAnsi="Arial"/>
          <w:b/>
          <w:bCs/>
          <w:color w:val="2E6DA4"/>
          <w:sz w:val="30"/>
          <w:szCs w:val="30"/>
        </w:rPr>
        <w:t xml:space="preserve">ثالثاً — المراجع الفرنسية في علم النفس والتغيير السلوكي</w:t>
      </w:r>
    </w:p>
    <w:p>
      <w:pPr>
        <w:spacing w:before="100" w:after="100"/>
        <w:jc w:val="left"/>
      </w:pPr>
      <w:r>
        <w:rPr>
          <w:rFonts w:ascii="Arial" w:cs="Arial" w:eastAsia="Arial" w:hAnsi="Arial"/>
          <w:b/>
          <w:bCs/>
          <w:color w:val="2E6DA4"/>
          <w:sz w:val="20"/>
          <w:szCs w:val="20"/>
        </w:rPr>
        <w:t xml:space="preserve">[٩]  </w:t>
      </w:r>
      <w:r>
        <w:rPr>
          <w:rFonts w:ascii="Arial" w:cs="Arial" w:eastAsia="Arial" w:hAnsi="Arial"/>
          <w:color w:val="222222"/>
          <w:sz w:val="20"/>
          <w:szCs w:val="20"/>
        </w:rPr>
        <w:t xml:space="preserve">BJ Fogg — Minuscules Habitudes : Les petits riens qui changent tout. Traduit de l'anglais. Houghton Mifflin, Boston, 2019. (Chapitre 1 : « Comportement = Motivation + Capacité + Déclencheur », pp. 1-35 ; sur l'architecture comportementale, p. 21).</w:t>
      </w:r>
    </w:p>
    <w:p>
      <w:pPr>
        <w:spacing w:before="100" w:after="100"/>
        <w:jc w:val="left"/>
      </w:pPr>
      <w:r>
        <w:rPr>
          <w:rFonts w:ascii="Arial" w:cs="Arial" w:eastAsia="Arial" w:hAnsi="Arial"/>
          <w:b/>
          <w:bCs/>
          <w:color w:val="2E6DA4"/>
          <w:sz w:val="20"/>
          <w:szCs w:val="20"/>
        </w:rPr>
        <w:t xml:space="preserve">[١٠]  </w:t>
      </w:r>
      <w:r>
        <w:rPr>
          <w:rFonts w:ascii="Arial" w:cs="Arial" w:eastAsia="Arial" w:hAnsi="Arial"/>
          <w:color w:val="222222"/>
          <w:sz w:val="20"/>
          <w:szCs w:val="20"/>
        </w:rPr>
        <w:t xml:space="preserve">Maryanne Wolf — Proust et le calamar : Histoire et science du cerveau qui lit. Traduit de l'anglais par Sophie Dalle. Alouette, Paris, 2008. (Chapitre 9 : « Le cerveau qui lit en danger », pp. 205-245 ; sur la neuroplasticité et la lecture profonde, pp. 218 et 232).</w:t>
      </w:r>
    </w:p>
    <w:p>
      <w:pPr>
        <w:spacing w:before="100" w:after="100"/>
        <w:jc w:val="left"/>
      </w:pPr>
      <w:r>
        <w:rPr>
          <w:rFonts w:ascii="Arial" w:cs="Arial" w:eastAsia="Arial" w:hAnsi="Arial"/>
          <w:b/>
          <w:bCs/>
          <w:color w:val="2E6DA4"/>
          <w:sz w:val="20"/>
          <w:szCs w:val="20"/>
        </w:rPr>
        <w:t xml:space="preserve">[١١]  </w:t>
      </w:r>
      <w:r>
        <w:rPr>
          <w:rFonts w:ascii="Arial" w:cs="Arial" w:eastAsia="Arial" w:hAnsi="Arial"/>
          <w:color w:val="222222"/>
          <w:sz w:val="20"/>
          <w:szCs w:val="20"/>
        </w:rPr>
        <w:t xml:space="preserve">Simone Weil — Attente de Dieu. Fayard, Paris, 1966 (rééd. 2009). (Lettre IV : « Réflexions sur le bon usage des études scolaires en vue de l'amour de Dieu », pp. 83-102 ; sur l'attention comme forme d'amour, p. 93).</w:t>
      </w:r>
    </w:p>
    <w:p>
      <w:pPr>
        <w:spacing w:before="100" w:after="100"/>
        <w:jc w:val="left"/>
      </w:pPr>
      <w:r>
        <w:rPr>
          <w:rFonts w:ascii="Arial" w:cs="Arial" w:eastAsia="Arial" w:hAnsi="Arial"/>
          <w:b/>
          <w:bCs/>
          <w:color w:val="2E6DA4"/>
          <w:sz w:val="20"/>
          <w:szCs w:val="20"/>
        </w:rPr>
        <w:t xml:space="preserve">[١٢]  </w:t>
      </w:r>
      <w:r>
        <w:rPr>
          <w:rFonts w:ascii="Arial" w:cs="Arial" w:eastAsia="Arial" w:hAnsi="Arial"/>
          <w:color w:val="222222"/>
          <w:sz w:val="20"/>
          <w:szCs w:val="20"/>
        </w:rPr>
        <w:t xml:space="preserve">Roy Baumeister &amp; John Tierney — Le Pouvoir de la volonté. Traduit de l'anglais par Éric Vilain. Eyrolles, Paris, 2012. (Chapitre 1 : « Est-ce que la volonté est une ressource limitée ? », pp. 13-45 — sur l'épuisement de la volonté et les stratégies environnementales).</w:t>
      </w:r>
    </w:p>
    <w:p>
      <w:pPr>
        <w:spacing w:before="120" w:after="120"/>
      </w:pPr>
    </w:p>
    <w:p>
      <w:pPr>
        <w:bidi/>
        <w:spacing w:before="320" w:after="160"/>
        <w:jc w:val="right"/>
      </w:pPr>
      <w:r>
        <w:rPr>
          <w:rFonts w:ascii="Arial" w:cs="Arial" w:eastAsia="Arial" w:hAnsi="Arial"/>
          <w:b/>
          <w:bCs/>
          <w:color w:val="2E6DA4"/>
          <w:sz w:val="30"/>
          <w:szCs w:val="30"/>
        </w:rPr>
        <w:t xml:space="preserve">رابعاً — المراجع الفرنسية في علم الاجتماع والصحة</w:t>
      </w:r>
    </w:p>
    <w:p>
      <w:pPr>
        <w:spacing w:before="100" w:after="100"/>
        <w:jc w:val="left"/>
      </w:pPr>
      <w:r>
        <w:rPr>
          <w:rFonts w:ascii="Arial" w:cs="Arial" w:eastAsia="Arial" w:hAnsi="Arial"/>
          <w:b/>
          <w:bCs/>
          <w:color w:val="2E6DA4"/>
          <w:sz w:val="20"/>
          <w:szCs w:val="20"/>
        </w:rPr>
        <w:t xml:space="preserve">[١٣]  </w:t>
      </w:r>
      <w:r>
        <w:rPr>
          <w:rFonts w:ascii="Arial" w:cs="Arial" w:eastAsia="Arial" w:hAnsi="Arial"/>
          <w:color w:val="222222"/>
          <w:sz w:val="20"/>
          <w:szCs w:val="20"/>
        </w:rPr>
        <w:t xml:space="preserve">Julianne Holt-Lunstad — « Social Isolation and Loneliness as Risk Factors for Mortality: A Meta-Analytic Review ». Perspectives on Psychological Science, Vol. 10(2), 2015, pp. 227-237.</w:t>
      </w:r>
    </w:p>
    <w:p>
      <w:pPr>
        <w:spacing w:before="100" w:after="100"/>
        <w:jc w:val="left"/>
      </w:pPr>
      <w:r>
        <w:rPr>
          <w:rFonts w:ascii="Arial" w:cs="Arial" w:eastAsia="Arial" w:hAnsi="Arial"/>
          <w:b/>
          <w:bCs/>
          <w:color w:val="2E6DA4"/>
          <w:sz w:val="20"/>
          <w:szCs w:val="20"/>
        </w:rPr>
        <w:t xml:space="preserve">[١٤]  </w:t>
      </w:r>
      <w:r>
        <w:rPr>
          <w:rFonts w:ascii="Arial" w:cs="Arial" w:eastAsia="Arial" w:hAnsi="Arial"/>
          <w:color w:val="222222"/>
          <w:sz w:val="20"/>
          <w:szCs w:val="20"/>
        </w:rPr>
        <w:t xml:space="preserve">Robert Putnam — Bowling Alone: The Collapse and Revival of American Community. Simon &amp; Schuster, New York, 2000. (Chapter 8 : « From Social Ties to Social Capital », pp. 134-180 — sur le déclin des communautés réelles au profit du virtuel).</w:t>
      </w:r>
    </w:p>
    <w:p>
      <w:pPr>
        <w:spacing w:before="100" w:after="100"/>
        <w:jc w:val="left"/>
      </w:pPr>
      <w:r>
        <w:rPr>
          <w:rFonts w:ascii="Arial" w:cs="Arial" w:eastAsia="Arial" w:hAnsi="Arial"/>
          <w:b/>
          <w:bCs/>
          <w:color w:val="2E6DA4"/>
          <w:sz w:val="20"/>
          <w:szCs w:val="20"/>
        </w:rPr>
        <w:t xml:space="preserve">[١٥]  </w:t>
      </w:r>
      <w:r>
        <w:rPr>
          <w:rFonts w:ascii="Arial" w:cs="Arial" w:eastAsia="Arial" w:hAnsi="Arial"/>
          <w:color w:val="222222"/>
          <w:sz w:val="20"/>
          <w:szCs w:val="20"/>
        </w:rPr>
        <w:t xml:space="preserve">Sherry Turkle — Seuls ensemble : De plus en plus de technologies, de moins en moins de relations humaines. L'Échappée, Paris, 2015. (Chapitre 2 : « Des textos au lieu de parler », pp. 49-96 — sur l'illusion de la connexion numérique).</w:t>
      </w:r>
    </w:p>
    <w:p>
      <w:pPr>
        <w:spacing w:before="120" w:after="120"/>
      </w:pPr>
    </w:p>
    <w:p>
      <w:pPr>
        <w:bidi/>
        <w:spacing w:before="320" w:after="160"/>
        <w:jc w:val="right"/>
      </w:pPr>
      <w:r>
        <w:rPr>
          <w:rFonts w:ascii="Arial" w:cs="Arial" w:eastAsia="Arial" w:hAnsi="Arial"/>
          <w:b/>
          <w:bCs/>
          <w:color w:val="2E6DA4"/>
          <w:sz w:val="30"/>
          <w:szCs w:val="30"/>
        </w:rPr>
        <w:t xml:space="preserve">خامساً — الدراسات العلمية المحكّمة</w:t>
      </w:r>
    </w:p>
    <w:p>
      <w:pPr>
        <w:spacing w:before="100" w:after="100"/>
        <w:jc w:val="left"/>
      </w:pPr>
      <w:r>
        <w:rPr>
          <w:rFonts w:ascii="Arial" w:cs="Arial" w:eastAsia="Arial" w:hAnsi="Arial"/>
          <w:b/>
          <w:bCs/>
          <w:color w:val="2E6DA4"/>
          <w:sz w:val="20"/>
          <w:szCs w:val="20"/>
        </w:rPr>
        <w:t xml:space="preserve">[١٦]  </w:t>
      </w:r>
      <w:r>
        <w:rPr>
          <w:rFonts w:ascii="Arial" w:cs="Arial" w:eastAsia="Arial" w:hAnsi="Arial"/>
          <w:color w:val="222222"/>
          <w:sz w:val="20"/>
          <w:szCs w:val="20"/>
        </w:rPr>
        <w:t xml:space="preserve">Adrian Ward et al. — « Brain Drain: The Mere Presence of One's Own Smartphone Reduces Available Cognitive Capacity ». Journal of the Association for Consumer Research, Vol. 2(2), 2017, pp. 140-154.</w:t>
      </w:r>
    </w:p>
    <w:p>
      <w:pPr>
        <w:spacing w:before="100" w:after="100"/>
        <w:jc w:val="left"/>
      </w:pPr>
      <w:r>
        <w:rPr>
          <w:rFonts w:ascii="Arial" w:cs="Arial" w:eastAsia="Arial" w:hAnsi="Arial"/>
          <w:b/>
          <w:bCs/>
          <w:color w:val="2E6DA4"/>
          <w:sz w:val="20"/>
          <w:szCs w:val="20"/>
        </w:rPr>
        <w:t xml:space="preserve">[١٧]  </w:t>
      </w:r>
      <w:r>
        <w:rPr>
          <w:rFonts w:ascii="Arial" w:cs="Arial" w:eastAsia="Arial" w:hAnsi="Arial"/>
          <w:color w:val="222222"/>
          <w:sz w:val="20"/>
          <w:szCs w:val="20"/>
        </w:rPr>
        <w:t xml:space="preserve">Sara Lazar et al. — « Meditation Experience Is Associated with Increased Cortical Thickness ». NeuroReport, Vol. 16(17), 2005, pp. 1893-1897.</w:t>
      </w:r>
    </w:p>
    <w:p>
      <w:pPr>
        <w:spacing w:before="100" w:after="100"/>
        <w:jc w:val="left"/>
      </w:pPr>
      <w:r>
        <w:rPr>
          <w:rFonts w:ascii="Arial" w:cs="Arial" w:eastAsia="Arial" w:hAnsi="Arial"/>
          <w:b/>
          <w:bCs/>
          <w:color w:val="2E6DA4"/>
          <w:sz w:val="20"/>
          <w:szCs w:val="20"/>
        </w:rPr>
        <w:t xml:space="preserve">[١٨]  </w:t>
      </w:r>
      <w:r>
        <w:rPr>
          <w:rFonts w:ascii="Arial" w:cs="Arial" w:eastAsia="Arial" w:hAnsi="Arial"/>
          <w:color w:val="222222"/>
          <w:sz w:val="20"/>
          <w:szCs w:val="20"/>
        </w:rPr>
        <w:t xml:space="preserve">Cortland Dahl, Antoine Lutz &amp; Richard Davidson — « Reconstructing and Deconstructing the Self: Cognitive Mechanisms in Meditation Practice ». Trends in Cognitive Sciences, Vol. 19(9), 2015, pp. 515-523.</w:t>
      </w:r>
    </w:p>
    <w:p>
      <w:pPr>
        <w:spacing w:before="100" w:after="100"/>
        <w:jc w:val="left"/>
      </w:pPr>
      <w:r>
        <w:rPr>
          <w:rFonts w:ascii="Arial" w:cs="Arial" w:eastAsia="Arial" w:hAnsi="Arial"/>
          <w:b/>
          <w:bCs/>
          <w:color w:val="2E6DA4"/>
          <w:sz w:val="20"/>
          <w:szCs w:val="20"/>
        </w:rPr>
        <w:t xml:space="preserve">[١٩]  </w:t>
      </w:r>
      <w:r>
        <w:rPr>
          <w:rFonts w:ascii="Arial" w:cs="Arial" w:eastAsia="Arial" w:hAnsi="Arial"/>
          <w:color w:val="222222"/>
          <w:sz w:val="20"/>
          <w:szCs w:val="20"/>
        </w:rPr>
        <w:t xml:space="preserve">Philippe Goldin &amp; James Gross — « Effects of Mindfulness-Based Stress Reduction (MBSR) on Emotion Regulation in Social Anxiety Disorder ». Emotion, Vol. 10(1), 2010, pp. 83-91.</w:t>
      </w:r>
    </w:p>
    <w:p>
      <w:pPr>
        <w:spacing w:before="100" w:after="100"/>
        <w:jc w:val="left"/>
      </w:pPr>
      <w:r>
        <w:rPr>
          <w:rFonts w:ascii="Arial" w:cs="Arial" w:eastAsia="Arial" w:hAnsi="Arial"/>
          <w:b/>
          <w:bCs/>
          <w:color w:val="2E6DA4"/>
          <w:sz w:val="20"/>
          <w:szCs w:val="20"/>
        </w:rPr>
        <w:t xml:space="preserve">[٢٠]  </w:t>
      </w:r>
      <w:r>
        <w:rPr>
          <w:rFonts w:ascii="Arial" w:cs="Arial" w:eastAsia="Arial" w:hAnsi="Arial"/>
          <w:color w:val="222222"/>
          <w:sz w:val="20"/>
          <w:szCs w:val="20"/>
        </w:rPr>
        <w:t xml:space="preserve">Matthew Killingsworth &amp; Daniel Gilbert — « A Wandering Mind Is an Unhappy Mind ». Science, Vol. 330(6006), 2010, p. 932.</w:t>
      </w:r>
    </w:p>
    <w:p>
      <w:pPr>
        <w:pBdr>
          <w:bottom w:val="single" w:color="1A3C5E" w:sz="6" w:space="1"/>
        </w:pBdr>
        <w:spacing w:before="240" w:after="240"/>
      </w:pPr>
    </w:p>
    <w:p>
      <w:pPr>
        <w:spacing w:before="100" w:after="100"/>
      </w:pPr>
    </w:p>
    <w:p>
      <w:pPr>
        <w:bidi/>
        <w:spacing w:before="150" w:after="170" w:line="400"/>
        <w:jc w:val="center"/>
      </w:pPr>
      <w:r>
        <w:rPr>
          <w:rFonts w:ascii="Arial" w:cs="Arial" w:eastAsia="Arial" w:hAnsi="Arial"/>
          <w:b w:val="false"/>
          <w:bCs w:val="false"/>
          <w:color w:val="666666"/>
          <w:sz w:val="22"/>
          <w:szCs w:val="22"/>
        </w:rPr>
        <w:t xml:space="preserve">رسم هذا الفصل مسار الاستعادة — والفصل السادس سيُقدّم نموذج الاستخلاف الرقمي في أكمل صورته قبل الخاتمة.</w:t>
      </w:r>
    </w:p>
    <w:sectPr>
      <w:pgSz w:w="11906" w:h="16838" w:orient="portrait"/>
      <w:pgMar w:top="1600" w:right="1800" w:bottom="18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2026-02-23T04:26:52.842Z</dcterms:created>
  <dcterms:modified xsi:type="dcterms:W3CDTF">2026-02-23T04:26:52.843Z</dcterms:modified>
</cp:coreProperties>
</file>

<file path=docProps/custom.xml><?xml version="1.0" encoding="utf-8"?>
<Properties xmlns="http://schemas.openxmlformats.org/officeDocument/2006/custom-properties" xmlns:vt="http://schemas.openxmlformats.org/officeDocument/2006/docPropsVTypes"/>
</file>