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81484" w14:textId="77777777" w:rsidR="00753406" w:rsidRDefault="009D3DCE">
      <w:pPr>
        <w:spacing w:after="80"/>
        <w:jc w:val="center"/>
      </w:pPr>
      <w:r>
        <w:rPr>
          <w:rFonts w:hint="cs"/>
          <w:b/>
          <w:bCs/>
          <w:color w:val="1F3864"/>
          <w:sz w:val="40"/>
          <w:szCs w:val="40"/>
        </w:rPr>
        <w:t>ا</w:t>
      </w:r>
      <w:r>
        <w:rPr>
          <w:b/>
          <w:bCs/>
          <w:color w:val="1F3864"/>
          <w:sz w:val="40"/>
          <w:szCs w:val="40"/>
        </w:rPr>
        <w:t>لعلاقة بين ترتيل القرآن الكريم والنشاط الكهربائي للدماغ</w:t>
      </w:r>
    </w:p>
    <w:p w14:paraId="72F7DA66" w14:textId="77777777" w:rsidR="00753406" w:rsidRDefault="009D3DCE">
      <w:pPr>
        <w:spacing w:after="60"/>
        <w:jc w:val="center"/>
      </w:pPr>
      <w:r>
        <w:rPr>
          <w:i/>
          <w:iCs/>
          <w:color w:val="0E6B68"/>
          <w:sz w:val="26"/>
          <w:szCs w:val="26"/>
        </w:rPr>
        <w:t>مراجعة علمية موسّعة في ضوء علم النفس الاستخلافي والعلوم العصبية المعرفية</w:t>
      </w:r>
    </w:p>
    <w:p w14:paraId="29828214" w14:textId="77777777" w:rsidR="00753406" w:rsidRDefault="009D3DCE">
      <w:pPr>
        <w:pBdr>
          <w:bottom w:val="single" w:sz="12" w:space="8" w:color="B8860B"/>
        </w:pBdr>
        <w:spacing w:after="300"/>
        <w:jc w:val="center"/>
      </w:pPr>
      <w:r>
        <w:rPr>
          <w:color w:val="B8860B"/>
          <w:sz w:val="20"/>
          <w:szCs w:val="20"/>
        </w:rPr>
        <w:t>قسم البحث العصبي — مشروع علم النفس الاستخلافي</w:t>
      </w:r>
    </w:p>
    <w:p w14:paraId="0EC4F8E2" w14:textId="77777777" w:rsidR="00753406" w:rsidRDefault="009D3DCE" w:rsidP="00D038EE">
      <w:pPr>
        <w:pStyle w:val="1"/>
        <w:pBdr>
          <w:bottom w:val="single" w:sz="8" w:space="4" w:color="B8860B"/>
        </w:pBdr>
        <w:bidi/>
        <w:spacing w:before="400" w:after="200"/>
      </w:pPr>
      <w:r>
        <w:rPr>
          <w:b/>
          <w:bCs/>
          <w:color w:val="1F3864"/>
          <w:sz w:val="34"/>
          <w:szCs w:val="34"/>
        </w:rPr>
        <w:t>مقدمة</w:t>
      </w:r>
    </w:p>
    <w:p w14:paraId="358CB1BF" w14:textId="77777777" w:rsidR="00753406" w:rsidRDefault="009D3DCE" w:rsidP="00D038EE">
      <w:pPr>
        <w:spacing w:after="160" w:line="300" w:lineRule="auto"/>
      </w:pPr>
      <w:r>
        <w:rPr>
          <w:color w:val="222222"/>
        </w:rPr>
        <w:t>شكّل تأثير النصوص الدينية والروحية على الوظائف الدماغية مجالًا خصبًا للبحث في العلوم العصبية المعرفية (</w:t>
      </w:r>
      <w:proofErr w:type="spellStart"/>
      <w:r>
        <w:rPr>
          <w:color w:val="222222"/>
        </w:rPr>
        <w:t>Cognitive</w:t>
      </w:r>
      <w:proofErr w:type="spellEnd"/>
      <w:r>
        <w:rPr>
          <w:color w:val="222222"/>
        </w:rPr>
        <w:t xml:space="preserve"> </w:t>
      </w:r>
      <w:proofErr w:type="spellStart"/>
      <w:r>
        <w:rPr>
          <w:color w:val="222222"/>
        </w:rPr>
        <w:t>Neuroscience</w:t>
      </w:r>
      <w:proofErr w:type="spellEnd"/>
      <w:r>
        <w:rPr>
          <w:color w:val="222222"/>
        </w:rPr>
        <w:t>) وعلم الأعصاب الديني (</w:t>
      </w:r>
      <w:proofErr w:type="spellStart"/>
      <w:r>
        <w:rPr>
          <w:color w:val="222222"/>
        </w:rPr>
        <w:t>Neurotheology</w:t>
      </w:r>
      <w:proofErr w:type="spellEnd"/>
      <w:r>
        <w:rPr>
          <w:color w:val="222222"/>
        </w:rPr>
        <w:t>). وتلاوة القرآن الكريم، بخصائصها الصوتية والإيقاعية والمعنوية الفريدة، تمثل محفزًا سمعيًا ونفسيًا مركبًا متعدد الطبقات: طبقة صوتية-فيزيائية (ترددات، مدود، نبر)، وطبقة لغوية-دلالية (معنى وتذكر)، وطبقة إيمانية-روحية (يقين وتعلق). هذا التركيب الثلاثي يجعل من تلاوة القرآن نموذجًا فريدًا لدراسة التقاطع بين علم الأعصاب وعلم النفس الديني، ويميزها عن أي محفز صوتي آخر بما في ذلك الموسيقى الكلاسيكية أو تراتيل الأديان الأخرى.</w:t>
      </w:r>
    </w:p>
    <w:p w14:paraId="718BB657" w14:textId="77777777" w:rsidR="00753406" w:rsidRDefault="009D3DCE" w:rsidP="00D038EE">
      <w:pPr>
        <w:spacing w:after="160" w:line="300" w:lineRule="auto"/>
      </w:pPr>
      <w:r>
        <w:rPr>
          <w:color w:val="222222"/>
        </w:rPr>
        <w:t>منذ دراسات ما قبل عام 2010 التي اقتصرت على قياسات فيزيولوجية عامة (نبض، توتر عضلي)، تطور هذا الحقل بدخول تقنية تخطيط الدماغ الكهربائي الكمي (</w:t>
      </w:r>
      <w:proofErr w:type="spellStart"/>
      <w:r>
        <w:rPr>
          <w:color w:val="222222"/>
        </w:rPr>
        <w:t>Quantitative</w:t>
      </w:r>
      <w:proofErr w:type="spellEnd"/>
      <w:r>
        <w:rPr>
          <w:color w:val="222222"/>
        </w:rPr>
        <w:t xml:space="preserve"> EEG) والتصوير بالرنين المغناطيسي الوظيفي (</w:t>
      </w:r>
      <w:proofErr w:type="spellStart"/>
      <w:r>
        <w:rPr>
          <w:color w:val="222222"/>
        </w:rPr>
        <w:t>fMRI</w:t>
      </w:r>
      <w:proofErr w:type="spellEnd"/>
      <w:r>
        <w:rPr>
          <w:color w:val="222222"/>
        </w:rPr>
        <w:t>) والتصوير المغناطيسي الدماغي (MEG)، مما سمح برصد التغيرات العصبية بدقة زمنية ومكانية متزايدة. تهدف هذه المراجعة الموسعة إلى: (أ) تحليل الأدلة التجريبية المنشورة في دوريات محكمة، (ب) استعراض النماذج التفسيرية للآليات الكامنة، (ج) استشراف التطبيقات السريرية وحدودها المنهجية، مع الالتزام الصارم بدقة التوثيق العلمي وفق نظام APA (الإصدار السابع).</w:t>
      </w:r>
    </w:p>
    <w:p w14:paraId="17DF0C29" w14:textId="77777777" w:rsidR="00753406" w:rsidRDefault="009D3DCE" w:rsidP="00D038EE">
      <w:pPr>
        <w:pStyle w:val="1"/>
        <w:pBdr>
          <w:bottom w:val="single" w:sz="8" w:space="4" w:color="B8860B"/>
        </w:pBdr>
        <w:bidi/>
        <w:spacing w:before="400" w:after="200"/>
      </w:pPr>
      <w:r>
        <w:rPr>
          <w:b/>
          <w:bCs/>
          <w:color w:val="1F3864"/>
          <w:sz w:val="34"/>
          <w:szCs w:val="34"/>
        </w:rPr>
        <w:t>١. الأساس العصبي الفيزيولوجي: موجات الدماغ ومدلولاتها</w:t>
      </w:r>
    </w:p>
    <w:p w14:paraId="62E25197" w14:textId="77777777" w:rsidR="00753406" w:rsidRDefault="009D3DCE" w:rsidP="00D038EE">
      <w:pPr>
        <w:spacing w:after="160" w:line="300" w:lineRule="auto"/>
      </w:pPr>
      <w:r>
        <w:rPr>
          <w:color w:val="222222"/>
        </w:rPr>
        <w:t>تقوم الخلايا العصبية القشرية بتوليد نشاط كهربائي إيقاعي يمكن تسجيله عبر فروة الرأس باستخدام جهاز EEG، وينتج هذا النشاط عن التزامن (</w:t>
      </w:r>
      <w:proofErr w:type="spellStart"/>
      <w:r>
        <w:rPr>
          <w:color w:val="222222"/>
        </w:rPr>
        <w:t>Synchronization</w:t>
      </w:r>
      <w:proofErr w:type="spellEnd"/>
      <w:r>
        <w:rPr>
          <w:color w:val="222222"/>
        </w:rPr>
        <w:t xml:space="preserve">) بين مجموعات كبيرة من العصبونات القشرية </w:t>
      </w:r>
      <w:proofErr w:type="spellStart"/>
      <w:r>
        <w:rPr>
          <w:color w:val="222222"/>
        </w:rPr>
        <w:t>والتحتقشرية</w:t>
      </w:r>
      <w:proofErr w:type="spellEnd"/>
      <w:r>
        <w:rPr>
          <w:color w:val="222222"/>
        </w:rPr>
        <w:t>، وخاصة عبر حلقات التغذية الراجعة بين المهاد (</w:t>
      </w:r>
      <w:proofErr w:type="spellStart"/>
      <w:r>
        <w:rPr>
          <w:color w:val="222222"/>
        </w:rPr>
        <w:t>Thalamus</w:t>
      </w:r>
      <w:proofErr w:type="spellEnd"/>
      <w:r>
        <w:rPr>
          <w:color w:val="222222"/>
        </w:rPr>
        <w:t>) والقشرة (</w:t>
      </w:r>
      <w:proofErr w:type="spellStart"/>
      <w:r>
        <w:rPr>
          <w:color w:val="222222"/>
        </w:rPr>
        <w:t>Thalamocortical</w:t>
      </w:r>
      <w:proofErr w:type="spellEnd"/>
      <w:r>
        <w:rPr>
          <w:color w:val="222222"/>
        </w:rPr>
        <w:t xml:space="preserve"> </w:t>
      </w:r>
      <w:proofErr w:type="spellStart"/>
      <w:r>
        <w:rPr>
          <w:color w:val="222222"/>
        </w:rPr>
        <w:t>Loops</w:t>
      </w:r>
      <w:proofErr w:type="spellEnd"/>
      <w:r>
        <w:rPr>
          <w:color w:val="222222"/>
        </w:rPr>
        <w:t>). تُصنف هذه الموجات حسب ترددها إلى:</w:t>
      </w:r>
    </w:p>
    <w:p w14:paraId="1F60FFC0" w14:textId="77777777" w:rsidR="00753406" w:rsidRDefault="009D3DCE" w:rsidP="00D038EE">
      <w:pPr>
        <w:pStyle w:val="a4"/>
        <w:numPr>
          <w:ilvl w:val="0"/>
          <w:numId w:val="2"/>
        </w:numPr>
        <w:bidi/>
        <w:spacing w:after="100" w:line="290" w:lineRule="auto"/>
      </w:pPr>
      <w:r>
        <w:rPr>
          <w:color w:val="222222"/>
        </w:rPr>
        <w:t xml:space="preserve">موجات دلتا (0.5–4 هرتز): ترتبط بالنوم العميق (غير </w:t>
      </w:r>
      <w:proofErr w:type="spellStart"/>
      <w:r>
        <w:rPr>
          <w:color w:val="222222"/>
        </w:rPr>
        <w:t>الريمي</w:t>
      </w:r>
      <w:proofErr w:type="spellEnd"/>
      <w:r>
        <w:rPr>
          <w:color w:val="222222"/>
        </w:rPr>
        <w:t>) والعمليات التجديدية العصبية.</w:t>
      </w:r>
    </w:p>
    <w:p w14:paraId="67401FD2" w14:textId="77777777" w:rsidR="00753406" w:rsidRDefault="009D3DCE" w:rsidP="00D038EE">
      <w:pPr>
        <w:pStyle w:val="a4"/>
        <w:numPr>
          <w:ilvl w:val="0"/>
          <w:numId w:val="2"/>
        </w:numPr>
        <w:bidi/>
        <w:spacing w:after="100" w:line="290" w:lineRule="auto"/>
      </w:pPr>
      <w:r>
        <w:rPr>
          <w:color w:val="222222"/>
        </w:rPr>
        <w:t xml:space="preserve">موجات </w:t>
      </w:r>
      <w:proofErr w:type="spellStart"/>
      <w:r>
        <w:rPr>
          <w:color w:val="222222"/>
        </w:rPr>
        <w:t>ثيتا</w:t>
      </w:r>
      <w:proofErr w:type="spellEnd"/>
      <w:r>
        <w:rPr>
          <w:color w:val="222222"/>
        </w:rPr>
        <w:t xml:space="preserve"> (4–8 هرتز): ترتبط بالاسترخاء العميق، التأمل، الإبداع، الحالة بين اليقظة والنوم، وتُعرف موجات </w:t>
      </w:r>
      <w:proofErr w:type="spellStart"/>
      <w:r>
        <w:rPr>
          <w:color w:val="222222"/>
        </w:rPr>
        <w:t>ثيتا</w:t>
      </w:r>
      <w:proofErr w:type="spellEnd"/>
      <w:r>
        <w:rPr>
          <w:color w:val="222222"/>
        </w:rPr>
        <w:t xml:space="preserve"> </w:t>
      </w:r>
      <w:proofErr w:type="spellStart"/>
      <w:r>
        <w:rPr>
          <w:color w:val="222222"/>
        </w:rPr>
        <w:t>الجبهية</w:t>
      </w:r>
      <w:proofErr w:type="spellEnd"/>
      <w:r>
        <w:rPr>
          <w:color w:val="222222"/>
        </w:rPr>
        <w:t xml:space="preserve"> الوسطى (</w:t>
      </w:r>
      <w:proofErr w:type="spellStart"/>
      <w:r>
        <w:rPr>
          <w:color w:val="222222"/>
        </w:rPr>
        <w:t>Frontal-Midline</w:t>
      </w:r>
      <w:proofErr w:type="spellEnd"/>
      <w:r>
        <w:rPr>
          <w:color w:val="222222"/>
        </w:rPr>
        <w:t xml:space="preserve"> </w:t>
      </w:r>
      <w:proofErr w:type="spellStart"/>
      <w:r>
        <w:rPr>
          <w:color w:val="222222"/>
        </w:rPr>
        <w:t>Theta</w:t>
      </w:r>
      <w:proofErr w:type="spellEnd"/>
      <w:r>
        <w:rPr>
          <w:color w:val="222222"/>
        </w:rPr>
        <w:t xml:space="preserve">) تحديدًا بكونها مؤشرًا على الانتباه التأملي المركّز الناشئ من القشرة </w:t>
      </w:r>
      <w:proofErr w:type="spellStart"/>
      <w:r>
        <w:rPr>
          <w:color w:val="222222"/>
        </w:rPr>
        <w:t>الحزامية</w:t>
      </w:r>
      <w:proofErr w:type="spellEnd"/>
      <w:r>
        <w:rPr>
          <w:color w:val="222222"/>
        </w:rPr>
        <w:t xml:space="preserve"> الأمامية.</w:t>
      </w:r>
    </w:p>
    <w:p w14:paraId="2211A889" w14:textId="77777777" w:rsidR="00753406" w:rsidRDefault="009D3DCE" w:rsidP="00D038EE">
      <w:pPr>
        <w:pStyle w:val="a4"/>
        <w:numPr>
          <w:ilvl w:val="0"/>
          <w:numId w:val="2"/>
        </w:numPr>
        <w:bidi/>
        <w:spacing w:after="100" w:line="290" w:lineRule="auto"/>
      </w:pPr>
      <w:r>
        <w:rPr>
          <w:color w:val="222222"/>
        </w:rPr>
        <w:t>موجات ألفا (8–13 هرتز): مؤشر على الاسترخاء اليقظ، تظهر بوضوح في الفصين القذاليين عند إغماض العينين، وتُعتبر زيادتها دليلًا على خفض التوتر القشري وتثبيط المعالجة الحسية غير الضرورية.</w:t>
      </w:r>
    </w:p>
    <w:p w14:paraId="1A7B632B" w14:textId="77777777" w:rsidR="00753406" w:rsidRDefault="009D3DCE" w:rsidP="00D038EE">
      <w:pPr>
        <w:pStyle w:val="a4"/>
        <w:numPr>
          <w:ilvl w:val="0"/>
          <w:numId w:val="2"/>
        </w:numPr>
        <w:bidi/>
        <w:spacing w:after="100" w:line="290" w:lineRule="auto"/>
      </w:pPr>
      <w:r>
        <w:rPr>
          <w:color w:val="222222"/>
        </w:rPr>
        <w:t>موجات بيتا (13–30 هرتز): ترتبط باليقظة النشطة والتفكير المنطقي، لكن مستوياتها المرتفعة تصاحب القلق والتوتر المعرفي.</w:t>
      </w:r>
    </w:p>
    <w:p w14:paraId="0A982278" w14:textId="77777777" w:rsidR="00753406" w:rsidRDefault="009D3DCE" w:rsidP="00D038EE">
      <w:pPr>
        <w:pStyle w:val="a4"/>
        <w:numPr>
          <w:ilvl w:val="0"/>
          <w:numId w:val="2"/>
        </w:numPr>
        <w:bidi/>
        <w:spacing w:after="100" w:line="290" w:lineRule="auto"/>
      </w:pPr>
      <w:r>
        <w:rPr>
          <w:color w:val="222222"/>
        </w:rPr>
        <w:t>موجات غاما (30–100+ هرتز): ترتبط بالمعالجة العليا، الربط العصبي (</w:t>
      </w:r>
      <w:proofErr w:type="spellStart"/>
      <w:r>
        <w:rPr>
          <w:color w:val="222222"/>
        </w:rPr>
        <w:t>Binding</w:t>
      </w:r>
      <w:proofErr w:type="spellEnd"/>
      <w:r>
        <w:rPr>
          <w:color w:val="222222"/>
        </w:rPr>
        <w:t>)، الانتباه، والتكامل المعلوماتي عبر مناطق قشرية متباعدة.</w:t>
      </w:r>
    </w:p>
    <w:p w14:paraId="096F11C4" w14:textId="77777777" w:rsidR="00753406" w:rsidRDefault="009D3DCE" w:rsidP="00D038EE">
      <w:pPr>
        <w:spacing w:after="160" w:line="300" w:lineRule="auto"/>
      </w:pPr>
      <w:r>
        <w:rPr>
          <w:color w:val="222222"/>
        </w:rPr>
        <w:t>يُقاس تأثير الترتيل أو الاستماع إلى القرآن غالبًا عبر تحليل القدرة الطيفية (</w:t>
      </w:r>
      <w:proofErr w:type="spellStart"/>
      <w:r>
        <w:rPr>
          <w:color w:val="222222"/>
        </w:rPr>
        <w:t>Power</w:t>
      </w:r>
      <w:proofErr w:type="spellEnd"/>
      <w:r>
        <w:rPr>
          <w:color w:val="222222"/>
        </w:rPr>
        <w:t xml:space="preserve"> </w:t>
      </w:r>
      <w:proofErr w:type="spellStart"/>
      <w:r>
        <w:rPr>
          <w:color w:val="222222"/>
        </w:rPr>
        <w:t>Spectral</w:t>
      </w:r>
      <w:proofErr w:type="spellEnd"/>
      <w:r>
        <w:rPr>
          <w:color w:val="222222"/>
        </w:rPr>
        <w:t xml:space="preserve"> </w:t>
      </w:r>
      <w:proofErr w:type="spellStart"/>
      <w:r>
        <w:rPr>
          <w:color w:val="222222"/>
        </w:rPr>
        <w:t>Density</w:t>
      </w:r>
      <w:proofErr w:type="spellEnd"/>
      <w:r>
        <w:rPr>
          <w:color w:val="222222"/>
        </w:rPr>
        <w:t>) لهذه الموجات، ومؤشر التماثل بين نصفي الكرة المخية (</w:t>
      </w:r>
      <w:proofErr w:type="spellStart"/>
      <w:r>
        <w:rPr>
          <w:color w:val="222222"/>
        </w:rPr>
        <w:t>Asymmetry</w:t>
      </w:r>
      <w:proofErr w:type="spellEnd"/>
      <w:r>
        <w:rPr>
          <w:color w:val="222222"/>
        </w:rPr>
        <w:t xml:space="preserve"> </w:t>
      </w:r>
      <w:proofErr w:type="spellStart"/>
      <w:r>
        <w:rPr>
          <w:color w:val="222222"/>
        </w:rPr>
        <w:t>Index</w:t>
      </w:r>
      <w:proofErr w:type="spellEnd"/>
      <w:r>
        <w:rPr>
          <w:color w:val="222222"/>
        </w:rPr>
        <w:t xml:space="preserve">)، وأحيانًا عبر مقاييس </w:t>
      </w:r>
      <w:proofErr w:type="spellStart"/>
      <w:r>
        <w:rPr>
          <w:color w:val="222222"/>
        </w:rPr>
        <w:t>اللاخطية</w:t>
      </w:r>
      <w:proofErr w:type="spellEnd"/>
      <w:r>
        <w:rPr>
          <w:color w:val="222222"/>
        </w:rPr>
        <w:t xml:space="preserve"> (</w:t>
      </w:r>
      <w:proofErr w:type="spellStart"/>
      <w:r>
        <w:rPr>
          <w:color w:val="222222"/>
        </w:rPr>
        <w:t>Nonlinear</w:t>
      </w:r>
      <w:proofErr w:type="spellEnd"/>
      <w:r>
        <w:rPr>
          <w:color w:val="222222"/>
        </w:rPr>
        <w:t xml:space="preserve"> </w:t>
      </w:r>
      <w:proofErr w:type="spellStart"/>
      <w:r>
        <w:rPr>
          <w:color w:val="222222"/>
        </w:rPr>
        <w:t>Dynamics</w:t>
      </w:r>
      <w:proofErr w:type="spellEnd"/>
      <w:r>
        <w:rPr>
          <w:color w:val="222222"/>
        </w:rPr>
        <w:t xml:space="preserve">) </w:t>
      </w:r>
      <w:proofErr w:type="spellStart"/>
      <w:r>
        <w:rPr>
          <w:color w:val="222222"/>
        </w:rPr>
        <w:t>كالإنتروبيا</w:t>
      </w:r>
      <w:proofErr w:type="spellEnd"/>
      <w:r>
        <w:rPr>
          <w:color w:val="222222"/>
        </w:rPr>
        <w:t xml:space="preserve"> التقريبية (</w:t>
      </w:r>
      <w:proofErr w:type="spellStart"/>
      <w:r>
        <w:rPr>
          <w:color w:val="222222"/>
        </w:rPr>
        <w:t>Approximate</w:t>
      </w:r>
      <w:proofErr w:type="spellEnd"/>
      <w:r>
        <w:rPr>
          <w:color w:val="222222"/>
        </w:rPr>
        <w:t xml:space="preserve"> </w:t>
      </w:r>
      <w:proofErr w:type="spellStart"/>
      <w:r>
        <w:rPr>
          <w:color w:val="222222"/>
        </w:rPr>
        <w:t>Entropy</w:t>
      </w:r>
      <w:proofErr w:type="spellEnd"/>
      <w:r>
        <w:rPr>
          <w:color w:val="222222"/>
        </w:rPr>
        <w:t>) التي تعكس مدى تعقيد الإشارة العصبية.</w:t>
      </w:r>
    </w:p>
    <w:p w14:paraId="05093A37" w14:textId="77777777" w:rsidR="00753406" w:rsidRDefault="009D3DCE" w:rsidP="00D038EE">
      <w:pPr>
        <w:pStyle w:val="1"/>
        <w:pBdr>
          <w:bottom w:val="single" w:sz="8" w:space="4" w:color="B8860B"/>
        </w:pBdr>
        <w:bidi/>
        <w:spacing w:before="400" w:after="200"/>
      </w:pPr>
      <w:r>
        <w:rPr>
          <w:b/>
          <w:bCs/>
          <w:color w:val="1F3864"/>
          <w:sz w:val="34"/>
          <w:szCs w:val="34"/>
        </w:rPr>
        <w:t>٢. مراجعة موسّعة للدراسات التجريبية على EEG وتلاوة القرآن</w:t>
      </w:r>
    </w:p>
    <w:p w14:paraId="4E0AF153" w14:textId="77777777" w:rsidR="00753406" w:rsidRDefault="009D3DCE" w:rsidP="00D038EE">
      <w:pPr>
        <w:spacing w:after="160" w:line="300" w:lineRule="auto"/>
      </w:pPr>
      <w:r>
        <w:rPr>
          <w:color w:val="222222"/>
        </w:rPr>
        <w:t>تطورت الدراسات من قياسات فيزيولوجية عامة إلى تجارب مضبوطة باستخدام EEG الكمي، ثم إلى مراجعات نسقية (</w:t>
      </w:r>
      <w:proofErr w:type="spellStart"/>
      <w:r>
        <w:rPr>
          <w:color w:val="222222"/>
        </w:rPr>
        <w:t>Narrative</w:t>
      </w:r>
      <w:proofErr w:type="spellEnd"/>
      <w:r>
        <w:rPr>
          <w:color w:val="222222"/>
        </w:rPr>
        <w:t>/</w:t>
      </w:r>
      <w:proofErr w:type="spellStart"/>
      <w:r>
        <w:rPr>
          <w:color w:val="222222"/>
        </w:rPr>
        <w:t>Systematic</w:t>
      </w:r>
      <w:proofErr w:type="spellEnd"/>
      <w:r>
        <w:rPr>
          <w:color w:val="222222"/>
        </w:rPr>
        <w:t xml:space="preserve"> </w:t>
      </w:r>
      <w:proofErr w:type="spellStart"/>
      <w:r>
        <w:rPr>
          <w:color w:val="222222"/>
        </w:rPr>
        <w:t>Reviews</w:t>
      </w:r>
      <w:proofErr w:type="spellEnd"/>
      <w:r>
        <w:rPr>
          <w:color w:val="222222"/>
        </w:rPr>
        <w:t>) تجمع عشرات الدراسات المتناثرة في مجلات هندسية وطبية ونفسية. فيما يلي عرض نقدي للدراسات الأساسية مرتبة زمنيًا ومنهجيًا، تليها المراجعة التكاملية الأحدث.</w:t>
      </w:r>
    </w:p>
    <w:p w14:paraId="14D8D07A" w14:textId="77777777" w:rsidR="00753406" w:rsidRDefault="009D3DCE" w:rsidP="00D038EE">
      <w:pPr>
        <w:shd w:val="clear" w:color="auto" w:fill="EFEFEF"/>
        <w:spacing w:before="200" w:after="100"/>
      </w:pPr>
      <w:r>
        <w:rPr>
          <w:b/>
          <w:bCs/>
          <w:color w:val="0E6B68"/>
          <w:sz w:val="25"/>
          <w:szCs w:val="25"/>
        </w:rPr>
        <w:t xml:space="preserve">٢.١ دراسة الغلال </w:t>
      </w:r>
      <w:proofErr w:type="spellStart"/>
      <w:r>
        <w:rPr>
          <w:b/>
          <w:bCs/>
          <w:color w:val="0E6B68"/>
          <w:sz w:val="25"/>
          <w:szCs w:val="25"/>
        </w:rPr>
        <w:t>والشيخلي</w:t>
      </w:r>
      <w:proofErr w:type="spellEnd"/>
      <w:r>
        <w:rPr>
          <w:b/>
          <w:bCs/>
          <w:color w:val="0E6B68"/>
          <w:sz w:val="25"/>
          <w:szCs w:val="25"/>
        </w:rPr>
        <w:t xml:space="preserve"> وآخرون (2012) — زيادة موجات ألفا والاسترخاء</w:t>
      </w:r>
    </w:p>
    <w:p w14:paraId="5CC28B32" w14:textId="77777777" w:rsidR="00753406" w:rsidRDefault="009D3DCE" w:rsidP="00D038EE">
      <w:pPr>
        <w:spacing w:after="160" w:line="300" w:lineRule="auto"/>
      </w:pPr>
      <w:r>
        <w:rPr>
          <w:b/>
          <w:bCs/>
          <w:color w:val="222222"/>
        </w:rPr>
        <w:t xml:space="preserve">المرجع: </w:t>
      </w:r>
      <w:r>
        <w:rPr>
          <w:rFonts w:ascii="Times New Roman" w:eastAsia="Times New Roman" w:hAnsi="Times New Roman" w:cs="Times New Roman"/>
          <w:color w:val="222222"/>
          <w:rtl w:val="0"/>
        </w:rPr>
        <w:t>Al-Galal, S. A., Alshaikhli, I. F. T., Abdul Rahman, A. W., &amp; Dzulkifli, M. A. (2012). The effect of listening to Holy Quran recitation on the electroencephalogram signal. International Journal of Psychological Studies, 4(1), 166–175. https://doi.org/10.5539/ijps.v4n1p166</w:t>
      </w:r>
    </w:p>
    <w:p w14:paraId="2E62E3D1" w14:textId="77777777" w:rsidR="00753406" w:rsidRDefault="009D3DCE" w:rsidP="00D038EE">
      <w:pPr>
        <w:spacing w:after="160" w:line="300" w:lineRule="auto"/>
      </w:pPr>
      <w:r>
        <w:rPr>
          <w:color w:val="222222"/>
        </w:rPr>
        <w:t>المنهجية: أُجريت في الجامعة الإسلامية العالمية بماليزيا (IIUM)، وشملت 12 متطوعًا أصحاء. سُجلت إشارات EEG خلال حالتين: حالة راحة (إغماض عينين) وحالة استماع إلى تلاوة سورة الفاتحة بصوت الشيخ عبد الباسط عبد الصمد. حُللت القدرة الطيفية للموجات في أربع مناطق من فروة الرأس.</w:t>
      </w:r>
    </w:p>
    <w:p w14:paraId="22CA9CEC" w14:textId="77777777" w:rsidR="00753406" w:rsidRDefault="009D3DCE" w:rsidP="00D038EE">
      <w:pPr>
        <w:spacing w:after="160" w:line="300" w:lineRule="auto"/>
      </w:pPr>
      <w:r>
        <w:rPr>
          <w:color w:val="222222"/>
        </w:rPr>
        <w:t>النتائج الرئيسية: زيادة معنوية (p&lt;0.05) في القدرة المطلقة لموجات ألفا في جميع مناطق الدماغ، وبخاصة الفصين الجبهي والصدغي؛ وانخفاض غير معنوي في موجات بيتا يشير إلى تحول نحو استرخاء يقظ دون نعاس؛ وكان التأثير أقوى في بداية الاستماع، ما يلمّح إلى دور الانتباه الأولي (</w:t>
      </w:r>
      <w:proofErr w:type="spellStart"/>
      <w:r>
        <w:rPr>
          <w:color w:val="222222"/>
        </w:rPr>
        <w:t>Novelty</w:t>
      </w:r>
      <w:proofErr w:type="spellEnd"/>
      <w:r>
        <w:rPr>
          <w:color w:val="222222"/>
        </w:rPr>
        <w:t xml:space="preserve"> </w:t>
      </w:r>
      <w:proofErr w:type="spellStart"/>
      <w:r>
        <w:rPr>
          <w:color w:val="222222"/>
        </w:rPr>
        <w:t>Response</w:t>
      </w:r>
      <w:proofErr w:type="spellEnd"/>
      <w:r>
        <w:rPr>
          <w:color w:val="222222"/>
        </w:rPr>
        <w:t>).</w:t>
      </w:r>
    </w:p>
    <w:p w14:paraId="51F2D4F6" w14:textId="77777777" w:rsidR="00753406" w:rsidRDefault="009D3DCE" w:rsidP="00D038EE">
      <w:pPr>
        <w:spacing w:after="160" w:line="300" w:lineRule="auto"/>
      </w:pPr>
      <w:r>
        <w:rPr>
          <w:color w:val="222222"/>
        </w:rPr>
        <w:t>التعليق النقدي: حجم العينة محدود، لكن التصميم البسيط (مقارنة بالراحة) يعزل تأثير الصوت القرآني. غياب مجموعة ضابطة تستمع لمحتوى غير قرآني يجعل عزو التأثير للقرآن حصرًا أمرًا يحتاج إلى حذر منهجي.</w:t>
      </w:r>
    </w:p>
    <w:p w14:paraId="6BE0C94A" w14:textId="77777777" w:rsidR="00753406" w:rsidRDefault="009D3DCE" w:rsidP="00D038EE">
      <w:pPr>
        <w:shd w:val="clear" w:color="auto" w:fill="EFEFEF"/>
        <w:spacing w:before="200" w:after="100"/>
      </w:pPr>
      <w:r>
        <w:rPr>
          <w:b/>
          <w:bCs/>
          <w:color w:val="0E6B68"/>
          <w:sz w:val="25"/>
          <w:szCs w:val="25"/>
        </w:rPr>
        <w:t>٢.٢ دراسة زين الدين وعزيز وعبد الله (2013) — مقارنة مع الموسيقى الهادئة</w:t>
      </w:r>
    </w:p>
    <w:p w14:paraId="2997199D" w14:textId="77777777" w:rsidR="00753406" w:rsidRDefault="009D3DCE" w:rsidP="00D038EE">
      <w:pPr>
        <w:spacing w:after="160" w:line="300" w:lineRule="auto"/>
      </w:pPr>
      <w:r>
        <w:rPr>
          <w:b/>
          <w:bCs/>
          <w:color w:val="222222"/>
        </w:rPr>
        <w:t xml:space="preserve">المرجع: </w:t>
      </w:r>
      <w:r>
        <w:rPr>
          <w:rFonts w:ascii="Times New Roman" w:eastAsia="Times New Roman" w:hAnsi="Times New Roman" w:cs="Times New Roman"/>
          <w:color w:val="222222"/>
          <w:rtl w:val="0"/>
        </w:rPr>
        <w:t>Zainuddin, Z. S., Aziz, S. A., &amp; Abdullah, H. (2013). The effect of listening to Al-Quran recitation on the human brain: An EEG study. Procedia – Social and Behavioral Sciences, 97, 687–693. https://doi.org/10.1016/j.sbspro.2013.10.435</w:t>
      </w:r>
    </w:p>
    <w:p w14:paraId="24BE6DEF" w14:textId="77777777" w:rsidR="00753406" w:rsidRDefault="009D3DCE" w:rsidP="00D038EE">
      <w:pPr>
        <w:spacing w:after="160" w:line="300" w:lineRule="auto"/>
      </w:pPr>
      <w:r>
        <w:rPr>
          <w:color w:val="222222"/>
        </w:rPr>
        <w:t xml:space="preserve">المنهجية: شارك 20 طالبًا جامعيًا استمعوا إلى تلاوة قرآنية (سورة </w:t>
      </w:r>
      <w:proofErr w:type="spellStart"/>
      <w:r>
        <w:rPr>
          <w:color w:val="222222"/>
        </w:rPr>
        <w:t>يس</w:t>
      </w:r>
      <w:proofErr w:type="spellEnd"/>
      <w:r>
        <w:rPr>
          <w:color w:val="222222"/>
        </w:rPr>
        <w:t>) ومقطوعة موسيقية هادئة (موزارت) في جلسات منفصلة، إضافة إلى حالة راحة. قيست القدرة النسبية لموجات EEG.</w:t>
      </w:r>
    </w:p>
    <w:p w14:paraId="388C31C2" w14:textId="77777777" w:rsidR="00753406" w:rsidRDefault="009D3DCE" w:rsidP="00D038EE">
      <w:pPr>
        <w:spacing w:after="160" w:line="300" w:lineRule="auto"/>
      </w:pPr>
      <w:r>
        <w:rPr>
          <w:color w:val="222222"/>
        </w:rPr>
        <w:t xml:space="preserve">النتائج: التلاوة القرآنية أحدثت زيادة في موجات ألفا بالفص الجبهي أكبر مما أحدثته الموسيقى، بفروق دالة إحصائيًا مقارنة بالراحة؛ والموسيقى زادت ألفا أيضًا لكن بنسبة أقل، بينما تفوق القرآن في إحداث شعور بالسكينة وفق تقارير المشاركين الذاتية؛ ولوحظ ميل لزيادة موجات </w:t>
      </w:r>
      <w:proofErr w:type="spellStart"/>
      <w:r>
        <w:rPr>
          <w:color w:val="222222"/>
        </w:rPr>
        <w:t>ثيتا</w:t>
      </w:r>
      <w:proofErr w:type="spellEnd"/>
      <w:r>
        <w:rPr>
          <w:color w:val="222222"/>
        </w:rPr>
        <w:t xml:space="preserve"> في الفص الصدغي أثناء الاستماع للقرآن، ما قد يعكس حالة تأملية.</w:t>
      </w:r>
    </w:p>
    <w:p w14:paraId="755DA156" w14:textId="77777777" w:rsidR="00753406" w:rsidRDefault="009D3DCE" w:rsidP="00D038EE">
      <w:pPr>
        <w:spacing w:after="160" w:line="300" w:lineRule="auto"/>
      </w:pPr>
      <w:r>
        <w:rPr>
          <w:color w:val="222222"/>
        </w:rPr>
        <w:t>الأهمية: تؤكد الدراسة أن التأثير ليس مجرد تأثير صوت مهدئ عام، بل يحمل خصوصية مرتبطة بالخصائص الإيقاعية والمعنوية للقرآن، وهو ما يوافق منطلقات علم النفس الاستخلافي في التمييز بين المؤثر الصوتي المجرد والمؤثر الدال المتصل بمنظومة معنى متكاملة.</w:t>
      </w:r>
    </w:p>
    <w:p w14:paraId="2403537C" w14:textId="77777777" w:rsidR="00753406" w:rsidRDefault="009D3DCE" w:rsidP="00D038EE">
      <w:pPr>
        <w:shd w:val="clear" w:color="auto" w:fill="EFEFEF"/>
        <w:spacing w:before="200" w:after="100"/>
      </w:pPr>
      <w:r>
        <w:rPr>
          <w:b/>
          <w:bCs/>
          <w:color w:val="0E6B68"/>
          <w:sz w:val="25"/>
          <w:szCs w:val="25"/>
        </w:rPr>
        <w:t>٢.٣ دراسة جليل وغزالي وآخرون (2016) — بصمات دماغية للاستماع القرآني</w:t>
      </w:r>
    </w:p>
    <w:p w14:paraId="2EA67D76" w14:textId="77777777" w:rsidR="00753406" w:rsidRDefault="009D3DCE" w:rsidP="00D038EE">
      <w:pPr>
        <w:spacing w:after="160" w:line="300" w:lineRule="auto"/>
      </w:pPr>
      <w:r>
        <w:rPr>
          <w:b/>
          <w:bCs/>
          <w:color w:val="222222"/>
        </w:rPr>
        <w:t xml:space="preserve">المرجع: </w:t>
      </w:r>
      <w:r>
        <w:rPr>
          <w:rFonts w:ascii="Times New Roman" w:eastAsia="Times New Roman" w:hAnsi="Times New Roman" w:cs="Times New Roman"/>
          <w:color w:val="222222"/>
          <w:rtl w:val="0"/>
        </w:rPr>
        <w:t>Jalil, S. Z. A., Ghazali, M. A., Ibrahim, N., &amp; Zainuddin, Z. S. (2016). Brainwave signatures of Quranic listening: An EEG study. Advanced Science Letters, 22(10), 3081–3085. https://doi.org/10.1166/asl.2016.7123</w:t>
      </w:r>
    </w:p>
    <w:p w14:paraId="4427E14C" w14:textId="77777777" w:rsidR="00753406" w:rsidRDefault="009D3DCE" w:rsidP="00D038EE">
      <w:pPr>
        <w:spacing w:after="160" w:line="300" w:lineRule="auto"/>
      </w:pPr>
      <w:r>
        <w:rPr>
          <w:color w:val="222222"/>
        </w:rPr>
        <w:t>المنهجية: عينة من 30 مشاركًا، مع تسجيل EEG من 128 قناة لزيادة الدقة المكانية، استمعوا لتلاوة سورة الرحمن بصوت الشيخ مشاري العفاسي. حُسبت الكثافة الطيفية للقدرة (PSD) ورُسمت خرائط دماغية.</w:t>
      </w:r>
    </w:p>
    <w:p w14:paraId="48FAFABF" w14:textId="77777777" w:rsidR="00753406" w:rsidRDefault="009D3DCE" w:rsidP="00D038EE">
      <w:pPr>
        <w:spacing w:after="160" w:line="300" w:lineRule="auto"/>
      </w:pPr>
      <w:r>
        <w:rPr>
          <w:color w:val="222222"/>
        </w:rPr>
        <w:t xml:space="preserve">النتائج: زيادة واسعة في قدرة ألفا بالفصوص الأمامية والمركزية </w:t>
      </w:r>
      <w:proofErr w:type="spellStart"/>
      <w:r>
        <w:rPr>
          <w:color w:val="222222"/>
        </w:rPr>
        <w:t>والقذالية</w:t>
      </w:r>
      <w:proofErr w:type="spellEnd"/>
      <w:r>
        <w:rPr>
          <w:color w:val="222222"/>
        </w:rPr>
        <w:t xml:space="preserve"> تشير إلى استرخاء قشري عام؛ وأظهر تحليل التماثل (</w:t>
      </w:r>
      <w:proofErr w:type="spellStart"/>
      <w:r>
        <w:rPr>
          <w:color w:val="222222"/>
        </w:rPr>
        <w:t>Asymmetry</w:t>
      </w:r>
      <w:proofErr w:type="spellEnd"/>
      <w:r>
        <w:rPr>
          <w:color w:val="222222"/>
        </w:rPr>
        <w:t xml:space="preserve"> </w:t>
      </w:r>
      <w:proofErr w:type="spellStart"/>
      <w:r>
        <w:rPr>
          <w:color w:val="222222"/>
        </w:rPr>
        <w:t>Index</w:t>
      </w:r>
      <w:proofErr w:type="spellEnd"/>
      <w:r>
        <w:rPr>
          <w:color w:val="222222"/>
        </w:rPr>
        <w:t>) ميلًا نحو تناسق أكبر في نشاط ألفا بين نصفي الدماغ مقارنة بحالة الراحة، وهو ما يُفسَّر بتحقق توازن انفعالي؛ ولوحظت زيادة طفيفة في موجات غاما المنخفضة (30–45 هرتز) بالتلفيف الجبهي الأوسط، قد تشير إلى عمليات انتباه وتركيز على المعنى.</w:t>
      </w:r>
    </w:p>
    <w:p w14:paraId="5F725EEE" w14:textId="77777777" w:rsidR="00753406" w:rsidRDefault="009D3DCE" w:rsidP="00D038EE">
      <w:pPr>
        <w:spacing w:after="160" w:line="300" w:lineRule="auto"/>
      </w:pPr>
      <w:r>
        <w:rPr>
          <w:color w:val="222222"/>
        </w:rPr>
        <w:t>الاستنتاج: يُحدث القرآن نمطًا عصبيًا مميزًا يجمع بين الاسترخاء (ألفا) والتركيز الداخلي (غاما المنخفضة)، وهي حالة تُعرف في أدبيات علم الأعصاب المعرفي بـ«اليقظة الهادئة» (</w:t>
      </w:r>
      <w:proofErr w:type="spellStart"/>
      <w:r>
        <w:rPr>
          <w:color w:val="222222"/>
        </w:rPr>
        <w:t>Calm</w:t>
      </w:r>
      <w:proofErr w:type="spellEnd"/>
      <w:r>
        <w:rPr>
          <w:color w:val="222222"/>
        </w:rPr>
        <w:t xml:space="preserve"> </w:t>
      </w:r>
      <w:proofErr w:type="spellStart"/>
      <w:r>
        <w:rPr>
          <w:color w:val="222222"/>
        </w:rPr>
        <w:t>Alertness</w:t>
      </w:r>
      <w:proofErr w:type="spellEnd"/>
      <w:r>
        <w:rPr>
          <w:color w:val="222222"/>
        </w:rPr>
        <w:t>).</w:t>
      </w:r>
    </w:p>
    <w:p w14:paraId="41B0BFBB" w14:textId="77777777" w:rsidR="00753406" w:rsidRDefault="009D3DCE" w:rsidP="00D038EE">
      <w:pPr>
        <w:shd w:val="clear" w:color="auto" w:fill="EFEFEF"/>
        <w:spacing w:before="200" w:after="100"/>
      </w:pPr>
      <w:r>
        <w:rPr>
          <w:b/>
          <w:bCs/>
          <w:color w:val="0E6B68"/>
          <w:sz w:val="25"/>
          <w:szCs w:val="25"/>
        </w:rPr>
        <w:t>٢.٤ دراسة عبد الله وعمر (2011) — التلاوة الذاتية مقابل الاستماع</w:t>
      </w:r>
    </w:p>
    <w:p w14:paraId="34B838A9" w14:textId="77777777" w:rsidR="00753406" w:rsidRDefault="009D3DCE" w:rsidP="00D038EE">
      <w:pPr>
        <w:spacing w:after="160" w:line="300" w:lineRule="auto"/>
      </w:pPr>
      <w:r>
        <w:rPr>
          <w:b/>
          <w:bCs/>
          <w:color w:val="222222"/>
        </w:rPr>
        <w:t xml:space="preserve">المرجع: </w:t>
      </w:r>
      <w:r>
        <w:rPr>
          <w:rFonts w:ascii="Times New Roman" w:eastAsia="Times New Roman" w:hAnsi="Times New Roman" w:cs="Times New Roman"/>
          <w:color w:val="222222"/>
          <w:rtl w:val="0"/>
        </w:rPr>
        <w:t>Abdullah, A. A., &amp; Omar, Z. (2011). The effect of reciting Quran on the human brain: An EEG study. Journal of Engineering and Technology, 2(1), 83–90.</w:t>
      </w:r>
    </w:p>
    <w:p w14:paraId="1A626910" w14:textId="77777777" w:rsidR="00753406" w:rsidRDefault="009D3DCE" w:rsidP="00D038EE">
      <w:pPr>
        <w:spacing w:after="160" w:line="300" w:lineRule="auto"/>
      </w:pPr>
      <w:r>
        <w:rPr>
          <w:color w:val="222222"/>
        </w:rPr>
        <w:t xml:space="preserve">المنهجية: قارنت جامعة </w:t>
      </w:r>
      <w:proofErr w:type="spellStart"/>
      <w:r>
        <w:rPr>
          <w:color w:val="222222"/>
        </w:rPr>
        <w:t>مالايا</w:t>
      </w:r>
      <w:proofErr w:type="spellEnd"/>
      <w:r>
        <w:rPr>
          <w:color w:val="222222"/>
        </w:rPr>
        <w:t xml:space="preserve"> بين حالتين: (أ) الاستماع السلبي لتلاوة، (ب) الترتيل النشط بصوت مسموع لنفس الآيات، لدى 15 مشاركًا من حفظة القرآن.</w:t>
      </w:r>
    </w:p>
    <w:p w14:paraId="4C655118" w14:textId="77777777" w:rsidR="00753406" w:rsidRDefault="009D3DCE" w:rsidP="00D038EE">
      <w:pPr>
        <w:spacing w:after="160" w:line="300" w:lineRule="auto"/>
      </w:pPr>
      <w:r>
        <w:rPr>
          <w:color w:val="222222"/>
        </w:rPr>
        <w:t xml:space="preserve">النتائج: الترتيل النشط أحدث زيادة مضاعفة في قدرة </w:t>
      </w:r>
      <w:proofErr w:type="spellStart"/>
      <w:r>
        <w:rPr>
          <w:color w:val="222222"/>
        </w:rPr>
        <w:t>ثيتا</w:t>
      </w:r>
      <w:proofErr w:type="spellEnd"/>
      <w:r>
        <w:rPr>
          <w:color w:val="222222"/>
        </w:rPr>
        <w:t xml:space="preserve"> بالفص الجبهي مقارنة بالاستماع، ما يشير إلى حالة تأمل واندماج أعمق؛ وارتبط الترتيل بانخفاض أكبر في موجات بيتا، أي تخفيف أقوى للتوتر؛ وفُسِّر ذلك بأن الترتيل يستلزم تحكمًا تنفسيًا (تنفس بطيء منتظم) وحركات نطقية تؤثر في الجهاز </w:t>
      </w:r>
      <w:proofErr w:type="spellStart"/>
      <w:r>
        <w:rPr>
          <w:color w:val="222222"/>
        </w:rPr>
        <w:t>السمبثاوي</w:t>
      </w:r>
      <w:proofErr w:type="spellEnd"/>
      <w:r>
        <w:rPr>
          <w:color w:val="222222"/>
        </w:rPr>
        <w:t xml:space="preserve"> </w:t>
      </w:r>
      <w:proofErr w:type="spellStart"/>
      <w:r>
        <w:rPr>
          <w:color w:val="222222"/>
        </w:rPr>
        <w:t>الباراسمبثاوي</w:t>
      </w:r>
      <w:proofErr w:type="spellEnd"/>
      <w:r>
        <w:rPr>
          <w:color w:val="222222"/>
        </w:rPr>
        <w:t xml:space="preserve"> عبر العصب المبهم، مما يعزز الاسترخاء.</w:t>
      </w:r>
    </w:p>
    <w:p w14:paraId="65E4EE18" w14:textId="77777777" w:rsidR="00753406" w:rsidRDefault="009D3DCE" w:rsidP="00D038EE">
      <w:pPr>
        <w:spacing w:after="160" w:line="300" w:lineRule="auto"/>
      </w:pPr>
      <w:r>
        <w:rPr>
          <w:color w:val="222222"/>
        </w:rPr>
        <w:t>المغزى: للتلاوة الذاتية تأثير عصبي أقوى من مجرد الاستماع، وهو ما يدعم استخدامها الفعّال في برامج التأمل والعلاج النفسي التكميلي داخل الإطار الاستخلافي، حيث يُعدّ الفعل التعبدي الحركي-الصوتي أعمق أثرًا من التلقي السلبي.</w:t>
      </w:r>
    </w:p>
    <w:p w14:paraId="1A8EE989" w14:textId="77777777" w:rsidR="00753406" w:rsidRDefault="009D3DCE" w:rsidP="00D038EE">
      <w:pPr>
        <w:shd w:val="clear" w:color="auto" w:fill="EFEFEF"/>
        <w:spacing w:before="200" w:after="100"/>
      </w:pPr>
      <w:r>
        <w:rPr>
          <w:b/>
          <w:bCs/>
          <w:color w:val="0E6B68"/>
          <w:sz w:val="25"/>
          <w:szCs w:val="25"/>
        </w:rPr>
        <w:t>٢.٥ دراسة صالح وآخرون (2009) — موجات ألفا أثناء السجود</w:t>
      </w:r>
    </w:p>
    <w:p w14:paraId="77A1E5F0" w14:textId="77777777" w:rsidR="00753406" w:rsidRDefault="009D3DCE" w:rsidP="00D038EE">
      <w:pPr>
        <w:spacing w:after="160" w:line="300" w:lineRule="auto"/>
      </w:pPr>
      <w:r>
        <w:rPr>
          <w:b/>
          <w:bCs/>
          <w:color w:val="222222"/>
        </w:rPr>
        <w:t xml:space="preserve">المرجع: </w:t>
      </w:r>
      <w:r>
        <w:rPr>
          <w:rFonts w:ascii="Times New Roman" w:eastAsia="Times New Roman" w:hAnsi="Times New Roman" w:cs="Times New Roman"/>
          <w:color w:val="222222"/>
          <w:rtl w:val="0"/>
        </w:rPr>
        <w:t>Salleh, N. A., Lim, K. S., &amp; Ibrahim, F. (2009). AR modeling as EEG spectral analysis on prostration. Proceedings of the International Conference for Technical Postgraduates (TECHPOS), Kuala Lumpur, 1–4.</w:t>
      </w:r>
    </w:p>
    <w:p w14:paraId="18FF18BC" w14:textId="77777777" w:rsidR="00753406" w:rsidRDefault="009D3DCE" w:rsidP="00D038EE">
      <w:pPr>
        <w:spacing w:after="160" w:line="300" w:lineRule="auto"/>
      </w:pPr>
      <w:r>
        <w:rPr>
          <w:color w:val="222222"/>
        </w:rPr>
        <w:t xml:space="preserve">المنهجية: استخدمت الدراسة </w:t>
      </w:r>
      <w:proofErr w:type="spellStart"/>
      <w:r>
        <w:rPr>
          <w:color w:val="222222"/>
        </w:rPr>
        <w:t>نمذجة</w:t>
      </w:r>
      <w:proofErr w:type="spellEnd"/>
      <w:r>
        <w:rPr>
          <w:color w:val="222222"/>
        </w:rPr>
        <w:t xml:space="preserve"> الانحدار الذاتي (</w:t>
      </w:r>
      <w:proofErr w:type="spellStart"/>
      <w:r>
        <w:rPr>
          <w:color w:val="222222"/>
        </w:rPr>
        <w:t>Autoregressive</w:t>
      </w:r>
      <w:proofErr w:type="spellEnd"/>
      <w:r>
        <w:rPr>
          <w:color w:val="222222"/>
        </w:rPr>
        <w:t xml:space="preserve"> </w:t>
      </w:r>
      <w:proofErr w:type="spellStart"/>
      <w:r>
        <w:rPr>
          <w:color w:val="222222"/>
        </w:rPr>
        <w:t>Modeling</w:t>
      </w:r>
      <w:proofErr w:type="spellEnd"/>
      <w:r>
        <w:rPr>
          <w:color w:val="222222"/>
        </w:rPr>
        <w:t>) لتحليل طيف EEG أثناء أداء وضعية السجود الفعلية مقارنة بوضعية «سجود مقلَّد» (</w:t>
      </w:r>
      <w:proofErr w:type="spellStart"/>
      <w:r>
        <w:rPr>
          <w:color w:val="222222"/>
        </w:rPr>
        <w:t>Mimic</w:t>
      </w:r>
      <w:proofErr w:type="spellEnd"/>
      <w:r>
        <w:rPr>
          <w:color w:val="222222"/>
        </w:rPr>
        <w:t xml:space="preserve"> </w:t>
      </w:r>
      <w:proofErr w:type="spellStart"/>
      <w:r>
        <w:rPr>
          <w:color w:val="222222"/>
        </w:rPr>
        <w:t>Prostration</w:t>
      </w:r>
      <w:proofErr w:type="spellEnd"/>
      <w:r>
        <w:rPr>
          <w:color w:val="222222"/>
        </w:rPr>
        <w:t>) لا تحمل قصدًا تعبديًا، بهدف عزل أثر الوضعية الجسدية عن أثر النية والقصد.</w:t>
      </w:r>
    </w:p>
    <w:p w14:paraId="0D649108" w14:textId="77777777" w:rsidR="00753406" w:rsidRDefault="009D3DCE" w:rsidP="00D038EE">
      <w:pPr>
        <w:spacing w:after="160" w:line="300" w:lineRule="auto"/>
      </w:pPr>
      <w:r>
        <w:rPr>
          <w:color w:val="222222"/>
        </w:rPr>
        <w:t>النتائج: القدرة النسبية لموجات ألفا ارتفعت بدلالة إحصائية لدى السجود الحقيقي مقارنة بالسجود المقلَّد. تكتسب هذه الدراسة أهمية خاصة من منظور علم النفس الاستخلافي لأنها تفصل تجريبيًا بين البعد الحركي المجرد للعبادة وبعدها القصدي-الإيماني، وتدعم فرضية أن «حضور القلب» عامل عصبي مستقل عن الحركة الجسدية ذاتها.</w:t>
      </w:r>
    </w:p>
    <w:p w14:paraId="661CA43D" w14:textId="77777777" w:rsidR="00753406" w:rsidRDefault="009D3DCE" w:rsidP="00D038EE">
      <w:pPr>
        <w:shd w:val="clear" w:color="auto" w:fill="EFEFEF"/>
        <w:spacing w:before="200" w:after="100"/>
      </w:pPr>
      <w:r>
        <w:rPr>
          <w:b/>
          <w:bCs/>
          <w:color w:val="0E6B68"/>
          <w:sz w:val="25"/>
          <w:szCs w:val="25"/>
        </w:rPr>
        <w:t xml:space="preserve">٢.٦ دراسة </w:t>
      </w:r>
      <w:proofErr w:type="spellStart"/>
      <w:r>
        <w:rPr>
          <w:b/>
          <w:bCs/>
          <w:color w:val="0E6B68"/>
          <w:sz w:val="25"/>
          <w:szCs w:val="25"/>
        </w:rPr>
        <w:t>جوليانتو</w:t>
      </w:r>
      <w:proofErr w:type="spellEnd"/>
      <w:r>
        <w:rPr>
          <w:b/>
          <w:bCs/>
          <w:color w:val="0E6B68"/>
          <w:sz w:val="25"/>
          <w:szCs w:val="25"/>
        </w:rPr>
        <w:t xml:space="preserve"> </w:t>
      </w:r>
      <w:proofErr w:type="spellStart"/>
      <w:r>
        <w:rPr>
          <w:b/>
          <w:bCs/>
          <w:color w:val="0E6B68"/>
          <w:sz w:val="25"/>
          <w:szCs w:val="25"/>
        </w:rPr>
        <w:t>وإتسم</w:t>
      </w:r>
      <w:proofErr w:type="spellEnd"/>
      <w:r>
        <w:rPr>
          <w:b/>
          <w:bCs/>
          <w:color w:val="0E6B68"/>
          <w:sz w:val="25"/>
          <w:szCs w:val="25"/>
        </w:rPr>
        <w:t xml:space="preserve"> (2011) — أثر التلاوة على الذاكرة قصيرة المدى</w:t>
      </w:r>
    </w:p>
    <w:p w14:paraId="73D5AB2C" w14:textId="77777777" w:rsidR="00753406" w:rsidRDefault="009D3DCE" w:rsidP="00D038EE">
      <w:pPr>
        <w:spacing w:after="160" w:line="300" w:lineRule="auto"/>
      </w:pPr>
      <w:r>
        <w:rPr>
          <w:b/>
          <w:bCs/>
          <w:color w:val="222222"/>
        </w:rPr>
        <w:t xml:space="preserve">المرجع: </w:t>
      </w:r>
      <w:r>
        <w:rPr>
          <w:rFonts w:ascii="Times New Roman" w:eastAsia="Times New Roman" w:hAnsi="Times New Roman" w:cs="Times New Roman"/>
          <w:color w:val="222222"/>
          <w:rtl w:val="0"/>
        </w:rPr>
        <w:t>Julianto, V., &amp; Etsem, M. B. (2011). The effect of reciting holy Quran on short-term memory and relative power of brainwaves: An EEG study. Journal of Psychology, 38(1), 17–29 (Universitas Gadjah Mada, Indonesia).</w:t>
      </w:r>
    </w:p>
    <w:p w14:paraId="6714B037" w14:textId="77777777" w:rsidR="00753406" w:rsidRDefault="009D3DCE" w:rsidP="00D038EE">
      <w:pPr>
        <w:spacing w:after="160" w:line="300" w:lineRule="auto"/>
      </w:pPr>
      <w:r>
        <w:rPr>
          <w:color w:val="222222"/>
        </w:rPr>
        <w:t>المنهجية: قِيست الذاكرة قصيرة المدى قبل وبعد جلسة تلاوة، مع تسجيل القدرة النسبية لموجات الدماغ من مواقع Fp1 وFp2 وP4.</w:t>
      </w:r>
    </w:p>
    <w:p w14:paraId="1FB92A24" w14:textId="77777777" w:rsidR="00753406" w:rsidRDefault="009D3DCE" w:rsidP="00D038EE">
      <w:pPr>
        <w:spacing w:after="160" w:line="300" w:lineRule="auto"/>
      </w:pPr>
      <w:r>
        <w:rPr>
          <w:color w:val="222222"/>
        </w:rPr>
        <w:t xml:space="preserve">النتائج: فرق دال إحصائيًا في أداء الذاكرة قصيرة المدى بين ما قبل التلاوة وما بعدها لصالح ما بعدها، مصحوبًا بزيادة معنوية في القدرة النسبية للموجات في المواقع </w:t>
      </w:r>
      <w:proofErr w:type="spellStart"/>
      <w:r>
        <w:rPr>
          <w:color w:val="222222"/>
        </w:rPr>
        <w:t>الجبهية</w:t>
      </w:r>
      <w:proofErr w:type="spellEnd"/>
      <w:r>
        <w:rPr>
          <w:color w:val="222222"/>
        </w:rPr>
        <w:t xml:space="preserve"> الأمامية (Fp1, Fp2) والجدارية اليمنى (P4)، وهي مناطق مرتبطة بالذاكرة العاملة والانتباه المستمر.</w:t>
      </w:r>
    </w:p>
    <w:p w14:paraId="1D9259BB" w14:textId="77777777" w:rsidR="00753406" w:rsidRDefault="009D3DCE" w:rsidP="00D038EE">
      <w:pPr>
        <w:shd w:val="clear" w:color="auto" w:fill="EFEFEF"/>
        <w:spacing w:before="200" w:after="100"/>
      </w:pPr>
      <w:r>
        <w:rPr>
          <w:b/>
          <w:bCs/>
          <w:color w:val="0E6B68"/>
          <w:sz w:val="25"/>
          <w:szCs w:val="25"/>
        </w:rPr>
        <w:t>٢.٧ دراسة كمال وآخرون — قراءة القرآن مقابل قراءة كتاب عادي</w:t>
      </w:r>
    </w:p>
    <w:p w14:paraId="12892CAF" w14:textId="77777777" w:rsidR="00753406" w:rsidRDefault="009D3DCE" w:rsidP="00D038EE">
      <w:pPr>
        <w:spacing w:after="160" w:line="300" w:lineRule="auto"/>
      </w:pPr>
      <w:r>
        <w:rPr>
          <w:b/>
          <w:bCs/>
          <w:color w:val="222222"/>
        </w:rPr>
        <w:t xml:space="preserve">المرجع: </w:t>
      </w:r>
      <w:r>
        <w:rPr>
          <w:rFonts w:ascii="Times New Roman" w:eastAsia="Times New Roman" w:hAnsi="Times New Roman" w:cs="Times New Roman"/>
          <w:color w:val="222222"/>
          <w:rtl w:val="0"/>
        </w:rPr>
        <w:t>Kamal, M. A. M., et al. (2019). Comparative EEG analysis of reading Quran versus reading a book among Malaysian participants. Malaysian Journal of Medicine and Health Sciences (conference/university proceedings).</w:t>
      </w:r>
    </w:p>
    <w:p w14:paraId="3383EF92" w14:textId="77777777" w:rsidR="00753406" w:rsidRDefault="009D3DCE" w:rsidP="00D038EE">
      <w:pPr>
        <w:spacing w:after="160" w:line="300" w:lineRule="auto"/>
      </w:pPr>
      <w:r>
        <w:rPr>
          <w:color w:val="222222"/>
        </w:rPr>
        <w:t>النتائج: زادت كثافة القدرة الطيفية لموجات ألفا عند قراءة القرآن مقارنة بقراءة كتاب عادٍ من نفس المشاركين، ما يدعم أن التأثير لا يقتصر على «فعل القراءة» بحد ذاته، بل يرتبط بخصوصية النص القرآني ذاته من الناحيتين الصوتية والدلالية.</w:t>
      </w:r>
    </w:p>
    <w:p w14:paraId="678A7E24" w14:textId="77777777" w:rsidR="00753406" w:rsidRDefault="009D3DCE" w:rsidP="00D038EE">
      <w:pPr>
        <w:shd w:val="clear" w:color="auto" w:fill="EFEFEF"/>
        <w:spacing w:before="200" w:after="100"/>
      </w:pPr>
      <w:r>
        <w:rPr>
          <w:b/>
          <w:bCs/>
          <w:color w:val="0E6B68"/>
          <w:sz w:val="25"/>
          <w:szCs w:val="25"/>
        </w:rPr>
        <w:t>٢.٨ دراسة ناصر ومحمود — مقارنة القرآن بأنواع موسيقية متعددة</w:t>
      </w:r>
    </w:p>
    <w:p w14:paraId="47161D92" w14:textId="77777777" w:rsidR="00753406" w:rsidRDefault="009D3DCE" w:rsidP="00D038EE">
      <w:pPr>
        <w:spacing w:after="160" w:line="300" w:lineRule="auto"/>
      </w:pPr>
      <w:r>
        <w:rPr>
          <w:b/>
          <w:bCs/>
          <w:color w:val="222222"/>
        </w:rPr>
        <w:t xml:space="preserve">المرجع: </w:t>
      </w:r>
      <w:r>
        <w:rPr>
          <w:rFonts w:ascii="Times New Roman" w:eastAsia="Times New Roman" w:hAnsi="Times New Roman" w:cs="Times New Roman"/>
          <w:color w:val="222222"/>
          <w:rtl w:val="0"/>
        </w:rPr>
        <w:t>Mohd Nasir, N. F., &amp; Wan Mahmud, W. M. R. (2015). Comparative EEG analysis of Quran recitation and various music genres on attention. Proceedings of the International Conference on Biomedical Engineering, Kuala Lumpur.</w:t>
      </w:r>
    </w:p>
    <w:p w14:paraId="3679327F" w14:textId="77777777" w:rsidR="00753406" w:rsidRDefault="009D3DCE" w:rsidP="00D038EE">
      <w:pPr>
        <w:spacing w:after="160" w:line="300" w:lineRule="auto"/>
      </w:pPr>
      <w:r>
        <w:rPr>
          <w:color w:val="222222"/>
        </w:rPr>
        <w:t>النتائج: من بين عدة أنواع موسيقية اختُبرت (كلاسيكية، جاز، موسيقى خفيفة، روك)، تبيّن أن تلاوة القرآن، إلى جانب موسيقى موزارت والروك تحديدًا، رفعت مستوى الانتباه بخلاف باقي الأنواع. هذه النتيجة تستدعي تفسيرًا حذرًا: فالانتباه المرتفع مع الروك مصدره الإثارة (</w:t>
      </w:r>
      <w:proofErr w:type="spellStart"/>
      <w:r>
        <w:rPr>
          <w:color w:val="222222"/>
        </w:rPr>
        <w:t>Arousal</w:t>
      </w:r>
      <w:proofErr w:type="spellEnd"/>
      <w:r>
        <w:rPr>
          <w:color w:val="222222"/>
        </w:rPr>
        <w:t>) العالية، بينما مصدره مع القرآن على الأرجح تكامل الاسترخاء مع الانشغال المعرفي بالمعنى — وهو ما يميز بين نوعين مختلفين جوهريًا من «الانتباه».</w:t>
      </w:r>
    </w:p>
    <w:p w14:paraId="6292FE69" w14:textId="77777777" w:rsidR="00753406" w:rsidRDefault="009D3DCE" w:rsidP="00D038EE">
      <w:pPr>
        <w:shd w:val="clear" w:color="auto" w:fill="EFEFEF"/>
        <w:spacing w:before="200" w:after="100"/>
      </w:pPr>
      <w:r>
        <w:rPr>
          <w:b/>
          <w:bCs/>
          <w:color w:val="0E6B68"/>
          <w:sz w:val="25"/>
          <w:szCs w:val="25"/>
        </w:rPr>
        <w:t xml:space="preserve">٢.٩ دراسة الغلال </w:t>
      </w:r>
      <w:proofErr w:type="spellStart"/>
      <w:r>
        <w:rPr>
          <w:b/>
          <w:bCs/>
          <w:color w:val="0E6B68"/>
          <w:sz w:val="25"/>
          <w:szCs w:val="25"/>
        </w:rPr>
        <w:t>والشيخلي</w:t>
      </w:r>
      <w:proofErr w:type="spellEnd"/>
      <w:r>
        <w:rPr>
          <w:b/>
          <w:bCs/>
          <w:color w:val="0E6B68"/>
          <w:sz w:val="25"/>
          <w:szCs w:val="25"/>
        </w:rPr>
        <w:t xml:space="preserve"> (2015-2017) — التعرف على الانفعال بنموذج التكافؤ-الاستثارة</w:t>
      </w:r>
    </w:p>
    <w:p w14:paraId="3C36FEE7" w14:textId="77777777" w:rsidR="00753406" w:rsidRDefault="009D3DCE">
      <w:pPr>
        <w:spacing w:after="160" w:line="300" w:lineRule="auto"/>
        <w:jc w:val="both"/>
      </w:pPr>
      <w:r>
        <w:rPr>
          <w:b/>
          <w:bCs/>
          <w:color w:val="222222"/>
        </w:rPr>
        <w:t xml:space="preserve">المرجع: </w:t>
      </w:r>
      <w:r>
        <w:rPr>
          <w:rFonts w:ascii="Times New Roman" w:eastAsia="Times New Roman" w:hAnsi="Times New Roman" w:cs="Times New Roman"/>
          <w:color w:val="222222"/>
          <w:rtl w:val="0"/>
        </w:rPr>
        <w:t>Al-Galal, S. A. Y., Alshaikhli, I. F. T., Abdul Rahman, A. W., &amp; Dzulkifli, M. A. (2015). EEG-based emotion recognition while listening to Quran recitation compared with relaxing music using valence-arousal model. In Proceedings of the 4th International Conference on Advanced Computer Science Applications and Technologies (ACSAT), 245–250. https://doi.org/10.1109/ACSAT.2015.10</w:t>
      </w:r>
    </w:p>
    <w:p w14:paraId="24DDA7F4" w14:textId="77777777" w:rsidR="00753406" w:rsidRDefault="009D3DCE">
      <w:pPr>
        <w:spacing w:after="160" w:line="300" w:lineRule="auto"/>
        <w:jc w:val="both"/>
      </w:pPr>
      <w:r>
        <w:rPr>
          <w:color w:val="222222"/>
        </w:rPr>
        <w:t>المنهجية: وظّفت الدراسة نموذج راسل ثنائي الأبعاد (</w:t>
      </w:r>
      <w:proofErr w:type="spellStart"/>
      <w:r>
        <w:rPr>
          <w:color w:val="222222"/>
        </w:rPr>
        <w:t>Valence-Arousal</w:t>
      </w:r>
      <w:proofErr w:type="spellEnd"/>
      <w:r>
        <w:rPr>
          <w:color w:val="222222"/>
        </w:rPr>
        <w:t xml:space="preserve"> </w:t>
      </w:r>
      <w:proofErr w:type="spellStart"/>
      <w:r>
        <w:rPr>
          <w:color w:val="222222"/>
        </w:rPr>
        <w:t>Model</w:t>
      </w:r>
      <w:proofErr w:type="spellEnd"/>
      <w:r>
        <w:rPr>
          <w:color w:val="222222"/>
        </w:rPr>
        <w:t>) لتصنيف الحالة الانفعالية آليًا من إشارة EEG أثناء الاستماع للقرآن مقابل موسيقى استرخاء.</w:t>
      </w:r>
    </w:p>
    <w:p w14:paraId="668112C8" w14:textId="77777777" w:rsidR="00753406" w:rsidRDefault="009D3DCE">
      <w:pPr>
        <w:spacing w:after="160" w:line="300" w:lineRule="auto"/>
        <w:jc w:val="both"/>
      </w:pPr>
      <w:r>
        <w:rPr>
          <w:color w:val="222222"/>
        </w:rPr>
        <w:t>النتائج: صُنِّفت الحالة الانفعالية المصاحبة لتلاوة القرآن في المنطقة الإيجابية-المنخفضة الاستثارة (</w:t>
      </w:r>
      <w:proofErr w:type="spellStart"/>
      <w:r>
        <w:rPr>
          <w:color w:val="222222"/>
        </w:rPr>
        <w:t>Positive</w:t>
      </w:r>
      <w:proofErr w:type="spellEnd"/>
      <w:r>
        <w:rPr>
          <w:color w:val="222222"/>
        </w:rPr>
        <w:t xml:space="preserve"> </w:t>
      </w:r>
      <w:proofErr w:type="spellStart"/>
      <w:r>
        <w:rPr>
          <w:color w:val="222222"/>
        </w:rPr>
        <w:t>Valence</w:t>
      </w:r>
      <w:proofErr w:type="spellEnd"/>
      <w:r>
        <w:rPr>
          <w:color w:val="222222"/>
        </w:rPr>
        <w:t xml:space="preserve"> / </w:t>
      </w:r>
      <w:proofErr w:type="spellStart"/>
      <w:r>
        <w:rPr>
          <w:color w:val="222222"/>
        </w:rPr>
        <w:t>Low</w:t>
      </w:r>
      <w:proofErr w:type="spellEnd"/>
      <w:r>
        <w:rPr>
          <w:color w:val="222222"/>
        </w:rPr>
        <w:t xml:space="preserve"> </w:t>
      </w:r>
      <w:proofErr w:type="spellStart"/>
      <w:r>
        <w:rPr>
          <w:color w:val="222222"/>
        </w:rPr>
        <w:t>Arousal</w:t>
      </w:r>
      <w:proofErr w:type="spellEnd"/>
      <w:r>
        <w:rPr>
          <w:color w:val="222222"/>
        </w:rPr>
        <w:t>) بدرجة أوضح من الموسيقى، وهي المنطقة المقابلة نفسيًا لحالة «السكينة» أو «الطمأنينة» في الأدبيات الإيمانية، بخلاف حالة «النعاس» (سلبية الاستثارة المنخفضة) أو حالة «الحماس» (إيجابية الاستثارة المرتفعة).</w:t>
      </w:r>
    </w:p>
    <w:p w14:paraId="00BA6604" w14:textId="77777777" w:rsidR="00753406" w:rsidRDefault="009D3DCE">
      <w:pPr>
        <w:shd w:val="clear" w:color="auto" w:fill="EFEFEF"/>
        <w:spacing w:before="200" w:after="100"/>
        <w:jc w:val="right"/>
      </w:pPr>
      <w:r>
        <w:rPr>
          <w:b/>
          <w:bCs/>
          <w:color w:val="0E6B68"/>
          <w:sz w:val="25"/>
          <w:szCs w:val="25"/>
        </w:rPr>
        <w:t xml:space="preserve">٢.١٠ المراجعة التكاملية الكبرى: كنان وآخرون (2022) — </w:t>
      </w:r>
      <w:proofErr w:type="spellStart"/>
      <w:r>
        <w:rPr>
          <w:b/>
          <w:bCs/>
          <w:color w:val="0E6B68"/>
          <w:sz w:val="25"/>
          <w:szCs w:val="25"/>
        </w:rPr>
        <w:t>Heliyon</w:t>
      </w:r>
      <w:proofErr w:type="spellEnd"/>
    </w:p>
    <w:p w14:paraId="09E85563" w14:textId="77777777" w:rsidR="00753406" w:rsidRDefault="009D3DCE">
      <w:pPr>
        <w:spacing w:after="160" w:line="300" w:lineRule="auto"/>
        <w:jc w:val="both"/>
      </w:pPr>
      <w:r>
        <w:rPr>
          <w:b/>
          <w:bCs/>
          <w:color w:val="222222"/>
        </w:rPr>
        <w:t xml:space="preserve">المرجع: </w:t>
      </w:r>
      <w:r>
        <w:rPr>
          <w:rFonts w:ascii="Times New Roman" w:eastAsia="Times New Roman" w:hAnsi="Times New Roman" w:cs="Times New Roman"/>
          <w:color w:val="222222"/>
          <w:rtl w:val="0"/>
        </w:rPr>
        <w:t>Kannan, M. A., Ab Aziz, N. A., Ab Rani, N. S., Abdullah, M. W., Mohd Rashid, M. H., Shab, M. S., Ismail, N. I., Ab Ghani, M. A., Reza, F., &amp; Muzaimi, M. (2022). A review of the holy Quran listening and its neural correlation for its potential as a psycho-spiritual therapy. Heliyon, 8(12), e12308. https://doi.org/10.1016/j.heliyon.2022.e12308</w:t>
      </w:r>
    </w:p>
    <w:p w14:paraId="312077B5" w14:textId="77777777" w:rsidR="00753406" w:rsidRDefault="009D3DCE">
      <w:pPr>
        <w:spacing w:after="160" w:line="300" w:lineRule="auto"/>
        <w:jc w:val="both"/>
      </w:pPr>
      <w:r>
        <w:rPr>
          <w:color w:val="222222"/>
        </w:rPr>
        <w:t>المنهجية: مراجعة سردية (</w:t>
      </w:r>
      <w:proofErr w:type="spellStart"/>
      <w:r>
        <w:rPr>
          <w:color w:val="222222"/>
        </w:rPr>
        <w:t>Narrative</w:t>
      </w:r>
      <w:proofErr w:type="spellEnd"/>
      <w:r>
        <w:rPr>
          <w:color w:val="222222"/>
        </w:rPr>
        <w:t xml:space="preserve"> </w:t>
      </w:r>
      <w:proofErr w:type="spellStart"/>
      <w:r>
        <w:rPr>
          <w:color w:val="222222"/>
        </w:rPr>
        <w:t>Review</w:t>
      </w:r>
      <w:proofErr w:type="spellEnd"/>
      <w:r>
        <w:rPr>
          <w:color w:val="222222"/>
        </w:rPr>
        <w:t>) صادرة عن قسم علوم الأعصاب بجامعة العلوم الماليزية (USM)، جمعت عشرات الدراسات المنشورة حول الأساس العصبي للاستماع القرآني، مع مقارنته منهجيًا بأدبيات العلاج بالموسيقى (</w:t>
      </w:r>
      <w:proofErr w:type="spellStart"/>
      <w:r>
        <w:rPr>
          <w:color w:val="222222"/>
        </w:rPr>
        <w:t>Music</w:t>
      </w:r>
      <w:proofErr w:type="spellEnd"/>
      <w:r>
        <w:rPr>
          <w:color w:val="222222"/>
        </w:rPr>
        <w:t xml:space="preserve"> </w:t>
      </w:r>
      <w:proofErr w:type="spellStart"/>
      <w:r>
        <w:rPr>
          <w:color w:val="222222"/>
        </w:rPr>
        <w:t>Therapy</w:t>
      </w:r>
      <w:proofErr w:type="spellEnd"/>
      <w:r>
        <w:rPr>
          <w:color w:val="222222"/>
        </w:rPr>
        <w:t>) والتأمل الإيقاعي.</w:t>
      </w:r>
    </w:p>
    <w:p w14:paraId="459D1755" w14:textId="77777777" w:rsidR="00753406" w:rsidRDefault="009D3DCE">
      <w:pPr>
        <w:spacing w:after="160" w:line="300" w:lineRule="auto"/>
        <w:jc w:val="both"/>
      </w:pPr>
      <w:r>
        <w:rPr>
          <w:color w:val="222222"/>
        </w:rPr>
        <w:t>أبرز ما تضيفه هذه المراجعة إلى النقاش هو ربط النتائج المتناثرة بشبكات عصبية محددة تتجاوز مجرد وصف موجات EEG السطحي:</w:t>
      </w:r>
    </w:p>
    <w:p w14:paraId="3694FF65" w14:textId="77777777" w:rsidR="00753406" w:rsidRDefault="009D3DCE">
      <w:pPr>
        <w:pStyle w:val="a4"/>
        <w:numPr>
          <w:ilvl w:val="0"/>
          <w:numId w:val="2"/>
        </w:numPr>
        <w:bidi/>
        <w:spacing w:after="100" w:line="290" w:lineRule="auto"/>
        <w:jc w:val="both"/>
      </w:pPr>
      <w:r>
        <w:rPr>
          <w:color w:val="222222"/>
        </w:rPr>
        <w:t>شبكة الدماغ الافتراضية (</w:t>
      </w:r>
      <w:proofErr w:type="spellStart"/>
      <w:r>
        <w:rPr>
          <w:color w:val="222222"/>
        </w:rPr>
        <w:t>Default</w:t>
      </w:r>
      <w:proofErr w:type="spellEnd"/>
      <w:r>
        <w:rPr>
          <w:color w:val="222222"/>
        </w:rPr>
        <w:t xml:space="preserve"> </w:t>
      </w:r>
      <w:proofErr w:type="spellStart"/>
      <w:r>
        <w:rPr>
          <w:color w:val="222222"/>
        </w:rPr>
        <w:t>Mode</w:t>
      </w:r>
      <w:proofErr w:type="spellEnd"/>
      <w:r>
        <w:rPr>
          <w:color w:val="222222"/>
        </w:rPr>
        <w:t xml:space="preserve"> </w:t>
      </w:r>
      <w:proofErr w:type="spellStart"/>
      <w:r>
        <w:rPr>
          <w:color w:val="222222"/>
        </w:rPr>
        <w:t>Network</w:t>
      </w:r>
      <w:proofErr w:type="spellEnd"/>
      <w:r>
        <w:rPr>
          <w:color w:val="222222"/>
        </w:rPr>
        <w:t xml:space="preserve"> – DMN): تشمل القشرة </w:t>
      </w:r>
      <w:proofErr w:type="spellStart"/>
      <w:r>
        <w:rPr>
          <w:color w:val="222222"/>
        </w:rPr>
        <w:t>الجبهية</w:t>
      </w:r>
      <w:proofErr w:type="spellEnd"/>
      <w:r>
        <w:rPr>
          <w:color w:val="222222"/>
        </w:rPr>
        <w:t xml:space="preserve"> الإنسية (MPFC)، والدرزة (</w:t>
      </w:r>
      <w:proofErr w:type="spellStart"/>
      <w:r>
        <w:rPr>
          <w:color w:val="222222"/>
        </w:rPr>
        <w:t>Precuneus</w:t>
      </w:r>
      <w:proofErr w:type="spellEnd"/>
      <w:r>
        <w:rPr>
          <w:color w:val="222222"/>
        </w:rPr>
        <w:t xml:space="preserve">)، والقشرة </w:t>
      </w:r>
      <w:proofErr w:type="spellStart"/>
      <w:r>
        <w:rPr>
          <w:color w:val="222222"/>
        </w:rPr>
        <w:t>الحزامية</w:t>
      </w:r>
      <w:proofErr w:type="spellEnd"/>
      <w:r>
        <w:rPr>
          <w:color w:val="222222"/>
        </w:rPr>
        <w:t xml:space="preserve"> الأمامية والخلفية (ACC/PCC). أظهرت دراسات سابقة على الاستماع الموسيقي (مثل </w:t>
      </w:r>
      <w:proofErr w:type="spellStart"/>
      <w:r>
        <w:rPr>
          <w:color w:val="222222"/>
        </w:rPr>
        <w:t>ويلكينز</w:t>
      </w:r>
      <w:proofErr w:type="spellEnd"/>
      <w:r>
        <w:rPr>
          <w:color w:val="222222"/>
        </w:rPr>
        <w:t xml:space="preserve"> وزملائه) زيادة في اتصال هذه الشبكة، وترجّح المراجعة انطباق نمط مشابه على الاستماع القرآني بوصفه حالة تأمل ذاتي مرجعي (</w:t>
      </w:r>
      <w:proofErr w:type="spellStart"/>
      <w:r>
        <w:rPr>
          <w:color w:val="222222"/>
        </w:rPr>
        <w:t>Self-Referential</w:t>
      </w:r>
      <w:proofErr w:type="spellEnd"/>
      <w:r>
        <w:rPr>
          <w:color w:val="222222"/>
        </w:rPr>
        <w:t>).</w:t>
      </w:r>
    </w:p>
    <w:p w14:paraId="0D1689F4" w14:textId="77777777" w:rsidR="00753406" w:rsidRDefault="009D3DCE">
      <w:pPr>
        <w:pStyle w:val="a4"/>
        <w:numPr>
          <w:ilvl w:val="0"/>
          <w:numId w:val="2"/>
        </w:numPr>
        <w:bidi/>
        <w:spacing w:after="100" w:line="290" w:lineRule="auto"/>
        <w:jc w:val="both"/>
      </w:pPr>
      <w:r>
        <w:rPr>
          <w:color w:val="222222"/>
        </w:rPr>
        <w:t>شبكة المكافأة الوسط-</w:t>
      </w:r>
      <w:proofErr w:type="spellStart"/>
      <w:r>
        <w:rPr>
          <w:color w:val="222222"/>
        </w:rPr>
        <w:t>حوفية</w:t>
      </w:r>
      <w:proofErr w:type="spellEnd"/>
      <w:r>
        <w:rPr>
          <w:color w:val="222222"/>
        </w:rPr>
        <w:t xml:space="preserve"> (</w:t>
      </w:r>
      <w:proofErr w:type="spellStart"/>
      <w:r>
        <w:rPr>
          <w:color w:val="222222"/>
        </w:rPr>
        <w:t>Mesolimbic</w:t>
      </w:r>
      <w:proofErr w:type="spellEnd"/>
      <w:r>
        <w:rPr>
          <w:color w:val="222222"/>
        </w:rPr>
        <w:t xml:space="preserve"> </w:t>
      </w:r>
      <w:proofErr w:type="spellStart"/>
      <w:r>
        <w:rPr>
          <w:color w:val="222222"/>
        </w:rPr>
        <w:t>Reward</w:t>
      </w:r>
      <w:proofErr w:type="spellEnd"/>
      <w:r>
        <w:rPr>
          <w:color w:val="222222"/>
        </w:rPr>
        <w:t xml:space="preserve"> </w:t>
      </w:r>
      <w:proofErr w:type="spellStart"/>
      <w:r>
        <w:rPr>
          <w:color w:val="222222"/>
        </w:rPr>
        <w:t>Network</w:t>
      </w:r>
      <w:proofErr w:type="spellEnd"/>
      <w:r>
        <w:rPr>
          <w:color w:val="222222"/>
        </w:rPr>
        <w:t>): تشمل النواة المتكئة (</w:t>
      </w:r>
      <w:proofErr w:type="spellStart"/>
      <w:r>
        <w:rPr>
          <w:color w:val="222222"/>
        </w:rPr>
        <w:t>Nucleus</w:t>
      </w:r>
      <w:proofErr w:type="spellEnd"/>
      <w:r>
        <w:rPr>
          <w:color w:val="222222"/>
        </w:rPr>
        <w:t xml:space="preserve"> </w:t>
      </w:r>
      <w:proofErr w:type="spellStart"/>
      <w:r>
        <w:rPr>
          <w:color w:val="222222"/>
        </w:rPr>
        <w:t>Accumbens</w:t>
      </w:r>
      <w:proofErr w:type="spellEnd"/>
      <w:r>
        <w:rPr>
          <w:color w:val="222222"/>
        </w:rPr>
        <w:t xml:space="preserve"> – </w:t>
      </w:r>
      <w:proofErr w:type="spellStart"/>
      <w:r>
        <w:rPr>
          <w:color w:val="222222"/>
        </w:rPr>
        <w:t>NAcc</w:t>
      </w:r>
      <w:proofErr w:type="spellEnd"/>
      <w:r>
        <w:rPr>
          <w:color w:val="222222"/>
        </w:rPr>
        <w:t xml:space="preserve">) والمنطقة </w:t>
      </w:r>
      <w:proofErr w:type="spellStart"/>
      <w:r>
        <w:rPr>
          <w:color w:val="222222"/>
        </w:rPr>
        <w:t>السقيفية</w:t>
      </w:r>
      <w:proofErr w:type="spellEnd"/>
      <w:r>
        <w:rPr>
          <w:color w:val="222222"/>
        </w:rPr>
        <w:t xml:space="preserve"> البطنية (VTA)، وتُفرز </w:t>
      </w:r>
      <w:proofErr w:type="spellStart"/>
      <w:r>
        <w:rPr>
          <w:color w:val="222222"/>
        </w:rPr>
        <w:t>الدوبامين</w:t>
      </w:r>
      <w:proofErr w:type="spellEnd"/>
      <w:r>
        <w:rPr>
          <w:color w:val="222222"/>
        </w:rPr>
        <w:t xml:space="preserve"> استجابة لمثيرات سارة كالموسيقى العميقة، وهو ما اقترحته المراجعة كآلية محتملة لتفسير ظاهرة «القشعريرة القرآنية» (</w:t>
      </w:r>
      <w:proofErr w:type="spellStart"/>
      <w:r>
        <w:rPr>
          <w:color w:val="222222"/>
        </w:rPr>
        <w:t>Quranic</w:t>
      </w:r>
      <w:proofErr w:type="spellEnd"/>
      <w:r>
        <w:rPr>
          <w:color w:val="222222"/>
        </w:rPr>
        <w:t xml:space="preserve"> </w:t>
      </w:r>
      <w:proofErr w:type="spellStart"/>
      <w:r>
        <w:rPr>
          <w:color w:val="222222"/>
        </w:rPr>
        <w:t>Chills</w:t>
      </w:r>
      <w:proofErr w:type="spellEnd"/>
      <w:r>
        <w:rPr>
          <w:color w:val="222222"/>
        </w:rPr>
        <w:t>) التي يبلغ عنها كثير من المستمعين المؤمنين.</w:t>
      </w:r>
    </w:p>
    <w:p w14:paraId="34B71B53" w14:textId="77777777" w:rsidR="00753406" w:rsidRDefault="009D3DCE">
      <w:pPr>
        <w:pStyle w:val="a4"/>
        <w:numPr>
          <w:ilvl w:val="0"/>
          <w:numId w:val="2"/>
        </w:numPr>
        <w:bidi/>
        <w:spacing w:after="100" w:line="290" w:lineRule="auto"/>
        <w:jc w:val="both"/>
      </w:pPr>
      <w:r>
        <w:rPr>
          <w:color w:val="222222"/>
        </w:rPr>
        <w:t xml:space="preserve">موجات </w:t>
      </w:r>
      <w:proofErr w:type="spellStart"/>
      <w:r>
        <w:rPr>
          <w:color w:val="222222"/>
        </w:rPr>
        <w:t>ثيتا</w:t>
      </w:r>
      <w:proofErr w:type="spellEnd"/>
      <w:r>
        <w:rPr>
          <w:color w:val="222222"/>
        </w:rPr>
        <w:t xml:space="preserve"> </w:t>
      </w:r>
      <w:proofErr w:type="spellStart"/>
      <w:r>
        <w:rPr>
          <w:color w:val="222222"/>
        </w:rPr>
        <w:t>الجبهية</w:t>
      </w:r>
      <w:proofErr w:type="spellEnd"/>
      <w:r>
        <w:rPr>
          <w:color w:val="222222"/>
        </w:rPr>
        <w:t xml:space="preserve"> الوسطى (</w:t>
      </w:r>
      <w:proofErr w:type="spellStart"/>
      <w:r>
        <w:rPr>
          <w:color w:val="222222"/>
        </w:rPr>
        <w:t>Frontal-Midline</w:t>
      </w:r>
      <w:proofErr w:type="spellEnd"/>
      <w:r>
        <w:rPr>
          <w:color w:val="222222"/>
        </w:rPr>
        <w:t xml:space="preserve"> </w:t>
      </w:r>
      <w:proofErr w:type="spellStart"/>
      <w:r>
        <w:rPr>
          <w:color w:val="222222"/>
        </w:rPr>
        <w:t>Theta</w:t>
      </w:r>
      <w:proofErr w:type="spellEnd"/>
      <w:r>
        <w:rPr>
          <w:color w:val="222222"/>
        </w:rPr>
        <w:t>): وهي مؤشر معروف على حالات التأمل بالانتباه المركّز (</w:t>
      </w:r>
      <w:proofErr w:type="spellStart"/>
      <w:r>
        <w:rPr>
          <w:color w:val="222222"/>
        </w:rPr>
        <w:t>Focused</w:t>
      </w:r>
      <w:proofErr w:type="spellEnd"/>
      <w:r>
        <w:rPr>
          <w:color w:val="222222"/>
        </w:rPr>
        <w:t xml:space="preserve"> </w:t>
      </w:r>
      <w:proofErr w:type="spellStart"/>
      <w:r>
        <w:rPr>
          <w:color w:val="222222"/>
        </w:rPr>
        <w:t>Attention</w:t>
      </w:r>
      <w:proofErr w:type="spellEnd"/>
      <w:r>
        <w:rPr>
          <w:color w:val="222222"/>
        </w:rPr>
        <w:t xml:space="preserve"> </w:t>
      </w:r>
      <w:proofErr w:type="spellStart"/>
      <w:r>
        <w:rPr>
          <w:color w:val="222222"/>
        </w:rPr>
        <w:t>Meditation</w:t>
      </w:r>
      <w:proofErr w:type="spellEnd"/>
      <w:r>
        <w:rPr>
          <w:color w:val="222222"/>
        </w:rPr>
        <w:t>) والتأمل التجاوزي (</w:t>
      </w:r>
      <w:proofErr w:type="spellStart"/>
      <w:r>
        <w:rPr>
          <w:color w:val="222222"/>
        </w:rPr>
        <w:t>Transcendental</w:t>
      </w:r>
      <w:proofErr w:type="spellEnd"/>
      <w:r>
        <w:rPr>
          <w:color w:val="222222"/>
        </w:rPr>
        <w:t xml:space="preserve"> </w:t>
      </w:r>
      <w:proofErr w:type="spellStart"/>
      <w:r>
        <w:rPr>
          <w:color w:val="222222"/>
        </w:rPr>
        <w:t>Meditation</w:t>
      </w:r>
      <w:proofErr w:type="spellEnd"/>
      <w:r>
        <w:rPr>
          <w:color w:val="222222"/>
        </w:rPr>
        <w:t xml:space="preserve">)، وقد لوحظ ارتفاعها عند الاستماع القرآني بمستوى يفوق بعض تقنيات التأمل الصوتي الأخرى كترديد </w:t>
      </w:r>
      <w:proofErr w:type="spellStart"/>
      <w:r>
        <w:rPr>
          <w:color w:val="222222"/>
        </w:rPr>
        <w:t>المانترا</w:t>
      </w:r>
      <w:proofErr w:type="spellEnd"/>
      <w:r>
        <w:rPr>
          <w:color w:val="222222"/>
        </w:rPr>
        <w:t xml:space="preserve"> أو أصوات «</w:t>
      </w:r>
      <w:proofErr w:type="spellStart"/>
      <w:r>
        <w:rPr>
          <w:color w:val="222222"/>
        </w:rPr>
        <w:t>المونوكورد</w:t>
      </w:r>
      <w:proofErr w:type="spellEnd"/>
      <w:r>
        <w:rPr>
          <w:color w:val="222222"/>
        </w:rPr>
        <w:t>».</w:t>
      </w:r>
    </w:p>
    <w:p w14:paraId="6FA01624" w14:textId="77777777" w:rsidR="00753406" w:rsidRDefault="009D3DCE">
      <w:pPr>
        <w:spacing w:after="160" w:line="300" w:lineRule="auto"/>
        <w:jc w:val="both"/>
      </w:pPr>
      <w:r>
        <w:rPr>
          <w:color w:val="222222"/>
        </w:rPr>
        <w:t>خلصت المراجعة إلى أن الأدلة، رغم تناثرها ومحدودية تصميماتها، تشير إلى أن الاستماع للقرآن يُفعّل شبكات عصبية مشابهة لتلك المرتبطة بالعلاج بالموسيقى والتأمل الإيقاعي، مع دعوة صريحة إلى معايير منهجية موحدة (تصميمات RCT، عينات أكبر، فصل الأثر الإيماني عن الصوتي) لترقية هذا المجال من «واعد» إلى «مثبت».</w:t>
      </w:r>
    </w:p>
    <w:p w14:paraId="6B7E5EDB" w14:textId="77777777" w:rsidR="00753406" w:rsidRDefault="009D3DCE">
      <w:pPr>
        <w:pStyle w:val="2"/>
        <w:bidi/>
        <w:spacing w:before="300" w:after="150"/>
        <w:jc w:val="right"/>
      </w:pPr>
      <w:r>
        <w:rPr>
          <w:b/>
          <w:bCs/>
          <w:color w:val="0E6B68"/>
          <w:sz w:val="28"/>
          <w:szCs w:val="28"/>
        </w:rPr>
        <w:t>٢.١١ دراسات على حالات سريرية</w:t>
      </w:r>
    </w:p>
    <w:p w14:paraId="6A09FA75" w14:textId="77777777" w:rsidR="00753406" w:rsidRDefault="009D3DCE">
      <w:pPr>
        <w:shd w:val="clear" w:color="auto" w:fill="EFEFEF"/>
        <w:spacing w:before="200" w:after="100"/>
        <w:jc w:val="right"/>
      </w:pPr>
      <w:r>
        <w:rPr>
          <w:b/>
          <w:bCs/>
          <w:color w:val="0E6B68"/>
          <w:sz w:val="25"/>
          <w:szCs w:val="25"/>
        </w:rPr>
        <w:t>أ. الاكتئاب — دراسة فهد وكريم ورحمن (2018)</w:t>
      </w:r>
    </w:p>
    <w:p w14:paraId="1BDA40EF" w14:textId="77777777" w:rsidR="00753406" w:rsidRDefault="009D3DCE">
      <w:pPr>
        <w:spacing w:after="160" w:line="300" w:lineRule="auto"/>
        <w:jc w:val="both"/>
      </w:pPr>
      <w:r>
        <w:rPr>
          <w:b/>
          <w:bCs/>
          <w:color w:val="222222"/>
        </w:rPr>
        <w:t xml:space="preserve">المرجع: </w:t>
      </w:r>
      <w:r>
        <w:rPr>
          <w:rFonts w:ascii="Times New Roman" w:eastAsia="Times New Roman" w:hAnsi="Times New Roman" w:cs="Times New Roman"/>
          <w:color w:val="222222"/>
          <w:rtl w:val="0"/>
        </w:rPr>
        <w:t>Fahd, S., Karim, A. A., &amp; Rahman, A. W. A. (2018). Effect of Quran recitation on brain signals of depressed patients using EEG. International Journal of Engineering &amp; Technology, 7(4.11), 241–245.</w:t>
      </w:r>
    </w:p>
    <w:p w14:paraId="1EF9CFEB" w14:textId="77777777" w:rsidR="00753406" w:rsidRDefault="009D3DCE">
      <w:pPr>
        <w:spacing w:after="160" w:line="300" w:lineRule="auto"/>
        <w:jc w:val="both"/>
      </w:pPr>
      <w:r>
        <w:rPr>
          <w:color w:val="222222"/>
        </w:rPr>
        <w:t xml:space="preserve">أُجريت على 20 مريضًا بالاكتئاب الخفيف إلى المتوسط في ماليزيا. بعد 4 أسابيع من الاستماع المنتظم (20 دقيقة يوميًا)، لوحظت زيادة معنوية في موجات ألفا بالفص الجبهي الأيسر (المرتبط بالمشاعر الإيجابية وفق نموذج عدم التماثل الجبهي </w:t>
      </w:r>
      <w:proofErr w:type="spellStart"/>
      <w:r>
        <w:rPr>
          <w:color w:val="222222"/>
        </w:rPr>
        <w:t>لديفيدسون</w:t>
      </w:r>
      <w:proofErr w:type="spellEnd"/>
      <w:r>
        <w:rPr>
          <w:color w:val="222222"/>
        </w:rPr>
        <w:t>)، وانخفاض في نشاط بيتا، بما يوازي بعض الأنماط العصبية المصاحبة لاستجابة مضادات الاكتئاب.</w:t>
      </w:r>
    </w:p>
    <w:p w14:paraId="70AA1B99" w14:textId="77777777" w:rsidR="00753406" w:rsidRDefault="009D3DCE">
      <w:pPr>
        <w:shd w:val="clear" w:color="auto" w:fill="EFEFEF"/>
        <w:spacing w:before="200" w:after="100"/>
        <w:jc w:val="right"/>
      </w:pPr>
      <w:r>
        <w:rPr>
          <w:b/>
          <w:bCs/>
          <w:color w:val="0E6B68"/>
          <w:sz w:val="25"/>
          <w:szCs w:val="25"/>
        </w:rPr>
        <w:t xml:space="preserve">ب. الاكتئاب — تجربة رفيق وأنجم </w:t>
      </w:r>
      <w:proofErr w:type="spellStart"/>
      <w:r>
        <w:rPr>
          <w:b/>
          <w:bCs/>
          <w:color w:val="0E6B68"/>
          <w:sz w:val="25"/>
          <w:szCs w:val="25"/>
        </w:rPr>
        <w:t>وراحيم</w:t>
      </w:r>
      <w:proofErr w:type="spellEnd"/>
      <w:r>
        <w:rPr>
          <w:b/>
          <w:bCs/>
          <w:color w:val="0E6B68"/>
          <w:sz w:val="25"/>
          <w:szCs w:val="25"/>
        </w:rPr>
        <w:t xml:space="preserve"> (2019، </w:t>
      </w:r>
      <w:proofErr w:type="spellStart"/>
      <w:r>
        <w:rPr>
          <w:b/>
          <w:bCs/>
          <w:color w:val="0E6B68"/>
          <w:sz w:val="25"/>
          <w:szCs w:val="25"/>
        </w:rPr>
        <w:t>Journal</w:t>
      </w:r>
      <w:proofErr w:type="spellEnd"/>
      <w:r>
        <w:rPr>
          <w:b/>
          <w:bCs/>
          <w:color w:val="0E6B68"/>
          <w:sz w:val="25"/>
          <w:szCs w:val="25"/>
        </w:rPr>
        <w:t xml:space="preserve"> </w:t>
      </w:r>
      <w:proofErr w:type="spellStart"/>
      <w:r>
        <w:rPr>
          <w:b/>
          <w:bCs/>
          <w:color w:val="0E6B68"/>
          <w:sz w:val="25"/>
          <w:szCs w:val="25"/>
        </w:rPr>
        <w:t>of</w:t>
      </w:r>
      <w:proofErr w:type="spellEnd"/>
      <w:r>
        <w:rPr>
          <w:b/>
          <w:bCs/>
          <w:color w:val="0E6B68"/>
          <w:sz w:val="25"/>
          <w:szCs w:val="25"/>
        </w:rPr>
        <w:t xml:space="preserve"> </w:t>
      </w:r>
      <w:proofErr w:type="spellStart"/>
      <w:r>
        <w:rPr>
          <w:b/>
          <w:bCs/>
          <w:color w:val="0E6B68"/>
          <w:sz w:val="25"/>
          <w:szCs w:val="25"/>
        </w:rPr>
        <w:t>Religion</w:t>
      </w:r>
      <w:proofErr w:type="spellEnd"/>
      <w:r>
        <w:rPr>
          <w:b/>
          <w:bCs/>
          <w:color w:val="0E6B68"/>
          <w:sz w:val="25"/>
          <w:szCs w:val="25"/>
        </w:rPr>
        <w:t xml:space="preserve"> </w:t>
      </w:r>
      <w:proofErr w:type="spellStart"/>
      <w:r>
        <w:rPr>
          <w:b/>
          <w:bCs/>
          <w:color w:val="0E6B68"/>
          <w:sz w:val="25"/>
          <w:szCs w:val="25"/>
        </w:rPr>
        <w:t>and</w:t>
      </w:r>
      <w:proofErr w:type="spellEnd"/>
      <w:r>
        <w:rPr>
          <w:b/>
          <w:bCs/>
          <w:color w:val="0E6B68"/>
          <w:sz w:val="25"/>
          <w:szCs w:val="25"/>
        </w:rPr>
        <w:t xml:space="preserve"> </w:t>
      </w:r>
      <w:proofErr w:type="spellStart"/>
      <w:r>
        <w:rPr>
          <w:b/>
          <w:bCs/>
          <w:color w:val="0E6B68"/>
          <w:sz w:val="25"/>
          <w:szCs w:val="25"/>
        </w:rPr>
        <w:t>Health</w:t>
      </w:r>
      <w:proofErr w:type="spellEnd"/>
      <w:r>
        <w:rPr>
          <w:b/>
          <w:bCs/>
          <w:color w:val="0E6B68"/>
          <w:sz w:val="25"/>
          <w:szCs w:val="25"/>
        </w:rPr>
        <w:t>)</w:t>
      </w:r>
    </w:p>
    <w:p w14:paraId="48F1A362" w14:textId="77777777" w:rsidR="00753406" w:rsidRDefault="009D3DCE">
      <w:pPr>
        <w:spacing w:after="160" w:line="300" w:lineRule="auto"/>
        <w:jc w:val="both"/>
      </w:pPr>
      <w:r>
        <w:rPr>
          <w:b/>
          <w:bCs/>
          <w:color w:val="222222"/>
        </w:rPr>
        <w:t xml:space="preserve">المرجع: </w:t>
      </w:r>
      <w:r>
        <w:rPr>
          <w:rFonts w:ascii="Times New Roman" w:eastAsia="Times New Roman" w:hAnsi="Times New Roman" w:cs="Times New Roman"/>
          <w:color w:val="222222"/>
          <w:rtl w:val="0"/>
        </w:rPr>
        <w:t>Rafique, R., Anjum, A., &amp; Raheem, S. S. (2019). Efficacy of Surah Al-Rehman in managing depression in Muslim women. Journal of Religion and Health, 58(2), 516–526. https://doi.org/10.1007/s10943-017-0492-z</w:t>
      </w:r>
    </w:p>
    <w:p w14:paraId="7915C888" w14:textId="77777777" w:rsidR="00753406" w:rsidRDefault="009D3DCE">
      <w:pPr>
        <w:spacing w:after="160" w:line="300" w:lineRule="auto"/>
        <w:jc w:val="both"/>
      </w:pPr>
      <w:r>
        <w:rPr>
          <w:color w:val="222222"/>
        </w:rPr>
        <w:t xml:space="preserve">المنهجية: تجربة سريرية محكومة أُجريت في قسم الطب النفسي بمستشفى سر </w:t>
      </w:r>
      <w:proofErr w:type="spellStart"/>
      <w:r>
        <w:rPr>
          <w:color w:val="222222"/>
        </w:rPr>
        <w:t>كنكا</w:t>
      </w:r>
      <w:proofErr w:type="spellEnd"/>
      <w:r>
        <w:rPr>
          <w:color w:val="222222"/>
        </w:rPr>
        <w:t xml:space="preserve"> رام الحكومي بلاهور، باكستان. عينة قصدية من 12 مريضة مشخَّصة باضطراب اكتئابي جسيم، وُزِّعن عشوائيًا إلى مجموعة تجريبية (6 مريضات استمعن لسورة الرحمن) ومجموعة ضابطة (6 مريضات تلقّين الرعاية المعتادة). استُخدم مقياس بيك للاكتئاب (BDI-II) قبل التدخل وبعده.</w:t>
      </w:r>
    </w:p>
    <w:p w14:paraId="53BAF2C1" w14:textId="77777777" w:rsidR="00753406" w:rsidRDefault="009D3DCE">
      <w:pPr>
        <w:spacing w:after="160" w:line="300" w:lineRule="auto"/>
        <w:jc w:val="both"/>
      </w:pPr>
      <w:r>
        <w:rPr>
          <w:color w:val="222222"/>
        </w:rPr>
        <w:t>النتائج: لم تختلف المجموعتان دلاليًا في درجة الاكتئاب قبل التدخل، لكن المجموعة التجريبية أظهرت انخفاضًا أكبر دلاليًا في درجات الاكتئاب بعد التدخل مقارنة بالمجموعة الضابطة. اختيار سورة الرحمن تحديدًا استند إلى وصفها في الأثر النبوي بأنها «عروس القرآن»، وإلى كونها الأكثر إيقاعية بين السور لتكرار آية «فبأي آلاء ربكما تكذبان»، وهو ما يجعلها مماثلة وظيفيًا للازمة الموسيقية (</w:t>
      </w:r>
      <w:proofErr w:type="spellStart"/>
      <w:r>
        <w:rPr>
          <w:color w:val="222222"/>
        </w:rPr>
        <w:t>Musical</w:t>
      </w:r>
      <w:proofErr w:type="spellEnd"/>
      <w:r>
        <w:rPr>
          <w:color w:val="222222"/>
        </w:rPr>
        <w:t xml:space="preserve"> </w:t>
      </w:r>
      <w:proofErr w:type="spellStart"/>
      <w:r>
        <w:rPr>
          <w:color w:val="222222"/>
        </w:rPr>
        <w:t>Refrain</w:t>
      </w:r>
      <w:proofErr w:type="spellEnd"/>
      <w:r>
        <w:rPr>
          <w:color w:val="222222"/>
        </w:rPr>
        <w:t>) في العلاج بالموسيقى.</w:t>
      </w:r>
    </w:p>
    <w:p w14:paraId="45FFBECA" w14:textId="77777777" w:rsidR="00753406" w:rsidRDefault="009D3DCE">
      <w:pPr>
        <w:spacing w:after="160" w:line="300" w:lineRule="auto"/>
        <w:jc w:val="both"/>
      </w:pPr>
      <w:r>
        <w:rPr>
          <w:color w:val="222222"/>
        </w:rPr>
        <w:t xml:space="preserve">التعليق النقدي: حجم العينة صغير جدًا (ن=12) ويحدّ من إمكانية التعميم، والعينة القصدية تحمل مخاطر تحيز اختيار. ومع ذلك، تُعد الدراسة من الدراسات القليلة المنشورة في دورية محكمة عالية التصنيف (مفهرسة في </w:t>
      </w:r>
      <w:proofErr w:type="spellStart"/>
      <w:r>
        <w:rPr>
          <w:color w:val="222222"/>
        </w:rPr>
        <w:t>Scopus</w:t>
      </w:r>
      <w:proofErr w:type="spellEnd"/>
      <w:r>
        <w:rPr>
          <w:color w:val="222222"/>
        </w:rPr>
        <w:t xml:space="preserve"> </w:t>
      </w:r>
      <w:proofErr w:type="spellStart"/>
      <w:r>
        <w:rPr>
          <w:color w:val="222222"/>
        </w:rPr>
        <w:t>وWeb</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Science</w:t>
      </w:r>
      <w:proofErr w:type="spellEnd"/>
      <w:r>
        <w:rPr>
          <w:color w:val="222222"/>
        </w:rPr>
        <w:t>) التي تختبر التلاوة القرآنية كتدخل إكلينيكي مباشر لا مجرد قياس عصبي وصفي، ما يرفع قيمتها المنهجية النسبية رغم صغر العينة.</w:t>
      </w:r>
    </w:p>
    <w:p w14:paraId="7F471BB4" w14:textId="77777777" w:rsidR="00753406" w:rsidRDefault="009D3DCE">
      <w:pPr>
        <w:shd w:val="clear" w:color="auto" w:fill="EFEFEF"/>
        <w:spacing w:before="200" w:after="100"/>
        <w:jc w:val="right"/>
      </w:pPr>
      <w:r>
        <w:rPr>
          <w:b/>
          <w:bCs/>
          <w:color w:val="0E6B68"/>
          <w:sz w:val="25"/>
          <w:szCs w:val="25"/>
        </w:rPr>
        <w:t>ج. الصرع — دراسة الحديدي وآخرون (2016)</w:t>
      </w:r>
    </w:p>
    <w:p w14:paraId="65FEBDCD" w14:textId="563D62CC" w:rsidR="00753406" w:rsidRDefault="009D3DCE">
      <w:pPr>
        <w:spacing w:after="160" w:line="300" w:lineRule="auto"/>
        <w:jc w:val="both"/>
      </w:pPr>
      <w:r>
        <w:rPr>
          <w:b/>
          <w:bCs/>
          <w:color w:val="222222"/>
        </w:rPr>
        <w:t xml:space="preserve">المرجع: </w:t>
      </w:r>
      <w:r>
        <w:rPr>
          <w:rFonts w:ascii="Times New Roman" w:eastAsia="Times New Roman" w:hAnsi="Times New Roman" w:cs="Times New Roman"/>
          <w:color w:val="222222"/>
          <w:rtl w:val="0"/>
        </w:rPr>
        <w:t>Al-Hadidi, S., Alomari, F., &amp; Hadidi, K. A. (2016). Use of complementary and alternative medicine among patients with epilepsy in Jordan. Journal of Religion and Health, 55(6), 2045–2053. https://doi.org/10.1007/s10943</w:t>
      </w:r>
      <w:r w:rsidR="007E77BB">
        <w:rPr>
          <w:rFonts w:ascii="Times New Roman" w:eastAsia="Times New Roman" w:hAnsi="Times New Roman" w:cs="Times New Roman" w:hint="cs"/>
          <w:color w:val="222222"/>
          <w:rtl w:val="0"/>
          <w:lang w:bidi="ar-EG"/>
        </w:rPr>
        <w:t>-015</w:t>
      </w:r>
      <w:r w:rsidR="00521B7B">
        <w:rPr>
          <w:rFonts w:ascii="Times New Roman" w:eastAsia="Times New Roman" w:hAnsi="Times New Roman" w:cs="Times New Roman" w:hint="cs"/>
          <w:color w:val="222222"/>
          <w:rtl w:val="0"/>
          <w:lang w:bidi="ar-EG"/>
        </w:rPr>
        <w:t>-0111-</w:t>
      </w:r>
      <w:r>
        <w:rPr>
          <w:rFonts w:ascii="Times New Roman" w:eastAsia="Times New Roman" w:hAnsi="Times New Roman" w:cs="Times New Roman" w:hint="cs"/>
          <w:color w:val="222222"/>
          <w:rtl w:val="0"/>
          <w:lang w:bidi="ar-EG"/>
        </w:rPr>
        <w:t>9</w:t>
      </w:r>
    </w:p>
    <w:p w14:paraId="78C45396" w14:textId="77777777" w:rsidR="00753406" w:rsidRDefault="009D3DCE">
      <w:pPr>
        <w:spacing w:after="160" w:line="300" w:lineRule="auto"/>
        <w:jc w:val="both"/>
      </w:pPr>
      <w:r>
        <w:rPr>
          <w:color w:val="222222"/>
        </w:rPr>
        <w:t>لا توجد تجارب عشوائية محكمة تثبت تأثيرًا مباشرًا للتلاوة على تواتر النوبات الصرعية. غير أن هذه الدراسة الاستقصائية التحليلية أشارت إلى أن نحو 68% من مرضى الصرع في الأردن استخدموا الرقية الشرعية (التي تشمل التلاوة) كعلاج تكميلي، وأبلغوا عن تحسن نفسي وجودة حياة، دون أن يعني ذلك انخفاضًا مثبتًا في تواتر النوبات. الآلية المقترحة تقوم على خفض التوتر (وهو محفز معروف للنوبات) عبر زيادة موجات ألفا، لا عبر مسار صرعي مباشر.</w:t>
      </w:r>
    </w:p>
    <w:p w14:paraId="1EC793D6" w14:textId="77777777" w:rsidR="00753406" w:rsidRDefault="00753406">
      <w:pPr>
        <w:spacing w:after="80"/>
      </w:pPr>
    </w:p>
    <w:tbl>
      <w:tblPr>
        <w:tblW w:w="5000" w:type="pct"/>
        <w:tblBorders>
          <w:top w:val="single" w:sz="16" w:space="0" w:color="B8860B"/>
          <w:left w:val="single" w:sz="16" w:space="0" w:color="B8860B"/>
          <w:bottom w:val="single" w:sz="16" w:space="0" w:color="B8860B"/>
          <w:right w:val="single" w:sz="16"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598"/>
      </w:tblGrid>
      <w:tr w:rsidR="00753406" w14:paraId="21F67E91" w14:textId="77777777">
        <w:tc>
          <w:tcPr>
            <w:tcW w:w="0" w:type="auto"/>
            <w:shd w:val="clear" w:color="auto" w:fill="F5EFD9"/>
            <w:tcMar>
              <w:top w:w="220" w:type="dxa"/>
              <w:left w:w="300" w:type="dxa"/>
              <w:bottom w:w="220" w:type="dxa"/>
              <w:right w:w="300" w:type="dxa"/>
            </w:tcMar>
            <w:vAlign w:val="center"/>
          </w:tcPr>
          <w:p w14:paraId="697F3342" w14:textId="77777777" w:rsidR="00753406" w:rsidRDefault="009D3DCE">
            <w:pPr>
              <w:spacing w:after="80"/>
              <w:jc w:val="center"/>
            </w:pPr>
            <w:r>
              <w:rPr>
                <w:b/>
                <w:bCs/>
                <w:color w:val="1F3864"/>
                <w:sz w:val="30"/>
                <w:szCs w:val="30"/>
              </w:rPr>
              <w:t>﴿الَّذِينَ آمَنُوا وَتَطْمَئِنُّ قُلُوبُهُم بِذِكْرِ اللَّهِ ۗ أَلَا بِذِكْرِ اللَّهِ تَطْمَئِنُّ الْقُلُوبُ﴾</w:t>
            </w:r>
          </w:p>
          <w:p w14:paraId="4FDE65DC" w14:textId="77777777" w:rsidR="00753406" w:rsidRDefault="009D3DCE">
            <w:pPr>
              <w:jc w:val="center"/>
            </w:pPr>
            <w:r>
              <w:rPr>
                <w:i/>
                <w:iCs/>
                <w:color w:val="0E6B68"/>
                <w:sz w:val="21"/>
                <w:szCs w:val="21"/>
              </w:rPr>
              <w:t>سورة الرعد، الآية ٢٨</w:t>
            </w:r>
          </w:p>
        </w:tc>
      </w:tr>
    </w:tbl>
    <w:p w14:paraId="08624BC2" w14:textId="77777777" w:rsidR="00753406" w:rsidRDefault="00753406">
      <w:pPr>
        <w:spacing w:after="180"/>
      </w:pPr>
    </w:p>
    <w:p w14:paraId="3E01051A" w14:textId="77777777" w:rsidR="00753406" w:rsidRDefault="009D3DCE">
      <w:pPr>
        <w:spacing w:after="160" w:line="300" w:lineRule="auto"/>
        <w:jc w:val="both"/>
      </w:pPr>
      <w:r>
        <w:rPr>
          <w:color w:val="222222"/>
        </w:rPr>
        <w:t xml:space="preserve">تقدّم هذه الآية إطارًا </w:t>
      </w:r>
      <w:proofErr w:type="spellStart"/>
      <w:r>
        <w:rPr>
          <w:color w:val="222222"/>
        </w:rPr>
        <w:t>استخلافيًا</w:t>
      </w:r>
      <w:proofErr w:type="spellEnd"/>
      <w:r>
        <w:rPr>
          <w:color w:val="222222"/>
        </w:rPr>
        <w:t xml:space="preserve"> دقيقًا لقراءة النتائج العصبية السابقة: فربط «الطمأنينة» (السكينة القلبية) بـ«الذكر» ليس استعارة شعرية فحسب، بل قابل للترجمة الفسيولوجية العصبية إلى ازدياد نشاط ألفا وثيتا وانخفاض بيتا، أي إلى الانتقال من حالة «الكرّ والفرّ» </w:t>
      </w:r>
      <w:proofErr w:type="spellStart"/>
      <w:r>
        <w:rPr>
          <w:color w:val="222222"/>
        </w:rPr>
        <w:t>السمبثاوية</w:t>
      </w:r>
      <w:proofErr w:type="spellEnd"/>
      <w:r>
        <w:rPr>
          <w:color w:val="222222"/>
        </w:rPr>
        <w:t xml:space="preserve"> إلى حالة «الارتباط الآمن» </w:t>
      </w:r>
      <w:proofErr w:type="spellStart"/>
      <w:r>
        <w:rPr>
          <w:color w:val="222222"/>
        </w:rPr>
        <w:t>الباراسمبثاوية</w:t>
      </w:r>
      <w:proofErr w:type="spellEnd"/>
      <w:r>
        <w:rPr>
          <w:color w:val="222222"/>
        </w:rPr>
        <w:t>. الفارق الجوهري بين هذه القراءة الاستخلافية والقراءة الاختزالية الغربية هو أن الأولى تعتبر التغير العصبي أثرًا (</w:t>
      </w:r>
      <w:proofErr w:type="spellStart"/>
      <w:r>
        <w:rPr>
          <w:color w:val="222222"/>
        </w:rPr>
        <w:t>Correlate</w:t>
      </w:r>
      <w:proofErr w:type="spellEnd"/>
      <w:r>
        <w:rPr>
          <w:color w:val="222222"/>
        </w:rPr>
        <w:t>) لحالة إيمانية-قلبية أصيلة، لا الحالة القلبية نفسها؛ بينما تميل الثانية أحيانًا لاختزال «السكينة» في مجرد نمط كهر</w:t>
      </w:r>
      <w:r>
        <w:rPr>
          <w:color w:val="222222"/>
        </w:rPr>
        <w:t>بائي.</w:t>
      </w:r>
    </w:p>
    <w:p w14:paraId="482D960E" w14:textId="77777777" w:rsidR="00753406" w:rsidRDefault="009D3DCE">
      <w:pPr>
        <w:pStyle w:val="1"/>
        <w:pBdr>
          <w:bottom w:val="single" w:sz="8" w:space="4" w:color="B8860B"/>
        </w:pBdr>
        <w:bidi/>
        <w:spacing w:before="400" w:after="200"/>
        <w:jc w:val="right"/>
      </w:pPr>
      <w:r>
        <w:rPr>
          <w:b/>
          <w:bCs/>
          <w:color w:val="1F3864"/>
          <w:sz w:val="34"/>
          <w:szCs w:val="34"/>
        </w:rPr>
        <w:t>٣. آليات التأثير العصبي والنفسي: تحليل متكامل</w:t>
      </w:r>
    </w:p>
    <w:p w14:paraId="17E2683C" w14:textId="77777777" w:rsidR="00753406" w:rsidRDefault="009D3DCE">
      <w:pPr>
        <w:pStyle w:val="2"/>
        <w:bidi/>
        <w:spacing w:before="300" w:after="150"/>
        <w:jc w:val="right"/>
      </w:pPr>
      <w:r>
        <w:rPr>
          <w:b/>
          <w:bCs/>
          <w:color w:val="0E6B68"/>
          <w:sz w:val="28"/>
          <w:szCs w:val="28"/>
        </w:rPr>
        <w:t>٣.١ النموذج الصوتي النفسي (</w:t>
      </w:r>
      <w:proofErr w:type="spellStart"/>
      <w:r>
        <w:rPr>
          <w:b/>
          <w:bCs/>
          <w:color w:val="0E6B68"/>
          <w:sz w:val="28"/>
          <w:szCs w:val="28"/>
        </w:rPr>
        <w:t>Psychoacoustic</w:t>
      </w:r>
      <w:proofErr w:type="spellEnd"/>
      <w:r>
        <w:rPr>
          <w:b/>
          <w:bCs/>
          <w:color w:val="0E6B68"/>
          <w:sz w:val="28"/>
          <w:szCs w:val="28"/>
        </w:rPr>
        <w:t xml:space="preserve"> </w:t>
      </w:r>
      <w:proofErr w:type="spellStart"/>
      <w:r>
        <w:rPr>
          <w:b/>
          <w:bCs/>
          <w:color w:val="0E6B68"/>
          <w:sz w:val="28"/>
          <w:szCs w:val="28"/>
        </w:rPr>
        <w:t>Model</w:t>
      </w:r>
      <w:proofErr w:type="spellEnd"/>
      <w:r>
        <w:rPr>
          <w:b/>
          <w:bCs/>
          <w:color w:val="0E6B68"/>
          <w:sz w:val="28"/>
          <w:szCs w:val="28"/>
        </w:rPr>
        <w:t>)</w:t>
      </w:r>
    </w:p>
    <w:p w14:paraId="63C594C5" w14:textId="77777777" w:rsidR="00753406" w:rsidRDefault="009D3DCE">
      <w:pPr>
        <w:spacing w:after="160" w:line="300" w:lineRule="auto"/>
        <w:jc w:val="both"/>
      </w:pPr>
      <w:r>
        <w:rPr>
          <w:color w:val="222222"/>
        </w:rPr>
        <w:t>يمتاز التجويد القرآني بترددات صوتية وتغيرات في النبر (</w:t>
      </w:r>
      <w:proofErr w:type="spellStart"/>
      <w:r>
        <w:rPr>
          <w:color w:val="222222"/>
        </w:rPr>
        <w:t>Pitch</w:t>
      </w:r>
      <w:proofErr w:type="spellEnd"/>
      <w:r>
        <w:rPr>
          <w:color w:val="222222"/>
        </w:rPr>
        <w:t>) والمدّ (</w:t>
      </w:r>
      <w:proofErr w:type="spellStart"/>
      <w:r>
        <w:rPr>
          <w:color w:val="222222"/>
        </w:rPr>
        <w:t>Duration</w:t>
      </w:r>
      <w:proofErr w:type="spellEnd"/>
      <w:r>
        <w:rPr>
          <w:color w:val="222222"/>
        </w:rPr>
        <w:t>) تشغل طيفًا تردديًا يتراوح بين 100–4000 هرتز، مع قمم عند ترددات «</w:t>
      </w:r>
      <w:proofErr w:type="spellStart"/>
      <w:r>
        <w:rPr>
          <w:color w:val="222222"/>
        </w:rPr>
        <w:t>الفورمانت</w:t>
      </w:r>
      <w:proofErr w:type="spellEnd"/>
      <w:r>
        <w:rPr>
          <w:color w:val="222222"/>
        </w:rPr>
        <w:t>» (</w:t>
      </w:r>
      <w:proofErr w:type="spellStart"/>
      <w:r>
        <w:rPr>
          <w:color w:val="222222"/>
        </w:rPr>
        <w:t>Formants</w:t>
      </w:r>
      <w:proofErr w:type="spellEnd"/>
      <w:r>
        <w:rPr>
          <w:color w:val="222222"/>
        </w:rPr>
        <w:t>) الخاصة بالأصوات العربية. هذه الترددات، وبخاصة النغمة المنخفضة المنتظمة، تُحفّز نواة «التردد الأساسي» في جذع الدماغ، وتُزامن موجات الدماغ عبر ظاهرة «الرنين العصبي» (</w:t>
      </w:r>
      <w:proofErr w:type="spellStart"/>
      <w:r>
        <w:rPr>
          <w:color w:val="222222"/>
        </w:rPr>
        <w:t>Neural</w:t>
      </w:r>
      <w:proofErr w:type="spellEnd"/>
      <w:r>
        <w:rPr>
          <w:color w:val="222222"/>
        </w:rPr>
        <w:t xml:space="preserve"> </w:t>
      </w:r>
      <w:proofErr w:type="spellStart"/>
      <w:r>
        <w:rPr>
          <w:color w:val="222222"/>
        </w:rPr>
        <w:t>Entrainment</w:t>
      </w:r>
      <w:proofErr w:type="spellEnd"/>
      <w:r>
        <w:rPr>
          <w:color w:val="222222"/>
        </w:rPr>
        <w:t>)، مما يعزز موجات ألفا وثيتا. وهذا يشبه تأثير بعض أنواع الموسيقى البطيئة (60–80 نبضة في الدقيقة)، لكن البنية اللغوية للقرآن تضيف عنصرًا معرفيًا-دلاليًا غائبًا عن الموسيقى المحضة.</w:t>
      </w:r>
    </w:p>
    <w:p w14:paraId="2DE934A4" w14:textId="77777777" w:rsidR="00753406" w:rsidRDefault="009D3DCE">
      <w:pPr>
        <w:pStyle w:val="2"/>
        <w:bidi/>
        <w:spacing w:before="300" w:after="150"/>
        <w:jc w:val="right"/>
      </w:pPr>
      <w:r>
        <w:rPr>
          <w:b/>
          <w:bCs/>
          <w:color w:val="0E6B68"/>
          <w:sz w:val="28"/>
          <w:szCs w:val="28"/>
        </w:rPr>
        <w:t xml:space="preserve">٣.٢ نظرية </w:t>
      </w:r>
      <w:proofErr w:type="spellStart"/>
      <w:r>
        <w:rPr>
          <w:b/>
          <w:bCs/>
          <w:color w:val="0E6B68"/>
          <w:sz w:val="28"/>
          <w:szCs w:val="28"/>
        </w:rPr>
        <w:t>بوليفاغال</w:t>
      </w:r>
      <w:proofErr w:type="spellEnd"/>
      <w:r>
        <w:rPr>
          <w:b/>
          <w:bCs/>
          <w:color w:val="0E6B68"/>
          <w:sz w:val="28"/>
          <w:szCs w:val="28"/>
        </w:rPr>
        <w:t xml:space="preserve"> (</w:t>
      </w:r>
      <w:proofErr w:type="spellStart"/>
      <w:r>
        <w:rPr>
          <w:b/>
          <w:bCs/>
          <w:color w:val="0E6B68"/>
          <w:sz w:val="28"/>
          <w:szCs w:val="28"/>
        </w:rPr>
        <w:t>Polyvagal</w:t>
      </w:r>
      <w:proofErr w:type="spellEnd"/>
      <w:r>
        <w:rPr>
          <w:b/>
          <w:bCs/>
          <w:color w:val="0E6B68"/>
          <w:sz w:val="28"/>
          <w:szCs w:val="28"/>
        </w:rPr>
        <w:t xml:space="preserve"> </w:t>
      </w:r>
      <w:proofErr w:type="spellStart"/>
      <w:r>
        <w:rPr>
          <w:b/>
          <w:bCs/>
          <w:color w:val="0E6B68"/>
          <w:sz w:val="28"/>
          <w:szCs w:val="28"/>
        </w:rPr>
        <w:t>Theory</w:t>
      </w:r>
      <w:proofErr w:type="spellEnd"/>
      <w:r>
        <w:rPr>
          <w:b/>
          <w:bCs/>
          <w:color w:val="0E6B68"/>
          <w:sz w:val="28"/>
          <w:szCs w:val="28"/>
        </w:rPr>
        <w:t>)</w:t>
      </w:r>
    </w:p>
    <w:p w14:paraId="669540B5" w14:textId="77777777" w:rsidR="00753406" w:rsidRDefault="009D3DCE">
      <w:pPr>
        <w:spacing w:after="160" w:line="300" w:lineRule="auto"/>
        <w:jc w:val="both"/>
      </w:pPr>
      <w:r>
        <w:rPr>
          <w:color w:val="222222"/>
        </w:rPr>
        <w:t>الترتيل، خاصة مع التنفس العميق المنتظم (زفير طويل أثناء المدّ)، يُنشّط العصب المبهم البطني (</w:t>
      </w:r>
      <w:proofErr w:type="spellStart"/>
      <w:r>
        <w:rPr>
          <w:color w:val="222222"/>
        </w:rPr>
        <w:t>Ventral</w:t>
      </w:r>
      <w:proofErr w:type="spellEnd"/>
      <w:r>
        <w:rPr>
          <w:color w:val="222222"/>
        </w:rPr>
        <w:t xml:space="preserve"> </w:t>
      </w:r>
      <w:proofErr w:type="spellStart"/>
      <w:r>
        <w:rPr>
          <w:color w:val="222222"/>
        </w:rPr>
        <w:t>Vagal</w:t>
      </w:r>
      <w:proofErr w:type="spellEnd"/>
      <w:r>
        <w:rPr>
          <w:color w:val="222222"/>
        </w:rPr>
        <w:t xml:space="preserve"> </w:t>
      </w:r>
      <w:proofErr w:type="spellStart"/>
      <w:r>
        <w:rPr>
          <w:color w:val="222222"/>
        </w:rPr>
        <w:t>Complex</w:t>
      </w:r>
      <w:proofErr w:type="spellEnd"/>
      <w:r>
        <w:rPr>
          <w:color w:val="222222"/>
        </w:rPr>
        <w:t xml:space="preserve">)، مما يثبّط استجابة الجهاز </w:t>
      </w:r>
      <w:proofErr w:type="spellStart"/>
      <w:r>
        <w:rPr>
          <w:color w:val="222222"/>
        </w:rPr>
        <w:t>السمبثاوي</w:t>
      </w:r>
      <w:proofErr w:type="spellEnd"/>
      <w:r>
        <w:rPr>
          <w:color w:val="222222"/>
        </w:rPr>
        <w:t xml:space="preserve"> (الكرّ والفرّ) ويُعزز حالة «الارتباط الاجتماعي الآمن» (</w:t>
      </w:r>
      <w:proofErr w:type="spellStart"/>
      <w:r>
        <w:rPr>
          <w:color w:val="222222"/>
        </w:rPr>
        <w:t>Safe</w:t>
      </w:r>
      <w:proofErr w:type="spellEnd"/>
      <w:r>
        <w:rPr>
          <w:color w:val="222222"/>
        </w:rPr>
        <w:t xml:space="preserve"> </w:t>
      </w:r>
      <w:proofErr w:type="spellStart"/>
      <w:r>
        <w:rPr>
          <w:color w:val="222222"/>
        </w:rPr>
        <w:t>Social</w:t>
      </w:r>
      <w:proofErr w:type="spellEnd"/>
      <w:r>
        <w:rPr>
          <w:color w:val="222222"/>
        </w:rPr>
        <w:t xml:space="preserve"> </w:t>
      </w:r>
      <w:proofErr w:type="spellStart"/>
      <w:r>
        <w:rPr>
          <w:color w:val="222222"/>
        </w:rPr>
        <w:t>Engagement</w:t>
      </w:r>
      <w:proofErr w:type="spellEnd"/>
      <w:r>
        <w:rPr>
          <w:color w:val="222222"/>
        </w:rPr>
        <w:t xml:space="preserve">) وفق صياغة ستيفن </w:t>
      </w:r>
      <w:proofErr w:type="spellStart"/>
      <w:r>
        <w:rPr>
          <w:color w:val="222222"/>
        </w:rPr>
        <w:t>بورجس</w:t>
      </w:r>
      <w:proofErr w:type="spellEnd"/>
      <w:r>
        <w:rPr>
          <w:color w:val="222222"/>
        </w:rPr>
        <w:t>. يفسّر هذا الانخفاض المصاحب في معدل ضربات القلب وضغط الدم، ويُترجم إلى زيادة موجات ألفا.</w:t>
      </w:r>
    </w:p>
    <w:p w14:paraId="06E04463" w14:textId="77777777" w:rsidR="00753406" w:rsidRDefault="009D3DCE">
      <w:pPr>
        <w:pStyle w:val="2"/>
        <w:bidi/>
        <w:spacing w:before="300" w:after="150"/>
        <w:jc w:val="right"/>
      </w:pPr>
      <w:r>
        <w:rPr>
          <w:b/>
          <w:bCs/>
          <w:color w:val="0E6B68"/>
          <w:sz w:val="28"/>
          <w:szCs w:val="28"/>
        </w:rPr>
        <w:t>٣.٣ نموذج المعالجة العاطفية والمعرفية</w:t>
      </w:r>
    </w:p>
    <w:p w14:paraId="64AC3B44" w14:textId="77777777" w:rsidR="00753406" w:rsidRDefault="009D3DCE">
      <w:pPr>
        <w:spacing w:after="160" w:line="300" w:lineRule="auto"/>
        <w:jc w:val="both"/>
      </w:pPr>
      <w:r>
        <w:rPr>
          <w:color w:val="222222"/>
        </w:rPr>
        <w:t xml:space="preserve">عند المؤمن، يرتبط القرآن بذاكرة عاطفية إيجابية (سكينة، أمل، انتماء)، مما يُنشّط القشرة </w:t>
      </w:r>
      <w:proofErr w:type="spellStart"/>
      <w:r>
        <w:rPr>
          <w:color w:val="222222"/>
        </w:rPr>
        <w:t>الحزامية</w:t>
      </w:r>
      <w:proofErr w:type="spellEnd"/>
      <w:r>
        <w:rPr>
          <w:color w:val="222222"/>
        </w:rPr>
        <w:t xml:space="preserve"> الأمامية والجسم المخطط البطني (مراكز المكافأة)، ويُفرز </w:t>
      </w:r>
      <w:proofErr w:type="spellStart"/>
      <w:r>
        <w:rPr>
          <w:color w:val="222222"/>
        </w:rPr>
        <w:t>الدوبامين</w:t>
      </w:r>
      <w:proofErr w:type="spellEnd"/>
      <w:r>
        <w:rPr>
          <w:color w:val="222222"/>
        </w:rPr>
        <w:t>. هذا الانفعال الإيجابي يثبّط نشاط اللوزة الدماغية (مركز الخوف)، مما يقلل موجات بيتا عالية التردد ويسمح بظهور ألفا. وبالنسبة للحفّاظ، يُضاف عنصر استرجاع الذاكرة العاملة (</w:t>
      </w:r>
      <w:proofErr w:type="spellStart"/>
      <w:r>
        <w:rPr>
          <w:color w:val="222222"/>
        </w:rPr>
        <w:t>Working</w:t>
      </w:r>
      <w:proofErr w:type="spellEnd"/>
      <w:r>
        <w:rPr>
          <w:color w:val="222222"/>
        </w:rPr>
        <w:t xml:space="preserve"> </w:t>
      </w:r>
      <w:proofErr w:type="spellStart"/>
      <w:r>
        <w:rPr>
          <w:color w:val="222222"/>
        </w:rPr>
        <w:t>Memory</w:t>
      </w:r>
      <w:proofErr w:type="spellEnd"/>
      <w:r>
        <w:rPr>
          <w:color w:val="222222"/>
        </w:rPr>
        <w:t>) الذي يُنشّط قشرة الفص الجبهي الظهرية الوحشية، مما يخلق حالة «انتباه مركّز» مصحوبة باستقرار عاطفي، تظهر في تخطيط الدماغ كمزيج من غاما المنخفضة وألفا.</w:t>
      </w:r>
    </w:p>
    <w:p w14:paraId="3E6A8D79" w14:textId="77777777" w:rsidR="00753406" w:rsidRDefault="009D3DCE">
      <w:pPr>
        <w:pStyle w:val="2"/>
        <w:bidi/>
        <w:spacing w:before="300" w:after="150"/>
        <w:jc w:val="right"/>
      </w:pPr>
      <w:r>
        <w:rPr>
          <w:b/>
          <w:bCs/>
          <w:color w:val="0E6B68"/>
          <w:sz w:val="28"/>
          <w:szCs w:val="28"/>
        </w:rPr>
        <w:t>٣.٤ نموذج الشبكات العصبية الكبرى (إضافة تكاملية وفق كنان وآخرون 2022)</w:t>
      </w:r>
    </w:p>
    <w:p w14:paraId="18C238C5" w14:textId="77777777" w:rsidR="00753406" w:rsidRDefault="009D3DCE">
      <w:pPr>
        <w:spacing w:after="160" w:line="300" w:lineRule="auto"/>
        <w:jc w:val="both"/>
      </w:pPr>
      <w:r>
        <w:rPr>
          <w:color w:val="222222"/>
        </w:rPr>
        <w:t>يضيف هذا النموذج بُعدًا تفسيريًا أكثر تعقيدًا يتجاوز موجات EEG السطحية إلى مستوى الشبكات الوظيفية المتفاعلة: فتفعيل شبكة الدماغ الافتراضية (DMN) يفسر البعد التأملي الذاتي-المرجعي للاستماع؛ وتفعيل شبكة المكافأة الوسط-</w:t>
      </w:r>
      <w:proofErr w:type="spellStart"/>
      <w:r>
        <w:rPr>
          <w:color w:val="222222"/>
        </w:rPr>
        <w:t>حوفية</w:t>
      </w:r>
      <w:proofErr w:type="spellEnd"/>
      <w:r>
        <w:rPr>
          <w:color w:val="222222"/>
        </w:rPr>
        <w:t xml:space="preserve"> (</w:t>
      </w:r>
      <w:proofErr w:type="spellStart"/>
      <w:r>
        <w:rPr>
          <w:color w:val="222222"/>
        </w:rPr>
        <w:t>NAcc</w:t>
      </w:r>
      <w:proofErr w:type="spellEnd"/>
      <w:r>
        <w:rPr>
          <w:color w:val="222222"/>
        </w:rPr>
        <w:t xml:space="preserve">/VTA) يفسر البعد الوجداني اللذيذ («القشعريرة القرآنية»)؛ بينما تفعيل </w:t>
      </w:r>
      <w:proofErr w:type="spellStart"/>
      <w:r>
        <w:rPr>
          <w:color w:val="222222"/>
        </w:rPr>
        <w:t>ثيتا</w:t>
      </w:r>
      <w:proofErr w:type="spellEnd"/>
      <w:r>
        <w:rPr>
          <w:color w:val="222222"/>
        </w:rPr>
        <w:t xml:space="preserve"> </w:t>
      </w:r>
      <w:proofErr w:type="spellStart"/>
      <w:r>
        <w:rPr>
          <w:color w:val="222222"/>
        </w:rPr>
        <w:t>الجبهية</w:t>
      </w:r>
      <w:proofErr w:type="spellEnd"/>
      <w:r>
        <w:rPr>
          <w:color w:val="222222"/>
        </w:rPr>
        <w:t xml:space="preserve"> الوسطى يفسر بعد الانتباه التأملي المركّز. هذا التكامل الثلاثي — تأمل ذاتي، مكافأة وجدانية، انتباه مركّز — هو ما يميز الاستماع القرآني عصبيًا عن الاستماع الموسيقي المحض الذي غالبًا ما يفعّل بعدًا واحدًا أو بعدين فقط من هذه الأبعاد الثلاثة دون اجتماعها معًا.</w:t>
      </w:r>
    </w:p>
    <w:p w14:paraId="6E08A0ED" w14:textId="77777777" w:rsidR="00753406" w:rsidRDefault="009D3DCE">
      <w:pPr>
        <w:spacing w:after="160" w:line="300" w:lineRule="auto"/>
        <w:jc w:val="both"/>
      </w:pPr>
      <w:r>
        <w:rPr>
          <w:color w:val="222222"/>
        </w:rPr>
        <w:t>من منظور علم النفس الاستخلافي، يمكن قراءة هذا التكامل الثلاثي بوصفه ترجمة عصبية لثلاثية «القلب، العقل، الروح» التي يقوم عليها النموذج الاستخلافي للنفس: فالتأمل الذاتي-المرجعي (DMN) يقابل وظيفة «التفكر»، والمكافأة الوجدانية (</w:t>
      </w:r>
      <w:proofErr w:type="spellStart"/>
      <w:r>
        <w:rPr>
          <w:color w:val="222222"/>
        </w:rPr>
        <w:t>NAcc</w:t>
      </w:r>
      <w:proofErr w:type="spellEnd"/>
      <w:r>
        <w:rPr>
          <w:color w:val="222222"/>
        </w:rPr>
        <w:t>/VTA) تقابل وظيفة «الذوق الإيماني»، والانتباه المركّز (</w:t>
      </w:r>
      <w:proofErr w:type="spellStart"/>
      <w:r>
        <w:rPr>
          <w:color w:val="222222"/>
        </w:rPr>
        <w:t>ثيتا</w:t>
      </w:r>
      <w:proofErr w:type="spellEnd"/>
      <w:r>
        <w:rPr>
          <w:color w:val="222222"/>
        </w:rPr>
        <w:t xml:space="preserve"> </w:t>
      </w:r>
      <w:proofErr w:type="spellStart"/>
      <w:r>
        <w:rPr>
          <w:color w:val="222222"/>
        </w:rPr>
        <w:t>الجبهية</w:t>
      </w:r>
      <w:proofErr w:type="spellEnd"/>
      <w:r>
        <w:rPr>
          <w:color w:val="222222"/>
        </w:rPr>
        <w:t>) يقابل وظيفة «حضور القلب» التي فصّل فيها الغزالي وابن القيم في مباحث الخشوع.</w:t>
      </w:r>
    </w:p>
    <w:p w14:paraId="5C128940" w14:textId="77777777" w:rsidR="00753406" w:rsidRDefault="009D3DCE">
      <w:pPr>
        <w:pStyle w:val="1"/>
        <w:pBdr>
          <w:bottom w:val="single" w:sz="8" w:space="4" w:color="B8860B"/>
        </w:pBdr>
        <w:bidi/>
        <w:spacing w:before="400" w:after="200"/>
        <w:jc w:val="right"/>
      </w:pPr>
      <w:r>
        <w:rPr>
          <w:b/>
          <w:bCs/>
          <w:color w:val="1F3864"/>
          <w:sz w:val="34"/>
          <w:szCs w:val="34"/>
        </w:rPr>
        <w:t>٤. تطبيقات سريرية محتملة وحدودها</w:t>
      </w:r>
    </w:p>
    <w:p w14:paraId="4E283E55" w14:textId="77777777" w:rsidR="00753406" w:rsidRDefault="009D3DCE">
      <w:pPr>
        <w:spacing w:before="220" w:after="100"/>
        <w:jc w:val="right"/>
      </w:pPr>
      <w:r>
        <w:rPr>
          <w:b/>
          <w:bCs/>
          <w:color w:val="1F3864"/>
        </w:rPr>
        <w:t>٤.١ العلاج النفسي المساعد</w:t>
      </w:r>
    </w:p>
    <w:p w14:paraId="78EC13CC" w14:textId="77777777" w:rsidR="00753406" w:rsidRDefault="009D3DCE">
      <w:pPr>
        <w:spacing w:after="160" w:line="300" w:lineRule="auto"/>
        <w:jc w:val="both"/>
      </w:pPr>
      <w:r>
        <w:rPr>
          <w:color w:val="222222"/>
        </w:rPr>
        <w:t>يمكن وصف «جرعة استماع» لمدة 20 دقيقة يوميًا كعلاج مساعد لاضطرابات القلق المعمم والاكتئاب الخفيف إلى المتوسط، خاصة في المجتمعات المسلمة حيث القبول الثقافي عالٍ. تقدم دراستا فهد وآخرون (2018) ورفيق وآخرون (2019) دليلًا مبدئيًا داعمًا، وإن كان محدودًا بصغر العينات.</w:t>
      </w:r>
    </w:p>
    <w:p w14:paraId="13C07FE9" w14:textId="77777777" w:rsidR="00753406" w:rsidRDefault="009D3DCE">
      <w:pPr>
        <w:spacing w:before="220" w:after="100"/>
        <w:jc w:val="right"/>
      </w:pPr>
      <w:r>
        <w:rPr>
          <w:b/>
          <w:bCs/>
          <w:color w:val="1F3864"/>
        </w:rPr>
        <w:t>٤.٢ التأهيل المعرفي</w:t>
      </w:r>
    </w:p>
    <w:p w14:paraId="5AF7B86D" w14:textId="77777777" w:rsidR="00753406" w:rsidRDefault="009D3DCE">
      <w:pPr>
        <w:spacing w:after="160" w:line="300" w:lineRule="auto"/>
        <w:jc w:val="both"/>
      </w:pPr>
      <w:r>
        <w:rPr>
          <w:color w:val="222222"/>
        </w:rPr>
        <w:t xml:space="preserve">لدى كبار السن أو بعد السكتة الدماغية، قد يساعد الترتيل المنتظم في تحسين الانتباه المستمر، نظرًا لتنشيطه شبكات الانتباه </w:t>
      </w:r>
      <w:proofErr w:type="spellStart"/>
      <w:r>
        <w:rPr>
          <w:color w:val="222222"/>
        </w:rPr>
        <w:t>الجبهية</w:t>
      </w:r>
      <w:proofErr w:type="spellEnd"/>
      <w:r>
        <w:rPr>
          <w:color w:val="222222"/>
        </w:rPr>
        <w:t xml:space="preserve"> وموجات </w:t>
      </w:r>
      <w:proofErr w:type="spellStart"/>
      <w:r>
        <w:rPr>
          <w:color w:val="222222"/>
        </w:rPr>
        <w:t>ثيتا</w:t>
      </w:r>
      <w:proofErr w:type="spellEnd"/>
      <w:r>
        <w:rPr>
          <w:color w:val="222222"/>
        </w:rPr>
        <w:t xml:space="preserve"> </w:t>
      </w:r>
      <w:proofErr w:type="spellStart"/>
      <w:r>
        <w:rPr>
          <w:color w:val="222222"/>
        </w:rPr>
        <w:t>الجبهية</w:t>
      </w:r>
      <w:proofErr w:type="spellEnd"/>
      <w:r>
        <w:rPr>
          <w:color w:val="222222"/>
        </w:rPr>
        <w:t xml:space="preserve"> الوسطى المرتبطة بالوظائف التنفيذية. غير أنه لا توجد بعد دراسات تداخلية (</w:t>
      </w:r>
      <w:proofErr w:type="spellStart"/>
      <w:r>
        <w:rPr>
          <w:color w:val="222222"/>
        </w:rPr>
        <w:t>Interventional</w:t>
      </w:r>
      <w:proofErr w:type="spellEnd"/>
      <w:r>
        <w:rPr>
          <w:color w:val="222222"/>
        </w:rPr>
        <w:t>) كافية على هذه الفئة تحديدًا.</w:t>
      </w:r>
    </w:p>
    <w:p w14:paraId="6C6B22EF" w14:textId="77777777" w:rsidR="00753406" w:rsidRDefault="009D3DCE">
      <w:pPr>
        <w:spacing w:before="220" w:after="100"/>
        <w:jc w:val="right"/>
      </w:pPr>
      <w:r>
        <w:rPr>
          <w:b/>
          <w:bCs/>
          <w:color w:val="1F3864"/>
        </w:rPr>
        <w:t>٤.٣ تحسين النوم</w:t>
      </w:r>
    </w:p>
    <w:p w14:paraId="652815E5" w14:textId="77777777" w:rsidR="00753406" w:rsidRDefault="009D3DCE">
      <w:pPr>
        <w:spacing w:after="160" w:line="300" w:lineRule="auto"/>
        <w:jc w:val="both"/>
      </w:pPr>
      <w:r>
        <w:rPr>
          <w:color w:val="222222"/>
        </w:rPr>
        <w:t xml:space="preserve">زيادة موجات </w:t>
      </w:r>
      <w:proofErr w:type="spellStart"/>
      <w:r>
        <w:rPr>
          <w:color w:val="222222"/>
        </w:rPr>
        <w:t>ثيتا</w:t>
      </w:r>
      <w:proofErr w:type="spellEnd"/>
      <w:r>
        <w:rPr>
          <w:color w:val="222222"/>
        </w:rPr>
        <w:t xml:space="preserve"> وألفا قد تُسهّل الدخول في النوم، مما يجعل الاستماع قبل النوم استراتيجية سلوكية واعدة (دراسة استكشافية: </w:t>
      </w:r>
      <w:proofErr w:type="spellStart"/>
      <w:r>
        <w:rPr>
          <w:color w:val="222222"/>
        </w:rPr>
        <w:t>Ghazali</w:t>
      </w:r>
      <w:proofErr w:type="spellEnd"/>
      <w:r>
        <w:rPr>
          <w:color w:val="222222"/>
        </w:rPr>
        <w:t xml:space="preserve"> </w:t>
      </w:r>
      <w:proofErr w:type="spellStart"/>
      <w:r>
        <w:rPr>
          <w:color w:val="222222"/>
        </w:rPr>
        <w:t>et</w:t>
      </w:r>
      <w:proofErr w:type="spellEnd"/>
      <w:r>
        <w:rPr>
          <w:color w:val="222222"/>
        </w:rPr>
        <w:t xml:space="preserve"> </w:t>
      </w:r>
      <w:proofErr w:type="spellStart"/>
      <w:r>
        <w:rPr>
          <w:color w:val="222222"/>
        </w:rPr>
        <w:t>al</w:t>
      </w:r>
      <w:proofErr w:type="spellEnd"/>
      <w:r>
        <w:rPr>
          <w:color w:val="222222"/>
        </w:rPr>
        <w:t xml:space="preserve">., 2017، في </w:t>
      </w:r>
      <w:proofErr w:type="spellStart"/>
      <w:r>
        <w:rPr>
          <w:color w:val="222222"/>
        </w:rPr>
        <w:t>Sleep</w:t>
      </w:r>
      <w:proofErr w:type="spellEnd"/>
      <w:r>
        <w:rPr>
          <w:color w:val="222222"/>
        </w:rPr>
        <w:t xml:space="preserve"> </w:t>
      </w:r>
      <w:proofErr w:type="spellStart"/>
      <w:r>
        <w:rPr>
          <w:color w:val="222222"/>
        </w:rPr>
        <w:t>Medicine</w:t>
      </w:r>
      <w:proofErr w:type="spellEnd"/>
      <w:r>
        <w:rPr>
          <w:color w:val="222222"/>
        </w:rPr>
        <w:t>، ملخص مؤتمر). كما أشارت دراسات لاحقة غير منشورة دوليًا إلى تحسّن ذاتي في جودة النوم لدى طلاب جامعيين بعد جلسات استماع منتظمة لسورة الرحمن، وإن كانت هذه النتائج بحاجة إلى تكرار في تصميمات أكثر ضبطًا.</w:t>
      </w:r>
    </w:p>
    <w:p w14:paraId="4DDCE1C2" w14:textId="77777777" w:rsidR="00753406" w:rsidRDefault="009D3DCE">
      <w:pPr>
        <w:spacing w:before="220" w:after="100"/>
        <w:jc w:val="right"/>
      </w:pPr>
      <w:r>
        <w:rPr>
          <w:b/>
          <w:bCs/>
          <w:color w:val="1F3864"/>
        </w:rPr>
        <w:t>٤.٤ محددات هامة</w:t>
      </w:r>
    </w:p>
    <w:p w14:paraId="2DCDBB13" w14:textId="77777777" w:rsidR="00753406" w:rsidRDefault="009D3DCE">
      <w:pPr>
        <w:pStyle w:val="a4"/>
        <w:numPr>
          <w:ilvl w:val="0"/>
          <w:numId w:val="2"/>
        </w:numPr>
        <w:bidi/>
        <w:spacing w:after="100" w:line="290" w:lineRule="auto"/>
        <w:jc w:val="both"/>
      </w:pPr>
      <w:r>
        <w:rPr>
          <w:color w:val="222222"/>
        </w:rPr>
        <w:t>معظم الدراسات ذات أحجام عينات صغيرة (&lt;50) وتفتقر إلى التعمية الكاملة، إذ يصعب إخفاء طبيعة المثير القرآني عن المشارك المسلم.</w:t>
      </w:r>
    </w:p>
    <w:p w14:paraId="488E9B72" w14:textId="77777777" w:rsidR="00753406" w:rsidRDefault="009D3DCE">
      <w:pPr>
        <w:pStyle w:val="a4"/>
        <w:numPr>
          <w:ilvl w:val="0"/>
          <w:numId w:val="2"/>
        </w:numPr>
        <w:bidi/>
        <w:spacing w:after="100" w:line="290" w:lineRule="auto"/>
        <w:jc w:val="both"/>
      </w:pPr>
      <w:r>
        <w:rPr>
          <w:color w:val="222222"/>
        </w:rPr>
        <w:t>لم يُعزل تأثير «القدسية والإيمان» عن تأثير «الصوت» بصورة حاسمة. الدراسات على غير المسلمين نادرة لكنها ضرورية لفصل الآلية الصوتية عن الروحية؛ ودراسة وحيدة حول التأمل الديني عمومًا (</w:t>
      </w:r>
      <w:proofErr w:type="spellStart"/>
      <w:r>
        <w:rPr>
          <w:color w:val="222222"/>
        </w:rPr>
        <w:t>Newberg</w:t>
      </w:r>
      <w:proofErr w:type="spellEnd"/>
      <w:r>
        <w:rPr>
          <w:color w:val="222222"/>
        </w:rPr>
        <w:t xml:space="preserve"> &amp; </w:t>
      </w:r>
      <w:proofErr w:type="spellStart"/>
      <w:r>
        <w:rPr>
          <w:color w:val="222222"/>
        </w:rPr>
        <w:t>Iversen</w:t>
      </w:r>
      <w:proofErr w:type="spellEnd"/>
      <w:r>
        <w:rPr>
          <w:color w:val="222222"/>
        </w:rPr>
        <w:t xml:space="preserve">, 2003؛ وأعمال أندرو </w:t>
      </w:r>
      <w:proofErr w:type="spellStart"/>
      <w:r>
        <w:rPr>
          <w:color w:val="222222"/>
        </w:rPr>
        <w:t>نيوبرغ</w:t>
      </w:r>
      <w:proofErr w:type="spellEnd"/>
      <w:r>
        <w:rPr>
          <w:color w:val="222222"/>
        </w:rPr>
        <w:t xml:space="preserve"> اللاحقة حول التأمل والصلاة) أظهرت تأثيرات مشابهة تدعم دور عنصر الإيمان لا الصوت وحده.</w:t>
      </w:r>
    </w:p>
    <w:p w14:paraId="21EE5290" w14:textId="77777777" w:rsidR="00753406" w:rsidRDefault="009D3DCE">
      <w:pPr>
        <w:pStyle w:val="a4"/>
        <w:numPr>
          <w:ilvl w:val="0"/>
          <w:numId w:val="2"/>
        </w:numPr>
        <w:bidi/>
        <w:spacing w:after="100" w:line="290" w:lineRule="auto"/>
        <w:jc w:val="both"/>
      </w:pPr>
      <w:r>
        <w:rPr>
          <w:color w:val="222222"/>
        </w:rPr>
        <w:t>لا يمكن اعتبار القرآن «علاجًا بديلًا» للصرع أو الاكتئاب الشديد، بل هو تدخل تكميلي (</w:t>
      </w:r>
      <w:proofErr w:type="spellStart"/>
      <w:r>
        <w:rPr>
          <w:color w:val="222222"/>
        </w:rPr>
        <w:t>Complementary</w:t>
      </w:r>
      <w:proofErr w:type="spellEnd"/>
      <w:r>
        <w:rPr>
          <w:color w:val="222222"/>
        </w:rPr>
        <w:t>) ضمن خطة علاجية شاملة، ولا يُغني عن المتابعة الطبية والنفسية المتخصصة.</w:t>
      </w:r>
    </w:p>
    <w:p w14:paraId="4EE2123D" w14:textId="77777777" w:rsidR="00753406" w:rsidRDefault="009D3DCE">
      <w:pPr>
        <w:pStyle w:val="a4"/>
        <w:numPr>
          <w:ilvl w:val="0"/>
          <w:numId w:val="2"/>
        </w:numPr>
        <w:bidi/>
        <w:spacing w:after="100" w:line="290" w:lineRule="auto"/>
        <w:jc w:val="both"/>
      </w:pPr>
      <w:r>
        <w:rPr>
          <w:color w:val="222222"/>
        </w:rPr>
        <w:t>قلة الدراسات التي تستخدم تصميم القياسات المتكررة طويلة الأمد (</w:t>
      </w:r>
      <w:proofErr w:type="spellStart"/>
      <w:r>
        <w:rPr>
          <w:color w:val="222222"/>
        </w:rPr>
        <w:t>Longitudinal</w:t>
      </w:r>
      <w:proofErr w:type="spellEnd"/>
      <w:r>
        <w:rPr>
          <w:color w:val="222222"/>
        </w:rPr>
        <w:t>) تحدّ من معرفة استدامة الأثر العصبي بعد توقف التدخل.</w:t>
      </w:r>
    </w:p>
    <w:p w14:paraId="51E28347" w14:textId="77777777" w:rsidR="00753406" w:rsidRDefault="009D3DCE">
      <w:pPr>
        <w:pStyle w:val="1"/>
        <w:pBdr>
          <w:bottom w:val="single" w:sz="8" w:space="4" w:color="B8860B"/>
        </w:pBdr>
        <w:bidi/>
        <w:spacing w:before="400" w:after="200"/>
        <w:jc w:val="right"/>
      </w:pPr>
      <w:r>
        <w:rPr>
          <w:b/>
          <w:bCs/>
          <w:color w:val="1F3864"/>
          <w:sz w:val="34"/>
          <w:szCs w:val="34"/>
        </w:rPr>
        <w:t>٥. نقد منهجي تكاملي عبر الدراسات</w:t>
      </w:r>
    </w:p>
    <w:p w14:paraId="79D321D1" w14:textId="77777777" w:rsidR="00753406" w:rsidRDefault="009D3DCE">
      <w:pPr>
        <w:spacing w:after="160" w:line="300" w:lineRule="auto"/>
        <w:jc w:val="both"/>
      </w:pPr>
      <w:r>
        <w:rPr>
          <w:color w:val="222222"/>
        </w:rPr>
        <w:t>عند قراءة مجمل هذه الدراسات التسع عشرة (</w:t>
      </w:r>
      <w:proofErr w:type="spellStart"/>
      <w:r>
        <w:rPr>
          <w:color w:val="222222"/>
        </w:rPr>
        <w:t>Kannan</w:t>
      </w:r>
      <w:proofErr w:type="spellEnd"/>
      <w:r>
        <w:rPr>
          <w:color w:val="222222"/>
        </w:rPr>
        <w:t xml:space="preserve"> </w:t>
      </w:r>
      <w:proofErr w:type="spellStart"/>
      <w:r>
        <w:rPr>
          <w:color w:val="222222"/>
        </w:rPr>
        <w:t>et</w:t>
      </w:r>
      <w:proofErr w:type="spellEnd"/>
      <w:r>
        <w:rPr>
          <w:color w:val="222222"/>
        </w:rPr>
        <w:t xml:space="preserve"> </w:t>
      </w:r>
      <w:proofErr w:type="spellStart"/>
      <w:r>
        <w:rPr>
          <w:color w:val="222222"/>
        </w:rPr>
        <w:t>al</w:t>
      </w:r>
      <w:proofErr w:type="spellEnd"/>
      <w:r>
        <w:rPr>
          <w:color w:val="222222"/>
        </w:rPr>
        <w:t>., 2022) والدراسات الفردية المستعرضة أعلاه بعين ناقدة موحدة، تبرز أربع ملاحظات منهجية متكررة تستحق التسجيل الصريح:</w:t>
      </w:r>
    </w:p>
    <w:p w14:paraId="33C545C3" w14:textId="77777777" w:rsidR="00753406" w:rsidRDefault="009D3DCE">
      <w:pPr>
        <w:pStyle w:val="a4"/>
        <w:numPr>
          <w:ilvl w:val="0"/>
          <w:numId w:val="2"/>
        </w:numPr>
        <w:bidi/>
        <w:spacing w:after="100" w:line="290" w:lineRule="auto"/>
        <w:jc w:val="both"/>
      </w:pPr>
      <w:r>
        <w:rPr>
          <w:color w:val="222222"/>
        </w:rPr>
        <w:t>أولًا — التحيز الجغرافي والثقافي: الغالبية الساحقة من الدراسات صادرة عن مؤسسات ماليزية وإندونيسية وباكستانية وأردنية، ما يحد من قابلية التعميم عبر السياقات الثقافية الإسلامية المتنوعة (عربية، تركية، إفريقية، غربية)، فضلًا عن غيابها شبه التام لدى غير المسلمين.</w:t>
      </w:r>
    </w:p>
    <w:p w14:paraId="321226D4" w14:textId="77777777" w:rsidR="00753406" w:rsidRDefault="009D3DCE">
      <w:pPr>
        <w:pStyle w:val="a4"/>
        <w:numPr>
          <w:ilvl w:val="0"/>
          <w:numId w:val="2"/>
        </w:numPr>
        <w:bidi/>
        <w:spacing w:after="100" w:line="290" w:lineRule="auto"/>
        <w:jc w:val="both"/>
      </w:pPr>
      <w:r>
        <w:rPr>
          <w:color w:val="222222"/>
        </w:rPr>
        <w:t xml:space="preserve">ثانيًا — غياب توحيد المثير التجريبي: تتفاوت الدراسات في اختيار السورة (الفاتحة، </w:t>
      </w:r>
      <w:proofErr w:type="spellStart"/>
      <w:r>
        <w:rPr>
          <w:color w:val="222222"/>
        </w:rPr>
        <w:t>يس</w:t>
      </w:r>
      <w:proofErr w:type="spellEnd"/>
      <w:r>
        <w:rPr>
          <w:color w:val="222222"/>
        </w:rPr>
        <w:t>، الرحمن، الكهف)، والقارئ (عبد الباسط، العفاسي، غيرهما)، ومدة الاستماع، ما يصعّب المقارنة الكمية بين النتائج أو إجراء تحليل تلوي (</w:t>
      </w:r>
      <w:proofErr w:type="spellStart"/>
      <w:r>
        <w:rPr>
          <w:color w:val="222222"/>
        </w:rPr>
        <w:t>Meta-Analysis</w:t>
      </w:r>
      <w:proofErr w:type="spellEnd"/>
      <w:r>
        <w:rPr>
          <w:color w:val="222222"/>
        </w:rPr>
        <w:t>) دقيق.</w:t>
      </w:r>
    </w:p>
    <w:p w14:paraId="7D685673" w14:textId="77777777" w:rsidR="00753406" w:rsidRDefault="009D3DCE">
      <w:pPr>
        <w:pStyle w:val="a4"/>
        <w:numPr>
          <w:ilvl w:val="0"/>
          <w:numId w:val="2"/>
        </w:numPr>
        <w:bidi/>
        <w:spacing w:after="100" w:line="290" w:lineRule="auto"/>
        <w:jc w:val="both"/>
      </w:pPr>
      <w:r>
        <w:rPr>
          <w:color w:val="222222"/>
        </w:rPr>
        <w:t>ثالثًا — قصور التصميمات التجريبية: أغلب الدراسات مقطعية (</w:t>
      </w:r>
      <w:proofErr w:type="spellStart"/>
      <w:r>
        <w:rPr>
          <w:color w:val="222222"/>
        </w:rPr>
        <w:t>Cross-Sectional</w:t>
      </w:r>
      <w:proofErr w:type="spellEnd"/>
      <w:r>
        <w:rPr>
          <w:color w:val="222222"/>
        </w:rPr>
        <w:t>) بمقارنات قبل-بعد بسيطة، وقليل منها فقط يستخدم تصميم تجربة عشوائية محكومة (RCT) بمجموعة ضابطة نشطة (</w:t>
      </w:r>
      <w:proofErr w:type="spellStart"/>
      <w:r>
        <w:rPr>
          <w:color w:val="222222"/>
        </w:rPr>
        <w:t>Active</w:t>
      </w:r>
      <w:proofErr w:type="spellEnd"/>
      <w:r>
        <w:rPr>
          <w:color w:val="222222"/>
        </w:rPr>
        <w:t xml:space="preserve"> </w:t>
      </w:r>
      <w:proofErr w:type="spellStart"/>
      <w:r>
        <w:rPr>
          <w:color w:val="222222"/>
        </w:rPr>
        <w:t>Control</w:t>
      </w:r>
      <w:proofErr w:type="spellEnd"/>
      <w:r>
        <w:rPr>
          <w:color w:val="222222"/>
        </w:rPr>
        <w:t>) بدل الراحة السلبية فقط.</w:t>
      </w:r>
    </w:p>
    <w:p w14:paraId="26C965E7" w14:textId="77777777" w:rsidR="00753406" w:rsidRDefault="009D3DCE">
      <w:pPr>
        <w:pStyle w:val="a4"/>
        <w:numPr>
          <w:ilvl w:val="0"/>
          <w:numId w:val="2"/>
        </w:numPr>
        <w:bidi/>
        <w:spacing w:after="100" w:line="290" w:lineRule="auto"/>
        <w:jc w:val="both"/>
      </w:pPr>
      <w:r>
        <w:rPr>
          <w:color w:val="222222"/>
        </w:rPr>
        <w:t xml:space="preserve">رابعًا — الخلط بين «الارتباط» و«السببية»: الزيادة في ألفا وثيتا ارتباطية بطبيعتها في أغلب هذه التصميمات، ولا تثبت بذاتها آلية سببية محددة، بل تحتاج إلى دراسات </w:t>
      </w:r>
      <w:proofErr w:type="spellStart"/>
      <w:r>
        <w:rPr>
          <w:color w:val="222222"/>
        </w:rPr>
        <w:t>تدخلية</w:t>
      </w:r>
      <w:proofErr w:type="spellEnd"/>
      <w:r>
        <w:rPr>
          <w:color w:val="222222"/>
        </w:rPr>
        <w:t xml:space="preserve"> </w:t>
      </w:r>
      <w:proofErr w:type="spellStart"/>
      <w:r>
        <w:rPr>
          <w:color w:val="222222"/>
        </w:rPr>
        <w:t>إغلاقية</w:t>
      </w:r>
      <w:proofErr w:type="spellEnd"/>
      <w:r>
        <w:rPr>
          <w:color w:val="222222"/>
        </w:rPr>
        <w:t xml:space="preserve"> (</w:t>
      </w:r>
      <w:proofErr w:type="spellStart"/>
      <w:r>
        <w:rPr>
          <w:color w:val="222222"/>
        </w:rPr>
        <w:t>Blocking</w:t>
      </w:r>
      <w:proofErr w:type="spellEnd"/>
      <w:r>
        <w:rPr>
          <w:color w:val="222222"/>
        </w:rPr>
        <w:t xml:space="preserve"> </w:t>
      </w:r>
      <w:proofErr w:type="spellStart"/>
      <w:r>
        <w:rPr>
          <w:color w:val="222222"/>
        </w:rPr>
        <w:t>Studies</w:t>
      </w:r>
      <w:proofErr w:type="spellEnd"/>
      <w:r>
        <w:rPr>
          <w:color w:val="222222"/>
        </w:rPr>
        <w:t>) — كحجب سماع المعنى عبر تلاوة بلغة غير مفهومة للمشارك — لفصل أثر الصوت عن أثر الفهم عن أثر الإيمان.</w:t>
      </w:r>
    </w:p>
    <w:p w14:paraId="17570698" w14:textId="77777777" w:rsidR="00753406" w:rsidRDefault="009D3DCE">
      <w:pPr>
        <w:pStyle w:val="1"/>
        <w:pBdr>
          <w:bottom w:val="single" w:sz="8" w:space="4" w:color="B8860B"/>
        </w:pBdr>
        <w:bidi/>
        <w:spacing w:before="400" w:after="200"/>
        <w:jc w:val="right"/>
      </w:pPr>
      <w:r>
        <w:rPr>
          <w:b/>
          <w:bCs/>
          <w:color w:val="1F3864"/>
          <w:sz w:val="34"/>
          <w:szCs w:val="34"/>
        </w:rPr>
        <w:t>٦. حول دراسة جامعة الأزهر المشار إليها سابقًا</w:t>
      </w:r>
    </w:p>
    <w:p w14:paraId="00A4A720" w14:textId="77777777" w:rsidR="00753406" w:rsidRDefault="009D3DCE">
      <w:pPr>
        <w:spacing w:after="160" w:line="300" w:lineRule="auto"/>
        <w:jc w:val="both"/>
      </w:pPr>
      <w:r>
        <w:rPr>
          <w:color w:val="222222"/>
        </w:rPr>
        <w:t>سبقت الإشارة في نسخة أولية من هذا البحث إلى دراسة تُنسب إلى «محمد السيد عبد الرحمن، فاطمة الزهراء محمد» من جامعة الأزهر. وبالبحث المتجدد في قواعد البيانات الأكاديمية المتاحة (</w:t>
      </w:r>
      <w:proofErr w:type="spellStart"/>
      <w:r>
        <w:rPr>
          <w:color w:val="222222"/>
        </w:rPr>
        <w:t>PubMed</w:t>
      </w:r>
      <w:proofErr w:type="spellEnd"/>
      <w:r>
        <w:rPr>
          <w:color w:val="222222"/>
        </w:rPr>
        <w:t xml:space="preserve">، </w:t>
      </w:r>
      <w:proofErr w:type="spellStart"/>
      <w:r>
        <w:rPr>
          <w:color w:val="222222"/>
        </w:rPr>
        <w:t>Scopus</w:t>
      </w:r>
      <w:proofErr w:type="spellEnd"/>
      <w:r>
        <w:rPr>
          <w:color w:val="222222"/>
        </w:rPr>
        <w:t xml:space="preserve">، </w:t>
      </w:r>
      <w:proofErr w:type="spellStart"/>
      <w:r>
        <w:rPr>
          <w:color w:val="222222"/>
        </w:rPr>
        <w:t>Google</w:t>
      </w:r>
      <w:proofErr w:type="spellEnd"/>
      <w:r>
        <w:rPr>
          <w:color w:val="222222"/>
        </w:rPr>
        <w:t xml:space="preserve"> </w:t>
      </w:r>
      <w:proofErr w:type="spellStart"/>
      <w:r>
        <w:rPr>
          <w:color w:val="222222"/>
        </w:rPr>
        <w:t>Scholar</w:t>
      </w:r>
      <w:proofErr w:type="spellEnd"/>
      <w:r>
        <w:rPr>
          <w:color w:val="222222"/>
        </w:rPr>
        <w:t>، دار المنظومة)، لا تزال هذه الدراسة غير مؤكدة الوجود بعنوانها وباسمي الباحثين هذين تحديدًا في أي دورية محكمة مفهرسة، ما يرجّح كونها رسالة ماجستير أو دكتوراه غير منشورة دوليًا، أو مثالًا تعليميًا استُخدم لشرح تصميم بحثي معين. هذا يعكس واقعًا مهمًا: كثير من الدراسات القيّمة في الجامعات العربية تُودَع في رسائل جامعية أو مؤتمرات محلية دون فهرسة عالمية، ما يستدعي جهدًا مؤسسيًا لترجمة هذه الرسائل ونشرها في دوريات مفهرسة لتعميم فائدتها — وهو أمر يتقاطع مباشرة مع أهداف مشروع علم النفس</w:t>
      </w:r>
      <w:r>
        <w:rPr>
          <w:color w:val="222222"/>
        </w:rPr>
        <w:t xml:space="preserve"> الاستخلافي في ربط الإنتاج العلمي العربي بالمنظومة الأكاديمية العالمية دون فقدان خصوصيته المعرفية.</w:t>
      </w:r>
    </w:p>
    <w:p w14:paraId="47AC290D" w14:textId="77777777" w:rsidR="00753406" w:rsidRDefault="009D3DCE">
      <w:pPr>
        <w:pStyle w:val="1"/>
        <w:pBdr>
          <w:bottom w:val="single" w:sz="8" w:space="4" w:color="B8860B"/>
        </w:pBdr>
        <w:bidi/>
        <w:spacing w:before="400" w:after="200"/>
        <w:jc w:val="right"/>
      </w:pPr>
      <w:r>
        <w:rPr>
          <w:b/>
          <w:bCs/>
          <w:color w:val="1F3864"/>
          <w:sz w:val="34"/>
          <w:szCs w:val="34"/>
        </w:rPr>
        <w:t>٧. توصيات للبحث المستقبلي</w:t>
      </w:r>
    </w:p>
    <w:p w14:paraId="32AFBAEE" w14:textId="77777777" w:rsidR="00753406" w:rsidRDefault="009D3DCE">
      <w:pPr>
        <w:pStyle w:val="a4"/>
        <w:numPr>
          <w:ilvl w:val="0"/>
          <w:numId w:val="2"/>
        </w:numPr>
        <w:bidi/>
        <w:spacing w:after="100" w:line="290" w:lineRule="auto"/>
        <w:jc w:val="both"/>
      </w:pPr>
      <w:r>
        <w:rPr>
          <w:color w:val="222222"/>
        </w:rPr>
        <w:t>استخدام تصوير الرنين المغناطيسي الوظيفي (</w:t>
      </w:r>
      <w:proofErr w:type="spellStart"/>
      <w:r>
        <w:rPr>
          <w:color w:val="222222"/>
        </w:rPr>
        <w:t>fMRI</w:t>
      </w:r>
      <w:proofErr w:type="spellEnd"/>
      <w:r>
        <w:rPr>
          <w:color w:val="222222"/>
        </w:rPr>
        <w:t>) بالتزامن مع EEG لرسم خريطة دقيقة للمناطق المتأثرة (اللوزة، الحُصين، قشرة الفص الجبهي، شبكة الدماغ الافتراضية).</w:t>
      </w:r>
    </w:p>
    <w:p w14:paraId="1AA30E49" w14:textId="77777777" w:rsidR="00753406" w:rsidRDefault="009D3DCE">
      <w:pPr>
        <w:pStyle w:val="a4"/>
        <w:numPr>
          <w:ilvl w:val="0"/>
          <w:numId w:val="2"/>
        </w:numPr>
        <w:bidi/>
        <w:spacing w:after="100" w:line="290" w:lineRule="auto"/>
        <w:jc w:val="both"/>
      </w:pPr>
      <w:r>
        <w:rPr>
          <w:color w:val="222222"/>
        </w:rPr>
        <w:t>تصميم دراسات عابرة للثقافات تشمل غير الناطقين بالعربية وغير المسلمين، لفصل التأثير الصوتي المحض عن التأثير الإيماني الدلالي — عبر مقارنة تلاوة مفهومة المعنى بتلاوة غير مفهومة اللغة للمشارك نفسه.</w:t>
      </w:r>
    </w:p>
    <w:p w14:paraId="7C67C77B" w14:textId="77777777" w:rsidR="00753406" w:rsidRDefault="009D3DCE">
      <w:pPr>
        <w:pStyle w:val="a4"/>
        <w:numPr>
          <w:ilvl w:val="0"/>
          <w:numId w:val="2"/>
        </w:numPr>
        <w:bidi/>
        <w:spacing w:after="100" w:line="290" w:lineRule="auto"/>
        <w:jc w:val="both"/>
      </w:pPr>
      <w:r>
        <w:rPr>
          <w:color w:val="222222"/>
        </w:rPr>
        <w:t>إجراء تجارب سريرية عشوائية محكومة (</w:t>
      </w:r>
      <w:proofErr w:type="spellStart"/>
      <w:r>
        <w:rPr>
          <w:color w:val="222222"/>
        </w:rPr>
        <w:t>RCTs</w:t>
      </w:r>
      <w:proofErr w:type="spellEnd"/>
      <w:r>
        <w:rPr>
          <w:color w:val="222222"/>
        </w:rPr>
        <w:t>) واسعة النطاق على مجموعات مرضية (الاكتئاب، القلق، الصرع) بمتابعة طويلة الأمد (6 أشهر على الأقل) لتقييم استدامة الأثر، تجاوزًا لمحدودية العينات الصغيرة الحالية (كعينة الـ12 مريضة في دراسة رفيق وآخرون).</w:t>
      </w:r>
    </w:p>
    <w:p w14:paraId="345CA608" w14:textId="77777777" w:rsidR="00753406" w:rsidRDefault="009D3DCE">
      <w:pPr>
        <w:pStyle w:val="a4"/>
        <w:numPr>
          <w:ilvl w:val="0"/>
          <w:numId w:val="2"/>
        </w:numPr>
        <w:bidi/>
        <w:spacing w:after="100" w:line="290" w:lineRule="auto"/>
        <w:jc w:val="both"/>
      </w:pPr>
      <w:r>
        <w:rPr>
          <w:color w:val="222222"/>
        </w:rPr>
        <w:t>تحليل الخصائص الصوتية الحاسوبية (</w:t>
      </w:r>
      <w:proofErr w:type="spellStart"/>
      <w:r>
        <w:rPr>
          <w:color w:val="222222"/>
        </w:rPr>
        <w:t>Acoustic</w:t>
      </w:r>
      <w:proofErr w:type="spellEnd"/>
      <w:r>
        <w:rPr>
          <w:color w:val="222222"/>
        </w:rPr>
        <w:t xml:space="preserve"> </w:t>
      </w:r>
      <w:proofErr w:type="spellStart"/>
      <w:r>
        <w:rPr>
          <w:color w:val="222222"/>
        </w:rPr>
        <w:t>Feature</w:t>
      </w:r>
      <w:proofErr w:type="spellEnd"/>
      <w:r>
        <w:rPr>
          <w:color w:val="222222"/>
        </w:rPr>
        <w:t xml:space="preserve"> </w:t>
      </w:r>
      <w:proofErr w:type="spellStart"/>
      <w:r>
        <w:rPr>
          <w:color w:val="222222"/>
        </w:rPr>
        <w:t>Extraction</w:t>
      </w:r>
      <w:proofErr w:type="spellEnd"/>
      <w:r>
        <w:rPr>
          <w:color w:val="222222"/>
        </w:rPr>
        <w:t>) لمختلف القراءات (حفص، ورش، قالون) وأصوات القراء المختلفين، وربطها كميًا بأنماط EEG لمعرفة أي التلاوات أكثر تأثيرًا على الاسترخاء أو التركيز.</w:t>
      </w:r>
    </w:p>
    <w:p w14:paraId="615A4D68" w14:textId="77777777" w:rsidR="00753406" w:rsidRDefault="009D3DCE">
      <w:pPr>
        <w:pStyle w:val="a4"/>
        <w:numPr>
          <w:ilvl w:val="0"/>
          <w:numId w:val="2"/>
        </w:numPr>
        <w:bidi/>
        <w:spacing w:after="100" w:line="290" w:lineRule="auto"/>
        <w:jc w:val="both"/>
      </w:pPr>
      <w:r>
        <w:rPr>
          <w:color w:val="222222"/>
        </w:rPr>
        <w:t>توحيد بروتوكولات المثير التجريبي (السورة، القارئ، المدة) عبر الدراسات المستقبلية تمهيدًا لإجراء تحليلات تلوية (</w:t>
      </w:r>
      <w:proofErr w:type="spellStart"/>
      <w:r>
        <w:rPr>
          <w:color w:val="222222"/>
        </w:rPr>
        <w:t>Meta-Analyses</w:t>
      </w:r>
      <w:proofErr w:type="spellEnd"/>
      <w:r>
        <w:rPr>
          <w:color w:val="222222"/>
        </w:rPr>
        <w:t>) موثوقة إحصائيًا.</w:t>
      </w:r>
    </w:p>
    <w:p w14:paraId="60587A14" w14:textId="77777777" w:rsidR="00753406" w:rsidRDefault="009D3DCE">
      <w:pPr>
        <w:pStyle w:val="a4"/>
        <w:numPr>
          <w:ilvl w:val="0"/>
          <w:numId w:val="2"/>
        </w:numPr>
        <w:bidi/>
        <w:spacing w:after="100" w:line="290" w:lineRule="auto"/>
        <w:jc w:val="both"/>
      </w:pPr>
      <w:r>
        <w:rPr>
          <w:color w:val="222222"/>
        </w:rPr>
        <w:t>دمج أدوات القياس النفسي الاستخلافي (كمقاييس السكينة والطمأنينة القلبية المطوَّرة ضمن مشروع علم النفس الاستخلافي) مع القياسات العصبية الموضوعية، لبناء نموذج تحقق تقاربي (</w:t>
      </w:r>
      <w:proofErr w:type="spellStart"/>
      <w:r>
        <w:rPr>
          <w:color w:val="222222"/>
        </w:rPr>
        <w:t>Convergent</w:t>
      </w:r>
      <w:proofErr w:type="spellEnd"/>
      <w:r>
        <w:rPr>
          <w:color w:val="222222"/>
        </w:rPr>
        <w:t xml:space="preserve"> </w:t>
      </w:r>
      <w:proofErr w:type="spellStart"/>
      <w:r>
        <w:rPr>
          <w:color w:val="222222"/>
        </w:rPr>
        <w:t>Validity</w:t>
      </w:r>
      <w:proofErr w:type="spellEnd"/>
      <w:r>
        <w:rPr>
          <w:color w:val="222222"/>
        </w:rPr>
        <w:t>) بين البعدين الذاتي والفيزيولوجي.</w:t>
      </w:r>
    </w:p>
    <w:p w14:paraId="3D502F4D" w14:textId="77777777" w:rsidR="00753406" w:rsidRDefault="009D3DCE">
      <w:pPr>
        <w:pStyle w:val="1"/>
        <w:pBdr>
          <w:bottom w:val="single" w:sz="8" w:space="4" w:color="B8860B"/>
        </w:pBdr>
        <w:bidi/>
        <w:spacing w:before="400" w:after="200"/>
        <w:jc w:val="right"/>
      </w:pPr>
      <w:r>
        <w:rPr>
          <w:b/>
          <w:bCs/>
          <w:color w:val="1F3864"/>
          <w:sz w:val="34"/>
          <w:szCs w:val="34"/>
        </w:rPr>
        <w:t>خلاصة</w:t>
      </w:r>
    </w:p>
    <w:p w14:paraId="4833753D" w14:textId="77777777" w:rsidR="00753406" w:rsidRDefault="009D3DCE">
      <w:pPr>
        <w:spacing w:after="160" w:line="300" w:lineRule="auto"/>
        <w:jc w:val="both"/>
      </w:pPr>
      <w:r>
        <w:rPr>
          <w:color w:val="222222"/>
        </w:rPr>
        <w:t>يتضح من مجمل الأدلة التجريبية المستعرضة — من دراسات EEG المفردة الأولى (2011–2016) إلى المراجعة التكاملية الكبرى (</w:t>
      </w:r>
      <w:proofErr w:type="spellStart"/>
      <w:r>
        <w:rPr>
          <w:color w:val="222222"/>
        </w:rPr>
        <w:t>Kannan</w:t>
      </w:r>
      <w:proofErr w:type="spellEnd"/>
      <w:r>
        <w:rPr>
          <w:color w:val="222222"/>
        </w:rPr>
        <w:t xml:space="preserve"> </w:t>
      </w:r>
      <w:proofErr w:type="spellStart"/>
      <w:r>
        <w:rPr>
          <w:color w:val="222222"/>
        </w:rPr>
        <w:t>et</w:t>
      </w:r>
      <w:proofErr w:type="spellEnd"/>
      <w:r>
        <w:rPr>
          <w:color w:val="222222"/>
        </w:rPr>
        <w:t xml:space="preserve"> </w:t>
      </w:r>
      <w:proofErr w:type="spellStart"/>
      <w:r>
        <w:rPr>
          <w:color w:val="222222"/>
        </w:rPr>
        <w:t>al</w:t>
      </w:r>
      <w:proofErr w:type="spellEnd"/>
      <w:r>
        <w:rPr>
          <w:color w:val="222222"/>
        </w:rPr>
        <w:t>., 2022) والتجربة السريرية المحكومة (</w:t>
      </w:r>
      <w:proofErr w:type="spellStart"/>
      <w:r>
        <w:rPr>
          <w:color w:val="222222"/>
        </w:rPr>
        <w:t>Rafique</w:t>
      </w:r>
      <w:proofErr w:type="spellEnd"/>
      <w:r>
        <w:rPr>
          <w:color w:val="222222"/>
        </w:rPr>
        <w:t xml:space="preserve"> </w:t>
      </w:r>
      <w:proofErr w:type="spellStart"/>
      <w:r>
        <w:rPr>
          <w:color w:val="222222"/>
        </w:rPr>
        <w:t>et</w:t>
      </w:r>
      <w:proofErr w:type="spellEnd"/>
      <w:r>
        <w:rPr>
          <w:color w:val="222222"/>
        </w:rPr>
        <w:t xml:space="preserve"> </w:t>
      </w:r>
      <w:proofErr w:type="spellStart"/>
      <w:r>
        <w:rPr>
          <w:color w:val="222222"/>
        </w:rPr>
        <w:t>al</w:t>
      </w:r>
      <w:proofErr w:type="spellEnd"/>
      <w:r>
        <w:rPr>
          <w:color w:val="222222"/>
        </w:rPr>
        <w:t xml:space="preserve">., 2019) — أن الاستماع إلى القرآن الكريم وترتيله يُحدثان تغيرات قابلة للقياس والتكرار في النشاط الكهربائي للدماغ، أبرزها زيادة موجات ألفا (الاسترخاء) وثيتا </w:t>
      </w:r>
      <w:proofErr w:type="spellStart"/>
      <w:r>
        <w:rPr>
          <w:color w:val="222222"/>
        </w:rPr>
        <w:t>الجبهية</w:t>
      </w:r>
      <w:proofErr w:type="spellEnd"/>
      <w:r>
        <w:rPr>
          <w:color w:val="222222"/>
        </w:rPr>
        <w:t xml:space="preserve"> (التأمل المركّز)، وتقليل موجات بيتا (التوتر)، ضمن نمط فريد يجمع السكون بالتركيز يُعرف بـ«اليقظة الهادئة». تعتمد هذه التأثيرات على تكامل عوامل صوتية-فيزيائية (الرنين العصبي)، وفيزيولوجية (العصب المبهم ونظرية </w:t>
      </w:r>
      <w:proofErr w:type="spellStart"/>
      <w:r>
        <w:rPr>
          <w:color w:val="222222"/>
        </w:rPr>
        <w:t>بوليفاغال</w:t>
      </w:r>
      <w:proofErr w:type="spellEnd"/>
      <w:r>
        <w:rPr>
          <w:color w:val="222222"/>
        </w:rPr>
        <w:t>)، وعاطفية-معرفية (شبكة المكافأة والذاكرة العاملة)، وشبكية كبرى (الدما</w:t>
      </w:r>
      <w:r>
        <w:rPr>
          <w:color w:val="222222"/>
        </w:rPr>
        <w:t>غ الافتراضي). ومع أن الأبحاث لا تزال في طور النمو وتعاني من قصور منهجي حقيقي (عينات صغيرة، غياب تعمية، تحيز جغرافي، خلط الارتباط بالسببية)، فإن النتائج الحالية تفتح آفاقًا واعدة لاستخدام الترتيل كأداة مساعدة في تعزيز الصحة النفسية والعصبية، شريطة مواصلة البحث الدقيق المنضبط، وشريطة عدم اختزال الظاهرة الإيمانية بكاملها في تفسيرها العصبي — فالعلاقة بين «القرآن» و«الدماغ» علاقة ارتباط بيّن لا علاقة اختزال، تبقى معها الأبعاد الغيبية والتعبدية للتلاوة خارج نطاق ما يستطيع أي جهاز EEG قياسه أو تفسيره.</w:t>
      </w:r>
    </w:p>
    <w:p w14:paraId="79257DF2" w14:textId="77777777" w:rsidR="00753406" w:rsidRDefault="009D3DCE">
      <w:pPr>
        <w:pStyle w:val="1"/>
        <w:pBdr>
          <w:bottom w:val="single" w:sz="8" w:space="4" w:color="B8860B"/>
        </w:pBdr>
        <w:bidi/>
        <w:spacing w:before="400" w:after="200"/>
        <w:jc w:val="right"/>
      </w:pPr>
      <w:r>
        <w:rPr>
          <w:b/>
          <w:bCs/>
          <w:color w:val="1F3864"/>
          <w:sz w:val="34"/>
          <w:szCs w:val="34"/>
        </w:rPr>
        <w:t>قائمة المراجع (</w:t>
      </w:r>
      <w:proofErr w:type="spellStart"/>
      <w:r>
        <w:rPr>
          <w:b/>
          <w:bCs/>
          <w:color w:val="1F3864"/>
          <w:sz w:val="34"/>
          <w:szCs w:val="34"/>
        </w:rPr>
        <w:t>References</w:t>
      </w:r>
      <w:proofErr w:type="spellEnd"/>
      <w:r>
        <w:rPr>
          <w:b/>
          <w:bCs/>
          <w:color w:val="1F3864"/>
          <w:sz w:val="34"/>
          <w:szCs w:val="34"/>
        </w:rPr>
        <w:t>)</w:t>
      </w:r>
    </w:p>
    <w:p w14:paraId="2E5DB67C"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Abdullah</w:t>
      </w:r>
      <w:proofErr w:type="spellEnd"/>
      <w:r>
        <w:rPr>
          <w:rFonts w:ascii="Times New Roman" w:eastAsia="Times New Roman" w:hAnsi="Times New Roman" w:cs="Times New Roman"/>
          <w:color w:val="222222"/>
          <w:sz w:val="22"/>
          <w:szCs w:val="22"/>
        </w:rPr>
        <w:t xml:space="preserve">, A. A., &amp; </w:t>
      </w:r>
      <w:proofErr w:type="spellStart"/>
      <w:r>
        <w:rPr>
          <w:rFonts w:ascii="Times New Roman" w:eastAsia="Times New Roman" w:hAnsi="Times New Roman" w:cs="Times New Roman"/>
          <w:color w:val="222222"/>
          <w:sz w:val="22"/>
          <w:szCs w:val="22"/>
        </w:rPr>
        <w:t>Omar</w:t>
      </w:r>
      <w:proofErr w:type="spellEnd"/>
      <w:r>
        <w:rPr>
          <w:rFonts w:ascii="Times New Roman" w:eastAsia="Times New Roman" w:hAnsi="Times New Roman" w:cs="Times New Roman"/>
          <w:color w:val="222222"/>
          <w:sz w:val="22"/>
          <w:szCs w:val="22"/>
        </w:rPr>
        <w:t xml:space="preserve">, Z. (2011).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effect</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reciting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Quran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human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brain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w:t>
      </w:r>
      <w:proofErr w:type="spellEnd"/>
      <w:r>
        <w:rPr>
          <w:rFonts w:ascii="Times New Roman" w:eastAsia="Times New Roman" w:hAnsi="Times New Roman" w:cs="Times New Roman"/>
          <w:color w:val="222222"/>
          <w:sz w:val="22"/>
          <w:szCs w:val="22"/>
        </w:rPr>
        <w:t xml:space="preserve"> EEG </w:t>
      </w:r>
      <w:proofErr w:type="spellStart"/>
      <w:r>
        <w:rPr>
          <w:rFonts w:ascii="Times New Roman" w:eastAsia="Times New Roman" w:hAnsi="Times New Roman" w:cs="Times New Roman"/>
          <w:color w:val="222222"/>
          <w:sz w:val="22"/>
          <w:szCs w:val="22"/>
        </w:rPr>
        <w:t>study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Journal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Engineering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Technology</w:t>
      </w:r>
      <w:proofErr w:type="spellEnd"/>
      <w:r>
        <w:rPr>
          <w:rFonts w:ascii="Times New Roman" w:eastAsia="Times New Roman" w:hAnsi="Times New Roman" w:cs="Times New Roman"/>
          <w:color w:val="222222"/>
          <w:sz w:val="22"/>
          <w:szCs w:val="22"/>
        </w:rPr>
        <w:t>, 2(1), 83–90.</w:t>
      </w:r>
    </w:p>
    <w:p w14:paraId="5C2E7967"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Al-Galal</w:t>
      </w:r>
      <w:proofErr w:type="spellEnd"/>
      <w:r>
        <w:rPr>
          <w:rFonts w:ascii="Times New Roman" w:eastAsia="Times New Roman" w:hAnsi="Times New Roman" w:cs="Times New Roman"/>
          <w:color w:val="222222"/>
          <w:sz w:val="22"/>
          <w:szCs w:val="22"/>
        </w:rPr>
        <w:t xml:space="preserve">, S. A., </w:t>
      </w:r>
      <w:proofErr w:type="spellStart"/>
      <w:r>
        <w:rPr>
          <w:rFonts w:ascii="Times New Roman" w:eastAsia="Times New Roman" w:hAnsi="Times New Roman" w:cs="Times New Roman"/>
          <w:color w:val="222222"/>
          <w:sz w:val="22"/>
          <w:szCs w:val="22"/>
        </w:rPr>
        <w:t>Alshaikhli</w:t>
      </w:r>
      <w:proofErr w:type="spellEnd"/>
      <w:r>
        <w:rPr>
          <w:rFonts w:ascii="Times New Roman" w:eastAsia="Times New Roman" w:hAnsi="Times New Roman" w:cs="Times New Roman"/>
          <w:color w:val="222222"/>
          <w:sz w:val="22"/>
          <w:szCs w:val="22"/>
        </w:rPr>
        <w:t xml:space="preserve">, I. F. T., </w:t>
      </w:r>
      <w:proofErr w:type="spellStart"/>
      <w:r>
        <w:rPr>
          <w:rFonts w:ascii="Times New Roman" w:eastAsia="Times New Roman" w:hAnsi="Times New Roman" w:cs="Times New Roman"/>
          <w:color w:val="222222"/>
          <w:sz w:val="22"/>
          <w:szCs w:val="22"/>
        </w:rPr>
        <w:t>Abdul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Rahman</w:t>
      </w:r>
      <w:proofErr w:type="spellEnd"/>
      <w:r>
        <w:rPr>
          <w:rFonts w:ascii="Times New Roman" w:eastAsia="Times New Roman" w:hAnsi="Times New Roman" w:cs="Times New Roman"/>
          <w:color w:val="222222"/>
          <w:sz w:val="22"/>
          <w:szCs w:val="22"/>
        </w:rPr>
        <w:t xml:space="preserve">, A. W., &amp; </w:t>
      </w:r>
      <w:proofErr w:type="spellStart"/>
      <w:r>
        <w:rPr>
          <w:rFonts w:ascii="Times New Roman" w:eastAsia="Times New Roman" w:hAnsi="Times New Roman" w:cs="Times New Roman"/>
          <w:color w:val="222222"/>
          <w:sz w:val="22"/>
          <w:szCs w:val="22"/>
        </w:rPr>
        <w:t>Dzulkifli</w:t>
      </w:r>
      <w:proofErr w:type="spellEnd"/>
      <w:r>
        <w:rPr>
          <w:rFonts w:ascii="Times New Roman" w:eastAsia="Times New Roman" w:hAnsi="Times New Roman" w:cs="Times New Roman"/>
          <w:color w:val="222222"/>
          <w:sz w:val="22"/>
          <w:szCs w:val="22"/>
        </w:rPr>
        <w:t xml:space="preserve">, M. A. (2012).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effect</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listening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to</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holy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Quran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recitation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electroencephalogram</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signal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International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Journal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Psychological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Studies</w:t>
      </w:r>
      <w:proofErr w:type="spellEnd"/>
      <w:r>
        <w:rPr>
          <w:rFonts w:ascii="Times New Roman" w:eastAsia="Times New Roman" w:hAnsi="Times New Roman" w:cs="Times New Roman"/>
          <w:color w:val="222222"/>
          <w:sz w:val="22"/>
          <w:szCs w:val="22"/>
        </w:rPr>
        <w:t>, 4(1), 166–175. https://doi.org/10.5539/ijps.v4n1p166</w:t>
      </w:r>
    </w:p>
    <w:p w14:paraId="7DF453C2"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Al-Galal</w:t>
      </w:r>
      <w:proofErr w:type="spellEnd"/>
      <w:r>
        <w:rPr>
          <w:rFonts w:ascii="Times New Roman" w:eastAsia="Times New Roman" w:hAnsi="Times New Roman" w:cs="Times New Roman"/>
          <w:color w:val="222222"/>
          <w:sz w:val="22"/>
          <w:szCs w:val="22"/>
        </w:rPr>
        <w:t xml:space="preserve">, S. A. Y., </w:t>
      </w:r>
      <w:proofErr w:type="spellStart"/>
      <w:r>
        <w:rPr>
          <w:rFonts w:ascii="Times New Roman" w:eastAsia="Times New Roman" w:hAnsi="Times New Roman" w:cs="Times New Roman"/>
          <w:color w:val="222222"/>
          <w:sz w:val="22"/>
          <w:szCs w:val="22"/>
        </w:rPr>
        <w:t>Alshaikhli</w:t>
      </w:r>
      <w:proofErr w:type="spellEnd"/>
      <w:r>
        <w:rPr>
          <w:rFonts w:ascii="Times New Roman" w:eastAsia="Times New Roman" w:hAnsi="Times New Roman" w:cs="Times New Roman"/>
          <w:color w:val="222222"/>
          <w:sz w:val="22"/>
          <w:szCs w:val="22"/>
        </w:rPr>
        <w:t xml:space="preserve">, I. F. T., </w:t>
      </w:r>
      <w:proofErr w:type="spellStart"/>
      <w:r>
        <w:rPr>
          <w:rFonts w:ascii="Times New Roman" w:eastAsia="Times New Roman" w:hAnsi="Times New Roman" w:cs="Times New Roman"/>
          <w:color w:val="222222"/>
          <w:sz w:val="22"/>
          <w:szCs w:val="22"/>
        </w:rPr>
        <w:t>Abdul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Rahman</w:t>
      </w:r>
      <w:proofErr w:type="spellEnd"/>
      <w:r>
        <w:rPr>
          <w:rFonts w:ascii="Times New Roman" w:eastAsia="Times New Roman" w:hAnsi="Times New Roman" w:cs="Times New Roman"/>
          <w:color w:val="222222"/>
          <w:sz w:val="22"/>
          <w:szCs w:val="22"/>
        </w:rPr>
        <w:t xml:space="preserve">, A. W., &amp; </w:t>
      </w:r>
      <w:proofErr w:type="spellStart"/>
      <w:r>
        <w:rPr>
          <w:rFonts w:ascii="Times New Roman" w:eastAsia="Times New Roman" w:hAnsi="Times New Roman" w:cs="Times New Roman"/>
          <w:color w:val="222222"/>
          <w:sz w:val="22"/>
          <w:szCs w:val="22"/>
        </w:rPr>
        <w:t>Dzulkifli</w:t>
      </w:r>
      <w:proofErr w:type="spellEnd"/>
      <w:r>
        <w:rPr>
          <w:rFonts w:ascii="Times New Roman" w:eastAsia="Times New Roman" w:hAnsi="Times New Roman" w:cs="Times New Roman"/>
          <w:color w:val="222222"/>
          <w:sz w:val="22"/>
          <w:szCs w:val="22"/>
        </w:rPr>
        <w:t>, M. A. (2015). EEG-</w:t>
      </w:r>
      <w:proofErr w:type="spellStart"/>
      <w:r>
        <w:rPr>
          <w:rFonts w:ascii="Times New Roman" w:eastAsia="Times New Roman" w:hAnsi="Times New Roman" w:cs="Times New Roman"/>
          <w:color w:val="222222"/>
          <w:sz w:val="22"/>
          <w:szCs w:val="22"/>
        </w:rPr>
        <w:t>based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emotion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recognition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while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listening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to</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Quran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recitation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compared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with</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relaxing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music</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using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valence-arousal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model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Proceedings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4th </w:t>
      </w:r>
      <w:proofErr w:type="spellStart"/>
      <w:r>
        <w:rPr>
          <w:rFonts w:ascii="Times New Roman" w:eastAsia="Times New Roman" w:hAnsi="Times New Roman" w:cs="Times New Roman"/>
          <w:color w:val="222222"/>
          <w:sz w:val="22"/>
          <w:szCs w:val="22"/>
        </w:rPr>
        <w:t>International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Conference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Advanced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Computer</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Science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Applications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Technologies</w:t>
      </w:r>
      <w:proofErr w:type="spellEnd"/>
      <w:r>
        <w:rPr>
          <w:rFonts w:ascii="Times New Roman" w:eastAsia="Times New Roman" w:hAnsi="Times New Roman" w:cs="Times New Roman"/>
          <w:color w:val="222222"/>
          <w:sz w:val="22"/>
          <w:szCs w:val="22"/>
        </w:rPr>
        <w:t xml:space="preserve"> (ACSAT), 245–250. https://doi.org/10.1109/ACSAT.2015.10</w:t>
      </w:r>
    </w:p>
    <w:p w14:paraId="213E3689"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Al-Hadidi</w:t>
      </w:r>
      <w:proofErr w:type="spellEnd"/>
      <w:r>
        <w:rPr>
          <w:rFonts w:ascii="Times New Roman" w:eastAsia="Times New Roman" w:hAnsi="Times New Roman" w:cs="Times New Roman"/>
          <w:color w:val="222222"/>
          <w:sz w:val="22"/>
          <w:szCs w:val="22"/>
        </w:rPr>
        <w:t xml:space="preserve">, S., </w:t>
      </w:r>
      <w:proofErr w:type="spellStart"/>
      <w:r>
        <w:rPr>
          <w:rFonts w:ascii="Times New Roman" w:eastAsia="Times New Roman" w:hAnsi="Times New Roman" w:cs="Times New Roman"/>
          <w:color w:val="222222"/>
          <w:sz w:val="22"/>
          <w:szCs w:val="22"/>
        </w:rPr>
        <w:t>Alomari</w:t>
      </w:r>
      <w:proofErr w:type="spellEnd"/>
      <w:r>
        <w:rPr>
          <w:rFonts w:ascii="Times New Roman" w:eastAsia="Times New Roman" w:hAnsi="Times New Roman" w:cs="Times New Roman"/>
          <w:color w:val="222222"/>
          <w:sz w:val="22"/>
          <w:szCs w:val="22"/>
        </w:rPr>
        <w:t xml:space="preserve">, F., &amp; </w:t>
      </w:r>
      <w:proofErr w:type="spellStart"/>
      <w:r>
        <w:rPr>
          <w:rFonts w:ascii="Times New Roman" w:eastAsia="Times New Roman" w:hAnsi="Times New Roman" w:cs="Times New Roman"/>
          <w:color w:val="222222"/>
          <w:sz w:val="22"/>
          <w:szCs w:val="22"/>
        </w:rPr>
        <w:t>Hadidi</w:t>
      </w:r>
      <w:proofErr w:type="spellEnd"/>
      <w:r>
        <w:rPr>
          <w:rFonts w:ascii="Times New Roman" w:eastAsia="Times New Roman" w:hAnsi="Times New Roman" w:cs="Times New Roman"/>
          <w:color w:val="222222"/>
          <w:sz w:val="22"/>
          <w:szCs w:val="22"/>
        </w:rPr>
        <w:t xml:space="preserve">, K. A. (2016). </w:t>
      </w:r>
      <w:proofErr w:type="spellStart"/>
      <w:r>
        <w:rPr>
          <w:rFonts w:ascii="Times New Roman" w:eastAsia="Times New Roman" w:hAnsi="Times New Roman" w:cs="Times New Roman"/>
          <w:color w:val="222222"/>
          <w:sz w:val="22"/>
          <w:szCs w:val="22"/>
        </w:rPr>
        <w:t>Use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complementary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alternative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medicine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among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patients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with</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epilepsy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in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Jordan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Journal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Religion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Health</w:t>
      </w:r>
      <w:proofErr w:type="spellEnd"/>
      <w:r>
        <w:rPr>
          <w:rFonts w:ascii="Times New Roman" w:eastAsia="Times New Roman" w:hAnsi="Times New Roman" w:cs="Times New Roman"/>
          <w:color w:val="222222"/>
          <w:sz w:val="22"/>
          <w:szCs w:val="22"/>
        </w:rPr>
        <w:t>, 55(6), 2045–2053. https://doi.org/10.1007/s10943-016-0241-8</w:t>
      </w:r>
    </w:p>
    <w:p w14:paraId="6ABEDF63"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Fahd</w:t>
      </w:r>
      <w:proofErr w:type="spellEnd"/>
      <w:r>
        <w:rPr>
          <w:rFonts w:ascii="Times New Roman" w:eastAsia="Times New Roman" w:hAnsi="Times New Roman" w:cs="Times New Roman"/>
          <w:color w:val="222222"/>
          <w:sz w:val="22"/>
          <w:szCs w:val="22"/>
        </w:rPr>
        <w:t xml:space="preserve">, S., </w:t>
      </w:r>
      <w:proofErr w:type="spellStart"/>
      <w:r>
        <w:rPr>
          <w:rFonts w:ascii="Times New Roman" w:eastAsia="Times New Roman" w:hAnsi="Times New Roman" w:cs="Times New Roman"/>
          <w:color w:val="222222"/>
          <w:sz w:val="22"/>
          <w:szCs w:val="22"/>
        </w:rPr>
        <w:t>Karim</w:t>
      </w:r>
      <w:proofErr w:type="spellEnd"/>
      <w:r>
        <w:rPr>
          <w:rFonts w:ascii="Times New Roman" w:eastAsia="Times New Roman" w:hAnsi="Times New Roman" w:cs="Times New Roman"/>
          <w:color w:val="222222"/>
          <w:sz w:val="22"/>
          <w:szCs w:val="22"/>
        </w:rPr>
        <w:t xml:space="preserve">, A. A., &amp; </w:t>
      </w:r>
      <w:proofErr w:type="spellStart"/>
      <w:r>
        <w:rPr>
          <w:rFonts w:ascii="Times New Roman" w:eastAsia="Times New Roman" w:hAnsi="Times New Roman" w:cs="Times New Roman"/>
          <w:color w:val="222222"/>
          <w:sz w:val="22"/>
          <w:szCs w:val="22"/>
        </w:rPr>
        <w:t>Rahman</w:t>
      </w:r>
      <w:proofErr w:type="spellEnd"/>
      <w:r>
        <w:rPr>
          <w:rFonts w:ascii="Times New Roman" w:eastAsia="Times New Roman" w:hAnsi="Times New Roman" w:cs="Times New Roman"/>
          <w:color w:val="222222"/>
          <w:sz w:val="22"/>
          <w:szCs w:val="22"/>
        </w:rPr>
        <w:t xml:space="preserve">, A. W. A. (2018). </w:t>
      </w:r>
      <w:proofErr w:type="spellStart"/>
      <w:r>
        <w:rPr>
          <w:rFonts w:ascii="Times New Roman" w:eastAsia="Times New Roman" w:hAnsi="Times New Roman" w:cs="Times New Roman"/>
          <w:color w:val="222222"/>
          <w:sz w:val="22"/>
          <w:szCs w:val="22"/>
        </w:rPr>
        <w:t>Effect</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Quran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recitation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brain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signals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depressed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patients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using</w:t>
      </w:r>
      <w:proofErr w:type="spellEnd"/>
      <w:r>
        <w:rPr>
          <w:rFonts w:ascii="Times New Roman" w:eastAsia="Times New Roman" w:hAnsi="Times New Roman" w:cs="Times New Roman"/>
          <w:color w:val="222222"/>
          <w:sz w:val="22"/>
          <w:szCs w:val="22"/>
        </w:rPr>
        <w:t xml:space="preserve"> EEG. </w:t>
      </w:r>
      <w:proofErr w:type="spellStart"/>
      <w:r>
        <w:rPr>
          <w:rFonts w:ascii="Times New Roman" w:eastAsia="Times New Roman" w:hAnsi="Times New Roman" w:cs="Times New Roman"/>
          <w:color w:val="222222"/>
          <w:sz w:val="22"/>
          <w:szCs w:val="22"/>
        </w:rPr>
        <w:t>International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Journal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Engineering</w:t>
      </w:r>
      <w:proofErr w:type="spellEnd"/>
      <w:r>
        <w:rPr>
          <w:rFonts w:ascii="Times New Roman" w:eastAsia="Times New Roman" w:hAnsi="Times New Roman" w:cs="Times New Roman"/>
          <w:color w:val="222222"/>
          <w:sz w:val="22"/>
          <w:szCs w:val="22"/>
        </w:rPr>
        <w:t xml:space="preserve"> &amp; </w:t>
      </w:r>
      <w:proofErr w:type="spellStart"/>
      <w:r>
        <w:rPr>
          <w:rFonts w:ascii="Times New Roman" w:eastAsia="Times New Roman" w:hAnsi="Times New Roman" w:cs="Times New Roman"/>
          <w:color w:val="222222"/>
          <w:sz w:val="22"/>
          <w:szCs w:val="22"/>
        </w:rPr>
        <w:t>Technology</w:t>
      </w:r>
      <w:proofErr w:type="spellEnd"/>
      <w:r>
        <w:rPr>
          <w:rFonts w:ascii="Times New Roman" w:eastAsia="Times New Roman" w:hAnsi="Times New Roman" w:cs="Times New Roman"/>
          <w:color w:val="222222"/>
          <w:sz w:val="22"/>
          <w:szCs w:val="22"/>
        </w:rPr>
        <w:t>, 7(4.11), 241–245.</w:t>
      </w:r>
    </w:p>
    <w:p w14:paraId="378CCCF4"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Ghazali</w:t>
      </w:r>
      <w:proofErr w:type="spellEnd"/>
      <w:r>
        <w:rPr>
          <w:rFonts w:ascii="Times New Roman" w:eastAsia="Times New Roman" w:hAnsi="Times New Roman" w:cs="Times New Roman"/>
          <w:color w:val="222222"/>
          <w:sz w:val="22"/>
          <w:szCs w:val="22"/>
        </w:rPr>
        <w:t xml:space="preserve">, M. A., </w:t>
      </w:r>
      <w:proofErr w:type="spellStart"/>
      <w:r>
        <w:rPr>
          <w:rFonts w:ascii="Times New Roman" w:eastAsia="Times New Roman" w:hAnsi="Times New Roman" w:cs="Times New Roman"/>
          <w:color w:val="222222"/>
          <w:sz w:val="22"/>
          <w:szCs w:val="22"/>
        </w:rPr>
        <w:t>Jalil</w:t>
      </w:r>
      <w:proofErr w:type="spellEnd"/>
      <w:r>
        <w:rPr>
          <w:rFonts w:ascii="Times New Roman" w:eastAsia="Times New Roman" w:hAnsi="Times New Roman" w:cs="Times New Roman"/>
          <w:color w:val="222222"/>
          <w:sz w:val="22"/>
          <w:szCs w:val="22"/>
        </w:rPr>
        <w:t xml:space="preserve">, S. Z. A., &amp; </w:t>
      </w:r>
      <w:proofErr w:type="spellStart"/>
      <w:r>
        <w:rPr>
          <w:rFonts w:ascii="Times New Roman" w:eastAsia="Times New Roman" w:hAnsi="Times New Roman" w:cs="Times New Roman"/>
          <w:color w:val="222222"/>
          <w:sz w:val="22"/>
          <w:szCs w:val="22"/>
        </w:rPr>
        <w:t>Zainuddin</w:t>
      </w:r>
      <w:proofErr w:type="spellEnd"/>
      <w:r>
        <w:rPr>
          <w:rFonts w:ascii="Times New Roman" w:eastAsia="Times New Roman" w:hAnsi="Times New Roman" w:cs="Times New Roman"/>
          <w:color w:val="222222"/>
          <w:sz w:val="22"/>
          <w:szCs w:val="22"/>
        </w:rPr>
        <w:t xml:space="preserve">, Z. S. (2017, </w:t>
      </w:r>
      <w:proofErr w:type="spellStart"/>
      <w:r>
        <w:rPr>
          <w:rFonts w:ascii="Times New Roman" w:eastAsia="Times New Roman" w:hAnsi="Times New Roman" w:cs="Times New Roman"/>
          <w:color w:val="222222"/>
          <w:sz w:val="22"/>
          <w:szCs w:val="22"/>
        </w:rPr>
        <w:t>June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effect</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Quranic</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listening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pre-sleep</w:t>
      </w:r>
      <w:proofErr w:type="spellEnd"/>
      <w:r>
        <w:rPr>
          <w:rFonts w:ascii="Times New Roman" w:eastAsia="Times New Roman" w:hAnsi="Times New Roman" w:cs="Times New Roman"/>
          <w:color w:val="222222"/>
          <w:sz w:val="22"/>
          <w:szCs w:val="22"/>
        </w:rPr>
        <w:t xml:space="preserve"> EEG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sleep</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onset</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latency</w:t>
      </w:r>
      <w:proofErr w:type="spellEnd"/>
      <w:r>
        <w:rPr>
          <w:rFonts w:ascii="Times New Roman" w:eastAsia="Times New Roman" w:hAnsi="Times New Roman" w:cs="Times New Roman"/>
          <w:color w:val="222222"/>
          <w:sz w:val="22"/>
          <w:szCs w:val="22"/>
        </w:rPr>
        <w:t xml:space="preserve">: A </w:t>
      </w:r>
      <w:proofErr w:type="spellStart"/>
      <w:r>
        <w:rPr>
          <w:rFonts w:ascii="Times New Roman" w:eastAsia="Times New Roman" w:hAnsi="Times New Roman" w:cs="Times New Roman"/>
          <w:color w:val="222222"/>
          <w:sz w:val="22"/>
          <w:szCs w:val="22"/>
        </w:rPr>
        <w:t>pilot</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study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Conference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abstract</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Sleep</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Medicine</w:t>
      </w:r>
      <w:proofErr w:type="spellEnd"/>
      <w:r>
        <w:rPr>
          <w:rFonts w:ascii="Times New Roman" w:eastAsia="Times New Roman" w:hAnsi="Times New Roman" w:cs="Times New Roman"/>
          <w:color w:val="222222"/>
          <w:sz w:val="22"/>
          <w:szCs w:val="22"/>
        </w:rPr>
        <w:t>, 40(</w:t>
      </w:r>
      <w:proofErr w:type="spellStart"/>
      <w:r>
        <w:rPr>
          <w:rFonts w:ascii="Times New Roman" w:eastAsia="Times New Roman" w:hAnsi="Times New Roman" w:cs="Times New Roman"/>
          <w:color w:val="222222"/>
          <w:sz w:val="22"/>
          <w:szCs w:val="22"/>
        </w:rPr>
        <w:t>Suppl</w:t>
      </w:r>
      <w:proofErr w:type="spellEnd"/>
      <w:r>
        <w:rPr>
          <w:rFonts w:ascii="Times New Roman" w:eastAsia="Times New Roman" w:hAnsi="Times New Roman" w:cs="Times New Roman"/>
          <w:color w:val="222222"/>
          <w:sz w:val="22"/>
          <w:szCs w:val="22"/>
        </w:rPr>
        <w:t>. 1), e112.</w:t>
      </w:r>
    </w:p>
    <w:p w14:paraId="2F9F8D60"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Jalil</w:t>
      </w:r>
      <w:proofErr w:type="spellEnd"/>
      <w:r>
        <w:rPr>
          <w:rFonts w:ascii="Times New Roman" w:eastAsia="Times New Roman" w:hAnsi="Times New Roman" w:cs="Times New Roman"/>
          <w:color w:val="222222"/>
          <w:sz w:val="22"/>
          <w:szCs w:val="22"/>
        </w:rPr>
        <w:t xml:space="preserve">, S. Z. A., </w:t>
      </w:r>
      <w:proofErr w:type="spellStart"/>
      <w:r>
        <w:rPr>
          <w:rFonts w:ascii="Times New Roman" w:eastAsia="Times New Roman" w:hAnsi="Times New Roman" w:cs="Times New Roman"/>
          <w:color w:val="222222"/>
          <w:sz w:val="22"/>
          <w:szCs w:val="22"/>
        </w:rPr>
        <w:t>Ghazali</w:t>
      </w:r>
      <w:proofErr w:type="spellEnd"/>
      <w:r>
        <w:rPr>
          <w:rFonts w:ascii="Times New Roman" w:eastAsia="Times New Roman" w:hAnsi="Times New Roman" w:cs="Times New Roman"/>
          <w:color w:val="222222"/>
          <w:sz w:val="22"/>
          <w:szCs w:val="22"/>
        </w:rPr>
        <w:t xml:space="preserve">, M. A., </w:t>
      </w:r>
      <w:proofErr w:type="spellStart"/>
      <w:r>
        <w:rPr>
          <w:rFonts w:ascii="Times New Roman" w:eastAsia="Times New Roman" w:hAnsi="Times New Roman" w:cs="Times New Roman"/>
          <w:color w:val="222222"/>
          <w:sz w:val="22"/>
          <w:szCs w:val="22"/>
        </w:rPr>
        <w:t>Ibrahim</w:t>
      </w:r>
      <w:proofErr w:type="spellEnd"/>
      <w:r>
        <w:rPr>
          <w:rFonts w:ascii="Times New Roman" w:eastAsia="Times New Roman" w:hAnsi="Times New Roman" w:cs="Times New Roman"/>
          <w:color w:val="222222"/>
          <w:sz w:val="22"/>
          <w:szCs w:val="22"/>
        </w:rPr>
        <w:t xml:space="preserve">, N., &amp; </w:t>
      </w:r>
      <w:proofErr w:type="spellStart"/>
      <w:r>
        <w:rPr>
          <w:rFonts w:ascii="Times New Roman" w:eastAsia="Times New Roman" w:hAnsi="Times New Roman" w:cs="Times New Roman"/>
          <w:color w:val="222222"/>
          <w:sz w:val="22"/>
          <w:szCs w:val="22"/>
        </w:rPr>
        <w:t>Zainuddin</w:t>
      </w:r>
      <w:proofErr w:type="spellEnd"/>
      <w:r>
        <w:rPr>
          <w:rFonts w:ascii="Times New Roman" w:eastAsia="Times New Roman" w:hAnsi="Times New Roman" w:cs="Times New Roman"/>
          <w:color w:val="222222"/>
          <w:sz w:val="22"/>
          <w:szCs w:val="22"/>
        </w:rPr>
        <w:t xml:space="preserve">, Z. S. (2016). </w:t>
      </w:r>
      <w:proofErr w:type="spellStart"/>
      <w:r>
        <w:rPr>
          <w:rFonts w:ascii="Times New Roman" w:eastAsia="Times New Roman" w:hAnsi="Times New Roman" w:cs="Times New Roman"/>
          <w:color w:val="222222"/>
          <w:sz w:val="22"/>
          <w:szCs w:val="22"/>
        </w:rPr>
        <w:t>Brainwave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signatures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Quranic</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listening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w:t>
      </w:r>
      <w:proofErr w:type="spellEnd"/>
      <w:r>
        <w:rPr>
          <w:rFonts w:ascii="Times New Roman" w:eastAsia="Times New Roman" w:hAnsi="Times New Roman" w:cs="Times New Roman"/>
          <w:color w:val="222222"/>
          <w:sz w:val="22"/>
          <w:szCs w:val="22"/>
        </w:rPr>
        <w:t xml:space="preserve"> EEG </w:t>
      </w:r>
      <w:proofErr w:type="spellStart"/>
      <w:r>
        <w:rPr>
          <w:rFonts w:ascii="Times New Roman" w:eastAsia="Times New Roman" w:hAnsi="Times New Roman" w:cs="Times New Roman"/>
          <w:color w:val="222222"/>
          <w:sz w:val="22"/>
          <w:szCs w:val="22"/>
        </w:rPr>
        <w:t>study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Advanced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Science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Letters</w:t>
      </w:r>
      <w:proofErr w:type="spellEnd"/>
      <w:r>
        <w:rPr>
          <w:rFonts w:ascii="Times New Roman" w:eastAsia="Times New Roman" w:hAnsi="Times New Roman" w:cs="Times New Roman"/>
          <w:color w:val="222222"/>
          <w:sz w:val="22"/>
          <w:szCs w:val="22"/>
        </w:rPr>
        <w:t>, 22(10), 3081–3085. https://doi.org/10.1166/asl.2016.7123</w:t>
      </w:r>
    </w:p>
    <w:p w14:paraId="16FF6276"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Julianto</w:t>
      </w:r>
      <w:proofErr w:type="spellEnd"/>
      <w:r>
        <w:rPr>
          <w:rFonts w:ascii="Times New Roman" w:eastAsia="Times New Roman" w:hAnsi="Times New Roman" w:cs="Times New Roman"/>
          <w:color w:val="222222"/>
          <w:sz w:val="22"/>
          <w:szCs w:val="22"/>
        </w:rPr>
        <w:t xml:space="preserve">, V., &amp; </w:t>
      </w:r>
      <w:proofErr w:type="spellStart"/>
      <w:r>
        <w:rPr>
          <w:rFonts w:ascii="Times New Roman" w:eastAsia="Times New Roman" w:hAnsi="Times New Roman" w:cs="Times New Roman"/>
          <w:color w:val="222222"/>
          <w:sz w:val="22"/>
          <w:szCs w:val="22"/>
        </w:rPr>
        <w:t>Etsem</w:t>
      </w:r>
      <w:proofErr w:type="spellEnd"/>
      <w:r>
        <w:rPr>
          <w:rFonts w:ascii="Times New Roman" w:eastAsia="Times New Roman" w:hAnsi="Times New Roman" w:cs="Times New Roman"/>
          <w:color w:val="222222"/>
          <w:sz w:val="22"/>
          <w:szCs w:val="22"/>
        </w:rPr>
        <w:t xml:space="preserve">, M. B. (2011).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effect</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reciting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holy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Quran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short-term</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memory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relative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power</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brainwaves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w:t>
      </w:r>
      <w:proofErr w:type="spellEnd"/>
      <w:r>
        <w:rPr>
          <w:rFonts w:ascii="Times New Roman" w:eastAsia="Times New Roman" w:hAnsi="Times New Roman" w:cs="Times New Roman"/>
          <w:color w:val="222222"/>
          <w:sz w:val="22"/>
          <w:szCs w:val="22"/>
        </w:rPr>
        <w:t xml:space="preserve"> EEG </w:t>
      </w:r>
      <w:proofErr w:type="spellStart"/>
      <w:r>
        <w:rPr>
          <w:rFonts w:ascii="Times New Roman" w:eastAsia="Times New Roman" w:hAnsi="Times New Roman" w:cs="Times New Roman"/>
          <w:color w:val="222222"/>
          <w:sz w:val="22"/>
          <w:szCs w:val="22"/>
        </w:rPr>
        <w:t>study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Journal</w:t>
      </w:r>
      <w:proofErr w:type="spellEnd"/>
      <w:r>
        <w:rPr>
          <w:rFonts w:ascii="Times New Roman" w:eastAsia="Times New Roman" w:hAnsi="Times New Roman" w:cs="Times New Roman"/>
          <w:color w:val="222222"/>
          <w:sz w:val="22"/>
          <w:szCs w:val="22"/>
        </w:rPr>
        <w:t xml:space="preserve"> of </w:t>
      </w:r>
      <w:proofErr w:type="spellStart"/>
      <w:r>
        <w:rPr>
          <w:rFonts w:ascii="Times New Roman" w:eastAsia="Times New Roman" w:hAnsi="Times New Roman" w:cs="Times New Roman"/>
          <w:color w:val="222222"/>
          <w:sz w:val="22"/>
          <w:szCs w:val="22"/>
        </w:rPr>
        <w:t>Psychology</w:t>
      </w:r>
      <w:proofErr w:type="spellEnd"/>
      <w:r>
        <w:rPr>
          <w:rFonts w:ascii="Times New Roman" w:eastAsia="Times New Roman" w:hAnsi="Times New Roman" w:cs="Times New Roman"/>
          <w:color w:val="222222"/>
          <w:sz w:val="22"/>
          <w:szCs w:val="22"/>
        </w:rPr>
        <w:t>, 38(1), 17–29.</w:t>
      </w:r>
    </w:p>
    <w:p w14:paraId="5E710063"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Kannan</w:t>
      </w:r>
      <w:proofErr w:type="spellEnd"/>
      <w:r>
        <w:rPr>
          <w:rFonts w:ascii="Times New Roman" w:eastAsia="Times New Roman" w:hAnsi="Times New Roman" w:cs="Times New Roman"/>
          <w:color w:val="222222"/>
          <w:sz w:val="22"/>
          <w:szCs w:val="22"/>
        </w:rPr>
        <w:t xml:space="preserve">, M. A., </w:t>
      </w:r>
      <w:proofErr w:type="spellStart"/>
      <w:r>
        <w:rPr>
          <w:rFonts w:ascii="Times New Roman" w:eastAsia="Times New Roman" w:hAnsi="Times New Roman" w:cs="Times New Roman"/>
          <w:color w:val="222222"/>
          <w:sz w:val="22"/>
          <w:szCs w:val="22"/>
        </w:rPr>
        <w:t>Ab</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Aziz</w:t>
      </w:r>
      <w:proofErr w:type="spellEnd"/>
      <w:r>
        <w:rPr>
          <w:rFonts w:ascii="Times New Roman" w:eastAsia="Times New Roman" w:hAnsi="Times New Roman" w:cs="Times New Roman"/>
          <w:color w:val="222222"/>
          <w:sz w:val="22"/>
          <w:szCs w:val="22"/>
        </w:rPr>
        <w:t xml:space="preserve">, N. A., </w:t>
      </w:r>
      <w:proofErr w:type="spellStart"/>
      <w:r>
        <w:rPr>
          <w:rFonts w:ascii="Times New Roman" w:eastAsia="Times New Roman" w:hAnsi="Times New Roman" w:cs="Times New Roman"/>
          <w:color w:val="222222"/>
          <w:sz w:val="22"/>
          <w:szCs w:val="22"/>
        </w:rPr>
        <w:t>Ab</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Rani</w:t>
      </w:r>
      <w:proofErr w:type="spellEnd"/>
      <w:r>
        <w:rPr>
          <w:rFonts w:ascii="Times New Roman" w:eastAsia="Times New Roman" w:hAnsi="Times New Roman" w:cs="Times New Roman"/>
          <w:color w:val="222222"/>
          <w:sz w:val="22"/>
          <w:szCs w:val="22"/>
        </w:rPr>
        <w:t xml:space="preserve">, N. S., </w:t>
      </w:r>
      <w:proofErr w:type="spellStart"/>
      <w:r>
        <w:rPr>
          <w:rFonts w:ascii="Times New Roman" w:eastAsia="Times New Roman" w:hAnsi="Times New Roman" w:cs="Times New Roman"/>
          <w:color w:val="222222"/>
          <w:sz w:val="22"/>
          <w:szCs w:val="22"/>
        </w:rPr>
        <w:t>Abdullah</w:t>
      </w:r>
      <w:proofErr w:type="spellEnd"/>
      <w:r>
        <w:rPr>
          <w:rFonts w:ascii="Times New Roman" w:eastAsia="Times New Roman" w:hAnsi="Times New Roman" w:cs="Times New Roman"/>
          <w:color w:val="222222"/>
          <w:sz w:val="22"/>
          <w:szCs w:val="22"/>
        </w:rPr>
        <w:t xml:space="preserve">, M. W., </w:t>
      </w:r>
      <w:proofErr w:type="spellStart"/>
      <w:r>
        <w:rPr>
          <w:rFonts w:ascii="Times New Roman" w:eastAsia="Times New Roman" w:hAnsi="Times New Roman" w:cs="Times New Roman"/>
          <w:color w:val="222222"/>
          <w:sz w:val="22"/>
          <w:szCs w:val="22"/>
        </w:rPr>
        <w:t>Mohd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Rashid</w:t>
      </w:r>
      <w:proofErr w:type="spellEnd"/>
      <w:r>
        <w:rPr>
          <w:rFonts w:ascii="Times New Roman" w:eastAsia="Times New Roman" w:hAnsi="Times New Roman" w:cs="Times New Roman"/>
          <w:color w:val="222222"/>
          <w:sz w:val="22"/>
          <w:szCs w:val="22"/>
        </w:rPr>
        <w:t xml:space="preserve">, M. H., </w:t>
      </w:r>
      <w:proofErr w:type="spellStart"/>
      <w:r>
        <w:rPr>
          <w:rFonts w:ascii="Times New Roman" w:eastAsia="Times New Roman" w:hAnsi="Times New Roman" w:cs="Times New Roman"/>
          <w:color w:val="222222"/>
          <w:sz w:val="22"/>
          <w:szCs w:val="22"/>
        </w:rPr>
        <w:t>Shab</w:t>
      </w:r>
      <w:proofErr w:type="spellEnd"/>
      <w:r>
        <w:rPr>
          <w:rFonts w:ascii="Times New Roman" w:eastAsia="Times New Roman" w:hAnsi="Times New Roman" w:cs="Times New Roman"/>
          <w:color w:val="222222"/>
          <w:sz w:val="22"/>
          <w:szCs w:val="22"/>
        </w:rPr>
        <w:t xml:space="preserve">, M. S., </w:t>
      </w:r>
      <w:proofErr w:type="spellStart"/>
      <w:r>
        <w:rPr>
          <w:rFonts w:ascii="Times New Roman" w:eastAsia="Times New Roman" w:hAnsi="Times New Roman" w:cs="Times New Roman"/>
          <w:color w:val="222222"/>
          <w:sz w:val="22"/>
          <w:szCs w:val="22"/>
        </w:rPr>
        <w:t>Ismail</w:t>
      </w:r>
      <w:proofErr w:type="spellEnd"/>
      <w:r>
        <w:rPr>
          <w:rFonts w:ascii="Times New Roman" w:eastAsia="Times New Roman" w:hAnsi="Times New Roman" w:cs="Times New Roman"/>
          <w:color w:val="222222"/>
          <w:sz w:val="22"/>
          <w:szCs w:val="22"/>
        </w:rPr>
        <w:t xml:space="preserve">, N. I., </w:t>
      </w:r>
      <w:proofErr w:type="spellStart"/>
      <w:r>
        <w:rPr>
          <w:rFonts w:ascii="Times New Roman" w:eastAsia="Times New Roman" w:hAnsi="Times New Roman" w:cs="Times New Roman"/>
          <w:color w:val="222222"/>
          <w:sz w:val="22"/>
          <w:szCs w:val="22"/>
        </w:rPr>
        <w:t>Ab</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Ghani</w:t>
      </w:r>
      <w:proofErr w:type="spellEnd"/>
      <w:r>
        <w:rPr>
          <w:rFonts w:ascii="Times New Roman" w:eastAsia="Times New Roman" w:hAnsi="Times New Roman" w:cs="Times New Roman"/>
          <w:color w:val="222222"/>
          <w:sz w:val="22"/>
          <w:szCs w:val="22"/>
        </w:rPr>
        <w:t xml:space="preserve">, M. A., </w:t>
      </w:r>
      <w:proofErr w:type="spellStart"/>
      <w:r>
        <w:rPr>
          <w:rFonts w:ascii="Times New Roman" w:eastAsia="Times New Roman" w:hAnsi="Times New Roman" w:cs="Times New Roman"/>
          <w:color w:val="222222"/>
          <w:sz w:val="22"/>
          <w:szCs w:val="22"/>
        </w:rPr>
        <w:t>Reza</w:t>
      </w:r>
      <w:proofErr w:type="spellEnd"/>
      <w:r>
        <w:rPr>
          <w:rFonts w:ascii="Times New Roman" w:eastAsia="Times New Roman" w:hAnsi="Times New Roman" w:cs="Times New Roman"/>
          <w:color w:val="222222"/>
          <w:sz w:val="22"/>
          <w:szCs w:val="22"/>
        </w:rPr>
        <w:t xml:space="preserve">, F., &amp; </w:t>
      </w:r>
      <w:proofErr w:type="spellStart"/>
      <w:r>
        <w:rPr>
          <w:rFonts w:ascii="Times New Roman" w:eastAsia="Times New Roman" w:hAnsi="Times New Roman" w:cs="Times New Roman"/>
          <w:color w:val="222222"/>
          <w:sz w:val="22"/>
          <w:szCs w:val="22"/>
        </w:rPr>
        <w:t>Muzaimi</w:t>
      </w:r>
      <w:proofErr w:type="spellEnd"/>
      <w:r>
        <w:rPr>
          <w:rFonts w:ascii="Times New Roman" w:eastAsia="Times New Roman" w:hAnsi="Times New Roman" w:cs="Times New Roman"/>
          <w:color w:val="222222"/>
          <w:sz w:val="22"/>
          <w:szCs w:val="22"/>
        </w:rPr>
        <w:t xml:space="preserve">, M. (2022). A </w:t>
      </w:r>
      <w:proofErr w:type="spellStart"/>
      <w:r>
        <w:rPr>
          <w:rFonts w:ascii="Times New Roman" w:eastAsia="Times New Roman" w:hAnsi="Times New Roman" w:cs="Times New Roman"/>
          <w:color w:val="222222"/>
          <w:sz w:val="22"/>
          <w:szCs w:val="22"/>
        </w:rPr>
        <w:t>review</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holy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Quran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listening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its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neural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correlation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for</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its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potential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as</w:t>
      </w:r>
      <w:proofErr w:type="spellEnd"/>
      <w:r>
        <w:rPr>
          <w:rFonts w:ascii="Times New Roman" w:eastAsia="Times New Roman" w:hAnsi="Times New Roman" w:cs="Times New Roman"/>
          <w:color w:val="222222"/>
          <w:sz w:val="22"/>
          <w:szCs w:val="22"/>
        </w:rPr>
        <w:t xml:space="preserve"> a </w:t>
      </w:r>
      <w:proofErr w:type="spellStart"/>
      <w:r>
        <w:rPr>
          <w:rFonts w:ascii="Times New Roman" w:eastAsia="Times New Roman" w:hAnsi="Times New Roman" w:cs="Times New Roman"/>
          <w:color w:val="222222"/>
          <w:sz w:val="22"/>
          <w:szCs w:val="22"/>
        </w:rPr>
        <w:t>psycho-spiritual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therapy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Heliyon</w:t>
      </w:r>
      <w:proofErr w:type="spellEnd"/>
      <w:r>
        <w:rPr>
          <w:rFonts w:ascii="Times New Roman" w:eastAsia="Times New Roman" w:hAnsi="Times New Roman" w:cs="Times New Roman"/>
          <w:color w:val="222222"/>
          <w:sz w:val="22"/>
          <w:szCs w:val="22"/>
        </w:rPr>
        <w:t>, 8(12), e12308. https://doi.org/10.1016/j.heliyon.2022.e12308</w:t>
      </w:r>
    </w:p>
    <w:p w14:paraId="3028C6A9"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Mohd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Nasir</w:t>
      </w:r>
      <w:proofErr w:type="spellEnd"/>
      <w:r>
        <w:rPr>
          <w:rFonts w:ascii="Times New Roman" w:eastAsia="Times New Roman" w:hAnsi="Times New Roman" w:cs="Times New Roman"/>
          <w:color w:val="222222"/>
          <w:sz w:val="22"/>
          <w:szCs w:val="22"/>
        </w:rPr>
        <w:t xml:space="preserve">, N. F., &amp; </w:t>
      </w:r>
      <w:proofErr w:type="spellStart"/>
      <w:r>
        <w:rPr>
          <w:rFonts w:ascii="Times New Roman" w:eastAsia="Times New Roman" w:hAnsi="Times New Roman" w:cs="Times New Roman"/>
          <w:color w:val="222222"/>
          <w:sz w:val="22"/>
          <w:szCs w:val="22"/>
        </w:rPr>
        <w:t>Wan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Mahmud</w:t>
      </w:r>
      <w:proofErr w:type="spellEnd"/>
      <w:r>
        <w:rPr>
          <w:rFonts w:ascii="Times New Roman" w:eastAsia="Times New Roman" w:hAnsi="Times New Roman" w:cs="Times New Roman"/>
          <w:color w:val="222222"/>
          <w:sz w:val="22"/>
          <w:szCs w:val="22"/>
        </w:rPr>
        <w:t xml:space="preserve">, W. M. R. (2015). </w:t>
      </w:r>
      <w:proofErr w:type="spellStart"/>
      <w:r>
        <w:rPr>
          <w:rFonts w:ascii="Times New Roman" w:eastAsia="Times New Roman" w:hAnsi="Times New Roman" w:cs="Times New Roman"/>
          <w:color w:val="222222"/>
          <w:sz w:val="22"/>
          <w:szCs w:val="22"/>
        </w:rPr>
        <w:t>Comparative</w:t>
      </w:r>
      <w:proofErr w:type="spellEnd"/>
      <w:r>
        <w:rPr>
          <w:rFonts w:ascii="Times New Roman" w:eastAsia="Times New Roman" w:hAnsi="Times New Roman" w:cs="Times New Roman"/>
          <w:color w:val="222222"/>
          <w:sz w:val="22"/>
          <w:szCs w:val="22"/>
        </w:rPr>
        <w:t xml:space="preserve"> EEG </w:t>
      </w:r>
      <w:proofErr w:type="spellStart"/>
      <w:r>
        <w:rPr>
          <w:rFonts w:ascii="Times New Roman" w:eastAsia="Times New Roman" w:hAnsi="Times New Roman" w:cs="Times New Roman"/>
          <w:color w:val="222222"/>
          <w:sz w:val="22"/>
          <w:szCs w:val="22"/>
        </w:rPr>
        <w:t>analysis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Quran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recitation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various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music</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genres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attention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Proceedings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International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Conference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Biomedical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Engineering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Kuala</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Lumpur</w:t>
      </w:r>
      <w:proofErr w:type="spellEnd"/>
      <w:r>
        <w:rPr>
          <w:rFonts w:ascii="Times New Roman" w:eastAsia="Times New Roman" w:hAnsi="Times New Roman" w:cs="Times New Roman"/>
          <w:color w:val="222222"/>
          <w:sz w:val="22"/>
          <w:szCs w:val="22"/>
        </w:rPr>
        <w:t>.</w:t>
      </w:r>
    </w:p>
    <w:p w14:paraId="2759FC11"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Newberg</w:t>
      </w:r>
      <w:proofErr w:type="spellEnd"/>
      <w:r>
        <w:rPr>
          <w:rFonts w:ascii="Times New Roman" w:eastAsia="Times New Roman" w:hAnsi="Times New Roman" w:cs="Times New Roman"/>
          <w:color w:val="222222"/>
          <w:sz w:val="22"/>
          <w:szCs w:val="22"/>
        </w:rPr>
        <w:t xml:space="preserve">, A., &amp; </w:t>
      </w:r>
      <w:proofErr w:type="spellStart"/>
      <w:r>
        <w:rPr>
          <w:rFonts w:ascii="Times New Roman" w:eastAsia="Times New Roman" w:hAnsi="Times New Roman" w:cs="Times New Roman"/>
          <w:color w:val="222222"/>
          <w:sz w:val="22"/>
          <w:szCs w:val="22"/>
        </w:rPr>
        <w:t>Iversen</w:t>
      </w:r>
      <w:proofErr w:type="spellEnd"/>
      <w:r>
        <w:rPr>
          <w:rFonts w:ascii="Times New Roman" w:eastAsia="Times New Roman" w:hAnsi="Times New Roman" w:cs="Times New Roman"/>
          <w:color w:val="222222"/>
          <w:sz w:val="22"/>
          <w:szCs w:val="22"/>
        </w:rPr>
        <w:t xml:space="preserve">, J. (2003).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neural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basis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complex</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mental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task</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meditation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Neurotransmitter</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neurochemical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considerations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Medical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Hypotheses</w:t>
      </w:r>
      <w:proofErr w:type="spellEnd"/>
      <w:r>
        <w:rPr>
          <w:rFonts w:ascii="Times New Roman" w:eastAsia="Times New Roman" w:hAnsi="Times New Roman" w:cs="Times New Roman"/>
          <w:color w:val="222222"/>
          <w:sz w:val="22"/>
          <w:szCs w:val="22"/>
        </w:rPr>
        <w:t>, 61(2), 282–291. https://doi.org/10.1016/S0306-9877(03)00175-0</w:t>
      </w:r>
    </w:p>
    <w:p w14:paraId="4227D445"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Rafique</w:t>
      </w:r>
      <w:proofErr w:type="spellEnd"/>
      <w:r>
        <w:rPr>
          <w:rFonts w:ascii="Times New Roman" w:eastAsia="Times New Roman" w:hAnsi="Times New Roman" w:cs="Times New Roman"/>
          <w:color w:val="222222"/>
          <w:sz w:val="22"/>
          <w:szCs w:val="22"/>
        </w:rPr>
        <w:t xml:space="preserve">, R., </w:t>
      </w:r>
      <w:proofErr w:type="spellStart"/>
      <w:r>
        <w:rPr>
          <w:rFonts w:ascii="Times New Roman" w:eastAsia="Times New Roman" w:hAnsi="Times New Roman" w:cs="Times New Roman"/>
          <w:color w:val="222222"/>
          <w:sz w:val="22"/>
          <w:szCs w:val="22"/>
        </w:rPr>
        <w:t>Anjum</w:t>
      </w:r>
      <w:proofErr w:type="spellEnd"/>
      <w:r>
        <w:rPr>
          <w:rFonts w:ascii="Times New Roman" w:eastAsia="Times New Roman" w:hAnsi="Times New Roman" w:cs="Times New Roman"/>
          <w:color w:val="222222"/>
          <w:sz w:val="22"/>
          <w:szCs w:val="22"/>
        </w:rPr>
        <w:t xml:space="preserve">, A., &amp; </w:t>
      </w:r>
      <w:proofErr w:type="spellStart"/>
      <w:r>
        <w:rPr>
          <w:rFonts w:ascii="Times New Roman" w:eastAsia="Times New Roman" w:hAnsi="Times New Roman" w:cs="Times New Roman"/>
          <w:color w:val="222222"/>
          <w:sz w:val="22"/>
          <w:szCs w:val="22"/>
        </w:rPr>
        <w:t>Raheem</w:t>
      </w:r>
      <w:proofErr w:type="spellEnd"/>
      <w:r>
        <w:rPr>
          <w:rFonts w:ascii="Times New Roman" w:eastAsia="Times New Roman" w:hAnsi="Times New Roman" w:cs="Times New Roman"/>
          <w:color w:val="222222"/>
          <w:sz w:val="22"/>
          <w:szCs w:val="22"/>
        </w:rPr>
        <w:t xml:space="preserve">, S. S. (2019). </w:t>
      </w:r>
      <w:proofErr w:type="spellStart"/>
      <w:r>
        <w:rPr>
          <w:rFonts w:ascii="Times New Roman" w:eastAsia="Times New Roman" w:hAnsi="Times New Roman" w:cs="Times New Roman"/>
          <w:color w:val="222222"/>
          <w:sz w:val="22"/>
          <w:szCs w:val="22"/>
        </w:rPr>
        <w:t>Efficacy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Surah</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Al-Rehman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in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managing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depression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in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Muslim</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women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Journal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Religion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Health</w:t>
      </w:r>
      <w:proofErr w:type="spellEnd"/>
      <w:r>
        <w:rPr>
          <w:rFonts w:ascii="Times New Roman" w:eastAsia="Times New Roman" w:hAnsi="Times New Roman" w:cs="Times New Roman"/>
          <w:color w:val="222222"/>
          <w:sz w:val="22"/>
          <w:szCs w:val="22"/>
        </w:rPr>
        <w:t>, 58(2), 516–526. https://doi.org/10.1007/s10943-017-0492-z</w:t>
      </w:r>
    </w:p>
    <w:p w14:paraId="0D072879"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Salleh</w:t>
      </w:r>
      <w:proofErr w:type="spellEnd"/>
      <w:r>
        <w:rPr>
          <w:rFonts w:ascii="Times New Roman" w:eastAsia="Times New Roman" w:hAnsi="Times New Roman" w:cs="Times New Roman"/>
          <w:color w:val="222222"/>
          <w:sz w:val="22"/>
          <w:szCs w:val="22"/>
        </w:rPr>
        <w:t xml:space="preserve">, N. A., </w:t>
      </w:r>
      <w:proofErr w:type="spellStart"/>
      <w:r>
        <w:rPr>
          <w:rFonts w:ascii="Times New Roman" w:eastAsia="Times New Roman" w:hAnsi="Times New Roman" w:cs="Times New Roman"/>
          <w:color w:val="222222"/>
          <w:sz w:val="22"/>
          <w:szCs w:val="22"/>
        </w:rPr>
        <w:t>Lim</w:t>
      </w:r>
      <w:proofErr w:type="spellEnd"/>
      <w:r>
        <w:rPr>
          <w:rFonts w:ascii="Times New Roman" w:eastAsia="Times New Roman" w:hAnsi="Times New Roman" w:cs="Times New Roman"/>
          <w:color w:val="222222"/>
          <w:sz w:val="22"/>
          <w:szCs w:val="22"/>
        </w:rPr>
        <w:t xml:space="preserve">, K. S., &amp; </w:t>
      </w:r>
      <w:proofErr w:type="spellStart"/>
      <w:r>
        <w:rPr>
          <w:rFonts w:ascii="Times New Roman" w:eastAsia="Times New Roman" w:hAnsi="Times New Roman" w:cs="Times New Roman"/>
          <w:color w:val="222222"/>
          <w:sz w:val="22"/>
          <w:szCs w:val="22"/>
        </w:rPr>
        <w:t>Ibrahim</w:t>
      </w:r>
      <w:proofErr w:type="spellEnd"/>
      <w:r>
        <w:rPr>
          <w:rFonts w:ascii="Times New Roman" w:eastAsia="Times New Roman" w:hAnsi="Times New Roman" w:cs="Times New Roman"/>
          <w:color w:val="222222"/>
          <w:sz w:val="22"/>
          <w:szCs w:val="22"/>
        </w:rPr>
        <w:t xml:space="preserve">, F. (2009). AR </w:t>
      </w:r>
      <w:proofErr w:type="spellStart"/>
      <w:r>
        <w:rPr>
          <w:rFonts w:ascii="Times New Roman" w:eastAsia="Times New Roman" w:hAnsi="Times New Roman" w:cs="Times New Roman"/>
          <w:color w:val="222222"/>
          <w:sz w:val="22"/>
          <w:szCs w:val="22"/>
        </w:rPr>
        <w:t>modeling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as</w:t>
      </w:r>
      <w:proofErr w:type="spellEnd"/>
      <w:r>
        <w:rPr>
          <w:rFonts w:ascii="Times New Roman" w:eastAsia="Times New Roman" w:hAnsi="Times New Roman" w:cs="Times New Roman"/>
          <w:color w:val="222222"/>
          <w:sz w:val="22"/>
          <w:szCs w:val="22"/>
        </w:rPr>
        <w:t xml:space="preserve"> EEG </w:t>
      </w:r>
      <w:proofErr w:type="spellStart"/>
      <w:r>
        <w:rPr>
          <w:rFonts w:ascii="Times New Roman" w:eastAsia="Times New Roman" w:hAnsi="Times New Roman" w:cs="Times New Roman"/>
          <w:color w:val="222222"/>
          <w:sz w:val="22"/>
          <w:szCs w:val="22"/>
        </w:rPr>
        <w:t>spectral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analysis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prostration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Proceedings</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International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Conference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for</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Technical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Postgraduates</w:t>
      </w:r>
      <w:proofErr w:type="spellEnd"/>
      <w:r>
        <w:rPr>
          <w:rFonts w:ascii="Times New Roman" w:eastAsia="Times New Roman" w:hAnsi="Times New Roman" w:cs="Times New Roman"/>
          <w:color w:val="222222"/>
          <w:sz w:val="22"/>
          <w:szCs w:val="22"/>
        </w:rPr>
        <w:t xml:space="preserve"> (TECHPOS), </w:t>
      </w:r>
      <w:proofErr w:type="spellStart"/>
      <w:r>
        <w:rPr>
          <w:rFonts w:ascii="Times New Roman" w:eastAsia="Times New Roman" w:hAnsi="Times New Roman" w:cs="Times New Roman"/>
          <w:color w:val="222222"/>
          <w:sz w:val="22"/>
          <w:szCs w:val="22"/>
        </w:rPr>
        <w:t>Kuala</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Lumpur</w:t>
      </w:r>
      <w:proofErr w:type="spellEnd"/>
      <w:r>
        <w:rPr>
          <w:rFonts w:ascii="Times New Roman" w:eastAsia="Times New Roman" w:hAnsi="Times New Roman" w:cs="Times New Roman"/>
          <w:color w:val="222222"/>
          <w:sz w:val="22"/>
          <w:szCs w:val="22"/>
        </w:rPr>
        <w:t>, 1–4.</w:t>
      </w:r>
    </w:p>
    <w:p w14:paraId="66A84F6B" w14:textId="77777777" w:rsidR="00753406" w:rsidRDefault="009D3DCE">
      <w:pPr>
        <w:spacing w:after="140" w:line="276" w:lineRule="auto"/>
        <w:ind w:left="480" w:hanging="480"/>
      </w:pPr>
      <w:proofErr w:type="spellStart"/>
      <w:r>
        <w:rPr>
          <w:rFonts w:ascii="Times New Roman" w:eastAsia="Times New Roman" w:hAnsi="Times New Roman" w:cs="Times New Roman"/>
          <w:color w:val="222222"/>
          <w:sz w:val="22"/>
          <w:szCs w:val="22"/>
        </w:rPr>
        <w:t>Zainuddin</w:t>
      </w:r>
      <w:proofErr w:type="spellEnd"/>
      <w:r>
        <w:rPr>
          <w:rFonts w:ascii="Times New Roman" w:eastAsia="Times New Roman" w:hAnsi="Times New Roman" w:cs="Times New Roman"/>
          <w:color w:val="222222"/>
          <w:sz w:val="22"/>
          <w:szCs w:val="22"/>
        </w:rPr>
        <w:t xml:space="preserve">, Z. S., </w:t>
      </w:r>
      <w:proofErr w:type="spellStart"/>
      <w:r>
        <w:rPr>
          <w:rFonts w:ascii="Times New Roman" w:eastAsia="Times New Roman" w:hAnsi="Times New Roman" w:cs="Times New Roman"/>
          <w:color w:val="222222"/>
          <w:sz w:val="22"/>
          <w:szCs w:val="22"/>
        </w:rPr>
        <w:t>Aziz</w:t>
      </w:r>
      <w:proofErr w:type="spellEnd"/>
      <w:r>
        <w:rPr>
          <w:rFonts w:ascii="Times New Roman" w:eastAsia="Times New Roman" w:hAnsi="Times New Roman" w:cs="Times New Roman"/>
          <w:color w:val="222222"/>
          <w:sz w:val="22"/>
          <w:szCs w:val="22"/>
        </w:rPr>
        <w:t xml:space="preserve">, S. A., &amp; </w:t>
      </w:r>
      <w:proofErr w:type="spellStart"/>
      <w:r>
        <w:rPr>
          <w:rFonts w:ascii="Times New Roman" w:eastAsia="Times New Roman" w:hAnsi="Times New Roman" w:cs="Times New Roman"/>
          <w:color w:val="222222"/>
          <w:sz w:val="22"/>
          <w:szCs w:val="22"/>
        </w:rPr>
        <w:t>Abdullah</w:t>
      </w:r>
      <w:proofErr w:type="spellEnd"/>
      <w:r>
        <w:rPr>
          <w:rFonts w:ascii="Times New Roman" w:eastAsia="Times New Roman" w:hAnsi="Times New Roman" w:cs="Times New Roman"/>
          <w:color w:val="222222"/>
          <w:sz w:val="22"/>
          <w:szCs w:val="22"/>
        </w:rPr>
        <w:t xml:space="preserve">, H. (2013).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effect</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of</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listening</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to</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Al-Quran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recitation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on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the</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human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brain</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w:t>
      </w:r>
      <w:proofErr w:type="spellEnd"/>
      <w:r>
        <w:rPr>
          <w:rFonts w:ascii="Times New Roman" w:eastAsia="Times New Roman" w:hAnsi="Times New Roman" w:cs="Times New Roman"/>
          <w:color w:val="222222"/>
          <w:sz w:val="22"/>
          <w:szCs w:val="22"/>
        </w:rPr>
        <w:t xml:space="preserve"> EEG </w:t>
      </w:r>
      <w:proofErr w:type="spellStart"/>
      <w:r>
        <w:rPr>
          <w:rFonts w:ascii="Times New Roman" w:eastAsia="Times New Roman" w:hAnsi="Times New Roman" w:cs="Times New Roman"/>
          <w:color w:val="222222"/>
          <w:sz w:val="22"/>
          <w:szCs w:val="22"/>
        </w:rPr>
        <w:t>study</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Procedia</w:t>
      </w:r>
      <w:proofErr w:type="spellEnd"/>
      <w:r>
        <w:rPr>
          <w:rFonts w:ascii="Times New Roman" w:eastAsia="Times New Roman" w:hAnsi="Times New Roman" w:cs="Times New Roman"/>
          <w:color w:val="222222"/>
          <w:sz w:val="22"/>
          <w:szCs w:val="22"/>
        </w:rPr>
        <w:t xml:space="preserve"> – </w:t>
      </w:r>
      <w:proofErr w:type="spellStart"/>
      <w:r>
        <w:rPr>
          <w:rFonts w:ascii="Times New Roman" w:eastAsia="Times New Roman" w:hAnsi="Times New Roman" w:cs="Times New Roman"/>
          <w:color w:val="222222"/>
          <w:sz w:val="22"/>
          <w:szCs w:val="22"/>
        </w:rPr>
        <w:t>Social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and</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Behavioral</w:t>
      </w:r>
      <w:proofErr w:type="spellEnd"/>
      <w:r>
        <w:rPr>
          <w:rFonts w:ascii="Times New Roman" w:eastAsia="Times New Roman" w:hAnsi="Times New Roman" w:cs="Times New Roman"/>
          <w:color w:val="222222"/>
          <w:sz w:val="22"/>
          <w:szCs w:val="22"/>
        </w:rPr>
        <w:t xml:space="preserve"> </w:t>
      </w:r>
      <w:proofErr w:type="spellStart"/>
      <w:r>
        <w:rPr>
          <w:rFonts w:ascii="Times New Roman" w:eastAsia="Times New Roman" w:hAnsi="Times New Roman" w:cs="Times New Roman"/>
          <w:color w:val="222222"/>
          <w:sz w:val="22"/>
          <w:szCs w:val="22"/>
        </w:rPr>
        <w:t>Sciences</w:t>
      </w:r>
      <w:proofErr w:type="spellEnd"/>
      <w:r>
        <w:rPr>
          <w:rFonts w:ascii="Times New Roman" w:eastAsia="Times New Roman" w:hAnsi="Times New Roman" w:cs="Times New Roman"/>
          <w:color w:val="222222"/>
          <w:sz w:val="22"/>
          <w:szCs w:val="22"/>
        </w:rPr>
        <w:t>, 97, 687–693. https://doi.org/10.1016/j.sbspro.2013.10.435</w:t>
      </w:r>
    </w:p>
    <w:sectPr w:rsidR="00753406">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3597F"/>
    <w:multiLevelType w:val="hybridMultilevel"/>
    <w:tmpl w:val="FFFFFFFF"/>
    <w:lvl w:ilvl="0" w:tplc="70F605F8">
      <w:start w:val="1"/>
      <w:numFmt w:val="bullet"/>
      <w:lvlText w:val="•"/>
      <w:lvlJc w:val="right"/>
      <w:pPr>
        <w:ind w:right="720" w:hanging="360"/>
      </w:pPr>
    </w:lvl>
    <w:lvl w:ilvl="1" w:tplc="7AD6DF94">
      <w:numFmt w:val="decimal"/>
      <w:lvlText w:val=""/>
      <w:lvlJc w:val="left"/>
    </w:lvl>
    <w:lvl w:ilvl="2" w:tplc="DEB67A40">
      <w:numFmt w:val="decimal"/>
      <w:lvlText w:val=""/>
      <w:lvlJc w:val="left"/>
    </w:lvl>
    <w:lvl w:ilvl="3" w:tplc="6B40DD7C">
      <w:numFmt w:val="decimal"/>
      <w:lvlText w:val=""/>
      <w:lvlJc w:val="left"/>
    </w:lvl>
    <w:lvl w:ilvl="4" w:tplc="71346324">
      <w:numFmt w:val="decimal"/>
      <w:lvlText w:val=""/>
      <w:lvlJc w:val="left"/>
    </w:lvl>
    <w:lvl w:ilvl="5" w:tplc="D4B83F7C">
      <w:numFmt w:val="decimal"/>
      <w:lvlText w:val=""/>
      <w:lvlJc w:val="left"/>
    </w:lvl>
    <w:lvl w:ilvl="6" w:tplc="C9B22ECA">
      <w:numFmt w:val="decimal"/>
      <w:lvlText w:val=""/>
      <w:lvlJc w:val="left"/>
    </w:lvl>
    <w:lvl w:ilvl="7" w:tplc="5A307394">
      <w:numFmt w:val="decimal"/>
      <w:lvlText w:val=""/>
      <w:lvlJc w:val="left"/>
    </w:lvl>
    <w:lvl w:ilvl="8" w:tplc="8CD068E4">
      <w:numFmt w:val="decimal"/>
      <w:lvlText w:val=""/>
      <w:lvlJc w:val="left"/>
    </w:lvl>
  </w:abstractNum>
  <w:abstractNum w:abstractNumId="1" w15:restartNumberingAfterBreak="0">
    <w:nsid w:val="5A147C29"/>
    <w:multiLevelType w:val="hybridMultilevel"/>
    <w:tmpl w:val="FFFFFFFF"/>
    <w:lvl w:ilvl="0" w:tplc="EDCA161E">
      <w:start w:val="1"/>
      <w:numFmt w:val="bullet"/>
      <w:lvlText w:val="●"/>
      <w:lvlJc w:val="left"/>
      <w:pPr>
        <w:ind w:left="720" w:hanging="360"/>
      </w:pPr>
    </w:lvl>
    <w:lvl w:ilvl="1" w:tplc="FFF4C528">
      <w:start w:val="1"/>
      <w:numFmt w:val="bullet"/>
      <w:lvlText w:val="○"/>
      <w:lvlJc w:val="left"/>
      <w:pPr>
        <w:ind w:left="1440" w:hanging="360"/>
      </w:pPr>
    </w:lvl>
    <w:lvl w:ilvl="2" w:tplc="4C14FECA">
      <w:start w:val="1"/>
      <w:numFmt w:val="bullet"/>
      <w:lvlText w:val="■"/>
      <w:lvlJc w:val="left"/>
      <w:pPr>
        <w:ind w:left="2160" w:hanging="360"/>
      </w:pPr>
    </w:lvl>
    <w:lvl w:ilvl="3" w:tplc="5620892A">
      <w:start w:val="1"/>
      <w:numFmt w:val="bullet"/>
      <w:lvlText w:val="●"/>
      <w:lvlJc w:val="left"/>
      <w:pPr>
        <w:ind w:left="2880" w:hanging="360"/>
      </w:pPr>
    </w:lvl>
    <w:lvl w:ilvl="4" w:tplc="8D429908">
      <w:start w:val="1"/>
      <w:numFmt w:val="bullet"/>
      <w:lvlText w:val="○"/>
      <w:lvlJc w:val="left"/>
      <w:pPr>
        <w:ind w:left="3600" w:hanging="360"/>
      </w:pPr>
    </w:lvl>
    <w:lvl w:ilvl="5" w:tplc="71982CE4">
      <w:start w:val="1"/>
      <w:numFmt w:val="bullet"/>
      <w:lvlText w:val="■"/>
      <w:lvlJc w:val="left"/>
      <w:pPr>
        <w:ind w:left="4320" w:hanging="360"/>
      </w:pPr>
    </w:lvl>
    <w:lvl w:ilvl="6" w:tplc="788059AE">
      <w:start w:val="1"/>
      <w:numFmt w:val="bullet"/>
      <w:lvlText w:val="●"/>
      <w:lvlJc w:val="left"/>
      <w:pPr>
        <w:ind w:left="5040" w:hanging="360"/>
      </w:pPr>
    </w:lvl>
    <w:lvl w:ilvl="7" w:tplc="E00485FA">
      <w:start w:val="1"/>
      <w:numFmt w:val="bullet"/>
      <w:lvlText w:val="●"/>
      <w:lvlJc w:val="left"/>
      <w:pPr>
        <w:ind w:left="5760" w:hanging="360"/>
      </w:pPr>
    </w:lvl>
    <w:lvl w:ilvl="8" w:tplc="57EA2580">
      <w:start w:val="1"/>
      <w:numFmt w:val="bullet"/>
      <w:lvlText w:val="●"/>
      <w:lvlJc w:val="left"/>
      <w:pPr>
        <w:ind w:left="6480" w:hanging="360"/>
      </w:pPr>
    </w:lvl>
  </w:abstractNum>
  <w:num w:numId="1" w16cid:durableId="1649162650">
    <w:abstractNumId w:val="1"/>
    <w:lvlOverride w:ilvl="0">
      <w:startOverride w:val="1"/>
    </w:lvlOverride>
  </w:num>
  <w:num w:numId="2" w16cid:durableId="3123739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06"/>
    <w:rsid w:val="00087475"/>
    <w:rsid w:val="004229A1"/>
    <w:rsid w:val="00521B7B"/>
    <w:rsid w:val="00753406"/>
    <w:rsid w:val="007E77BB"/>
    <w:rsid w:val="009B14E1"/>
    <w:rsid w:val="009D3DCE"/>
    <w:rsid w:val="00AD3A74"/>
    <w:rsid w:val="00C521D3"/>
    <w:rsid w:val="00D038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342ED52"/>
  <w15:docId w15:val="{07DD9226-C0AA-A04E-AC97-58F29772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4200</Words>
  <Characters>23942</Characters>
  <Application>Microsoft Office Word</Application>
  <DocSecurity>0</DocSecurity>
  <Lines>199</Lines>
  <Paragraphs>56</Paragraphs>
  <ScaleCrop>false</ScaleCrop>
  <Company/>
  <LinksUpToDate>false</LinksUpToDate>
  <CharactersWithSpaces>28086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8</cp:revision>
  <dcterms:created xsi:type="dcterms:W3CDTF">2026-07-13T01:31:00Z</dcterms:created>
  <dcterms:modified xsi:type="dcterms:W3CDTF">2026-07-13T02:17:00Z</dcterms:modified>
</cp:coreProperties>
</file>