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30F74">
      <w:pPr>
        <w:spacing w:before="300" w:after="300"/>
        <w:jc w:val="right"/>
      </w:pPr>
    </w:p>
    <w:p w14:paraId="0ECD9E21">
      <w:pPr>
        <w:bidi/>
        <w:spacing w:before="80" w:after="80"/>
        <w:jc w:val="center"/>
      </w:pPr>
      <w:r>
        <w:rPr>
          <w:rFonts w:ascii="Arial" w:hAnsi="Arial" w:eastAsia="Arial" w:cs="Arial"/>
          <w:b/>
          <w:bCs/>
          <w:color w:val="8B6914"/>
          <w:sz w:val="26"/>
          <w:szCs w:val="26"/>
          <w:rtl/>
        </w:rPr>
        <w:t xml:space="preserve">الجزء الأول </w:t>
      </w:r>
      <w:r>
        <w:rPr>
          <w:rFonts w:ascii="Arial" w:hAnsi="Arial" w:eastAsia="Arial" w:cs="Arial"/>
          <w:b/>
          <w:bCs/>
          <w:color w:val="8B6914"/>
          <w:sz w:val="26"/>
          <w:szCs w:val="26"/>
        </w:rPr>
        <w:t>—</w:t>
      </w:r>
      <w:r>
        <w:rPr>
          <w:rFonts w:ascii="Arial" w:hAnsi="Arial" w:eastAsia="Arial" w:cs="Arial"/>
          <w:b/>
          <w:bCs/>
          <w:color w:val="8B6914"/>
          <w:sz w:val="26"/>
          <w:szCs w:val="26"/>
          <w:rtl/>
        </w:rPr>
        <w:t xml:space="preserve"> المقدمة</w:t>
      </w:r>
    </w:p>
    <w:p w14:paraId="3EB0362E">
      <w:pPr>
        <w:bidi/>
        <w:spacing w:before="60" w:after="60"/>
        <w:jc w:val="center"/>
      </w:pPr>
      <w:r>
        <w:rPr>
          <w:rFonts w:ascii="Arial" w:hAnsi="Arial" w:eastAsia="Arial" w:cs="Arial"/>
          <w:color w:val="666666"/>
          <w:sz w:val="42"/>
          <w:szCs w:val="42"/>
          <w:rtl/>
        </w:rPr>
        <w:t>الخاتمة</w:t>
      </w:r>
    </w:p>
    <w:p w14:paraId="4B048DE4">
      <w:pPr>
        <w:bidi/>
        <w:spacing w:before="60" w:after="60"/>
        <w:jc w:val="center"/>
      </w:pPr>
      <w:r>
        <w:rPr>
          <w:rFonts w:ascii="Arial" w:hAnsi="Arial" w:eastAsia="Arial" w:cs="Arial"/>
          <w:b/>
          <w:bCs/>
          <w:color w:val="1A3C5E"/>
          <w:sz w:val="54"/>
          <w:szCs w:val="54"/>
          <w:rtl/>
        </w:rPr>
        <w:t>الإنسان بين الخوارزمية والوحي</w:t>
      </w:r>
    </w:p>
    <w:p w14:paraId="06AFBE9B">
      <w:pPr>
        <w:bidi/>
        <w:spacing w:before="60" w:after="60"/>
        <w:jc w:val="center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نتائج الأطروحة وآفاقها البحثية</w:t>
      </w:r>
    </w:p>
    <w:p w14:paraId="641D70F7">
      <w:pPr>
        <w:pBdr>
          <w:bottom w:val="single" w:color="B8860B" w:sz="8" w:space="1"/>
        </w:pBdr>
        <w:spacing w:before="60" w:after="500"/>
        <w:jc w:val="center"/>
      </w:pPr>
      <w:r>
        <w:rPr>
          <w:rFonts w:ascii="Arial" w:hAnsi="Arial" w:eastAsia="Arial" w:cs="Arial"/>
          <w:color w:val="8B6914"/>
          <w:sz w:val="22"/>
          <w:szCs w:val="22"/>
          <w:rtl/>
        </w:rPr>
        <w:t>تجميع خيوط البحث وفتح آفاقه نحو مرحلة بحثية قادمة</w:t>
      </w:r>
    </w:p>
    <w:p w14:paraId="1AD8A798">
      <w:pPr>
        <w:pBdr>
          <w:top w:val="single" w:color="B8860B" w:sz="2" w:space="0"/>
          <w:left w:val="single" w:color="B8860B" w:sz="22" w:space="0"/>
          <w:bottom w:val="single" w:color="B8860B" w:sz="2" w:space="0"/>
          <w:right w:val="single" w:color="B8860B" w:sz="22" w:space="0"/>
        </w:pBdr>
        <w:bidi/>
        <w:spacing w:before="260" w:after="180"/>
        <w:jc w:val="left"/>
      </w:pPr>
      <w:r>
        <w:rPr>
          <w:rFonts w:ascii="Arial" w:hAnsi="Arial" w:eastAsia="Arial" w:cs="Arial"/>
          <w:b/>
          <w:bCs/>
          <w:color w:val="5C3D11"/>
          <w:sz w:val="30"/>
          <w:szCs w:val="30"/>
          <w:rtl/>
        </w:rPr>
        <w:t>وَقُلْ رَبِّ زِدْنِي عِلْمًا</w:t>
      </w:r>
      <w:r>
        <w:rPr>
          <w:rFonts w:ascii="Arial" w:hAnsi="Arial" w:eastAsia="Arial" w:cs="Arial"/>
          <w:color w:val="8B6914"/>
          <w:sz w:val="21"/>
          <w:szCs w:val="21"/>
        </w:rPr>
        <w:br w:type="textWrapping"/>
      </w:r>
      <w:r>
        <w:rPr>
          <w:rFonts w:ascii="Arial" w:hAnsi="Arial" w:eastAsia="Arial" w:cs="Arial"/>
          <w:color w:val="8B6914"/>
          <w:sz w:val="21"/>
          <w:szCs w:val="21"/>
        </w:rPr>
        <w:t>
—</w:t>
      </w:r>
      <w:r>
        <w:rPr>
          <w:rFonts w:ascii="Arial" w:hAnsi="Arial" w:eastAsia="Arial" w:cs="Arial"/>
          <w:color w:val="8B6914"/>
          <w:sz w:val="21"/>
          <w:szCs w:val="21"/>
          <w:rtl/>
        </w:rPr>
        <w:t xml:space="preserve"> طه</w:t>
      </w:r>
      <w:r>
        <w:rPr>
          <w:rFonts w:ascii="Arial" w:hAnsi="Arial" w:eastAsia="Arial" w:cs="Arial"/>
          <w:color w:val="8B6914"/>
          <w:sz w:val="21"/>
          <w:szCs w:val="21"/>
        </w:rPr>
        <w:t>:</w:t>
      </w:r>
      <w:r>
        <w:rPr>
          <w:rFonts w:ascii="Arial" w:hAnsi="Arial" w:eastAsia="Arial" w:cs="Arial"/>
          <w:color w:val="8B6914"/>
          <w:sz w:val="21"/>
          <w:szCs w:val="21"/>
          <w:rtl/>
        </w:rPr>
        <w:t xml:space="preserve"> ١١٤</w:t>
      </w:r>
    </w:p>
    <w:p w14:paraId="69F06CC1">
      <w:pPr>
        <w:spacing w:before="200" w:after="200"/>
        <w:jc w:val="left"/>
      </w:pPr>
    </w:p>
    <w:p w14:paraId="6437825B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١ 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—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الخيط الجامع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: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رحلة الأطروحة</w:t>
      </w:r>
    </w:p>
    <w:p w14:paraId="5C862281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بدأت هذه الأطروحة بسؤال واحد يبدو بسيطاً في صياغته وعميقاً في تشعّباته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هل يستطيع الإنسان المعاصر أن يبقى خليفةً في عالم صُمِّم لتحويله إلى مستهلك؟ وعبر ستة فصول متكاملة، سارت الإجابة في مسار بنائي متصاعد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</w:p>
    <w:p w14:paraId="73BB6873">
      <w:pPr>
        <w:spacing w:before="60" w:after="60"/>
        <w:jc w:val="left"/>
      </w:pPr>
    </w:p>
    <w:p w14:paraId="26A8CB95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الفصل الأول</w:t>
      </w:r>
      <w:r>
        <w:rPr>
          <w:rFonts w:ascii="Arial" w:hAnsi="Arial" w:eastAsia="Arial" w:cs="Arial"/>
          <w:color w:val="1A1A1A"/>
          <w:sz w:val="24"/>
          <w:szCs w:val="24"/>
        </w:rPr>
        <w:t xml:space="preserve">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رسم البنية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النموذج الهرمي القرآني للنفس بقاعدته الفطرية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إلهام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فجور </w:t>
      </w:r>
      <w:r>
        <w:rPr>
          <w:rFonts w:ascii="Arial" w:hAnsi="Arial" w:eastAsia="Arial" w:cs="Arial"/>
          <w:color w:val="1A1A1A"/>
          <w:sz w:val="24"/>
          <w:szCs w:val="24"/>
        </w:rPr>
        <w:t>+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تقوى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، ومراحله الثلاث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الأمارة، اللوامة، المطمئنة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، وبُعده الرابع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الشيطان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، وأضلاعه الثمانية الديناميكية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00377C81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الفصل الثاني</w:t>
      </w:r>
      <w:r>
        <w:rPr>
          <w:rFonts w:ascii="Arial" w:hAnsi="Arial" w:eastAsia="Arial" w:cs="Arial"/>
          <w:color w:val="1A1A1A"/>
          <w:sz w:val="24"/>
          <w:szCs w:val="24"/>
        </w:rPr>
        <w:t xml:space="preserve">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كشف الاستهداف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كيف تضرب الخوارزمية في كل ضلع من أضلاع الهرم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تُضخّم الأمارة بالدوبامين، تُعطّل اللوامة بإلغاء الصمت، وتُزيّف المطمئنة ببديل وظيفي فارغ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6683CA9E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الفصل الثالث</w:t>
      </w:r>
      <w:r>
        <w:rPr>
          <w:rFonts w:ascii="Arial" w:hAnsi="Arial" w:eastAsia="Arial" w:cs="Arial"/>
          <w:color w:val="1A1A1A"/>
          <w:sz w:val="24"/>
          <w:szCs w:val="24"/>
        </w:rPr>
        <w:t xml:space="preserve">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جرد البدائل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أربعة تيارات غربية كبرى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علم النفس الإيجابي، الرواقية، اليقظة الذهنية، التحليل النفسي</w:t>
      </w:r>
      <w:r>
        <w:rPr>
          <w:rFonts w:ascii="Arial" w:hAnsi="Arial" w:eastAsia="Arial" w:cs="Arial"/>
          <w:color w:val="1A1A1A"/>
          <w:sz w:val="24"/>
          <w:szCs w:val="24"/>
        </w:rPr>
        <w:t>)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عُرضت بإنصاف أكاديمي واضح، وتبيّن أنها تصطدم جميعاً بسقف مشترك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غياب المرجعية المتعالية الحاضرة الفاعلة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1BD7D88A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الفصل الرابع</w:t>
      </w:r>
      <w:r>
        <w:rPr>
          <w:rFonts w:ascii="Arial" w:hAnsi="Arial" w:eastAsia="Arial" w:cs="Arial"/>
          <w:color w:val="1A1A1A"/>
          <w:sz w:val="24"/>
          <w:szCs w:val="24"/>
        </w:rPr>
        <w:t xml:space="preserve">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تأسيس الفارق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ثلاثة محاور يتجاوز بها القرآن هذا السقف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المرجعية الحاضرة المستجيبة، آلية التوبة كخلاص حقيقي من الذنب، والأفق اللانهائي الذي يُجيب على سؤال الموت والعدالة الكونية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2F18A8E5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الفصل الخامس</w:t>
      </w:r>
      <w:r>
        <w:rPr>
          <w:rFonts w:ascii="Arial" w:hAnsi="Arial" w:eastAsia="Arial" w:cs="Arial"/>
          <w:color w:val="1A1A1A"/>
          <w:sz w:val="24"/>
          <w:szCs w:val="24"/>
        </w:rPr>
        <w:t xml:space="preserve">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رسم المسار العملي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ست آليات قرآنية للاستعادة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الصلاة، الذكر، التوبة، التدبر، المجاهدة، الصحبة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مع تطبيقاتها الرقمية الدقيقة ونموذج اليوم الاستخلافي الكامل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574B1E1A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الفصل السادس</w:t>
      </w:r>
      <w:r>
        <w:rPr>
          <w:rFonts w:ascii="Arial" w:hAnsi="Arial" w:eastAsia="Arial" w:cs="Arial"/>
          <w:color w:val="1A1A1A"/>
          <w:sz w:val="24"/>
          <w:szCs w:val="24"/>
        </w:rPr>
        <w:t xml:space="preserve"> 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بناء النموذج الشامل</w:t>
      </w:r>
      <w:r>
        <w:rPr>
          <w:rFonts w:ascii="Arial" w:hAnsi="Arial" w:eastAsia="Arial" w:cs="Arial"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الاستخلاف الرقمي الواعي بأبعاده الأربعة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النية، الإنتاج، الأمانة، العدالة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وميادينه الأربعة وتحدياته ورؤيته الحضارية الجماعية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1038B51D">
      <w:pPr>
        <w:spacing w:before="80" w:after="80"/>
        <w:jc w:val="left"/>
      </w:pPr>
    </w:p>
    <w:p w14:paraId="767B3B57">
      <w:pPr>
        <w:pBdr>
          <w:top w:val="single" w:color="B8860B" w:sz="2" w:space="0"/>
          <w:left w:val="single" w:color="B8860B" w:sz="16" w:space="0"/>
          <w:bottom w:val="single" w:color="B8860B" w:sz="2" w:space="0"/>
          <w:right w:val="single" w:color="B8860B" w:sz="16" w:space="0"/>
        </w:pBdr>
        <w:shd w:val="clear" w:fill="FFFBEC"/>
        <w:bidi/>
        <w:spacing w:before="220" w:after="180"/>
        <w:jc w:val="left"/>
      </w:pPr>
      <w:r>
        <w:rPr>
          <w:rFonts w:ascii="Arial" w:hAnsi="Arial" w:eastAsia="Arial" w:cs="Arial"/>
          <w:color w:val="7A5000"/>
          <w:sz w:val="23"/>
          <w:szCs w:val="23"/>
          <w:rtl/>
        </w:rPr>
        <w:t>الخيط الجامع</w:t>
      </w:r>
      <w:r>
        <w:rPr>
          <w:rFonts w:ascii="Arial" w:hAnsi="Arial" w:eastAsia="Arial" w:cs="Arial"/>
          <w:color w:val="7A5000"/>
          <w:sz w:val="23"/>
          <w:szCs w:val="23"/>
        </w:rPr>
        <w:t>:</w:t>
      </w:r>
      <w:r>
        <w:rPr>
          <w:rFonts w:ascii="Arial" w:hAnsi="Arial" w:eastAsia="Arial" w:cs="Arial"/>
          <w:color w:val="7A5000"/>
          <w:sz w:val="23"/>
          <w:szCs w:val="23"/>
          <w:rtl/>
        </w:rPr>
        <w:t xml:space="preserve"> الإنسان لم يُخلق ليستهلك </w:t>
      </w:r>
      <w:r>
        <w:rPr>
          <w:rFonts w:ascii="Arial" w:hAnsi="Arial" w:eastAsia="Arial" w:cs="Arial"/>
          <w:color w:val="7A5000"/>
          <w:sz w:val="23"/>
          <w:szCs w:val="23"/>
        </w:rPr>
        <w:t>—</w:t>
      </w:r>
      <w:r>
        <w:rPr>
          <w:rFonts w:ascii="Arial" w:hAnsi="Arial" w:eastAsia="Arial" w:cs="Arial"/>
          <w:color w:val="7A5000"/>
          <w:sz w:val="23"/>
          <w:szCs w:val="23"/>
          <w:rtl/>
        </w:rPr>
        <w:t xml:space="preserve"> بل خُلق ليستخلف</w:t>
      </w:r>
      <w:r>
        <w:rPr>
          <w:rFonts w:ascii="Arial" w:hAnsi="Arial" w:eastAsia="Arial" w:cs="Arial"/>
          <w:color w:val="7A5000"/>
          <w:sz w:val="23"/>
          <w:szCs w:val="23"/>
        </w:rPr>
        <w:t>.</w:t>
      </w:r>
      <w:r>
        <w:rPr>
          <w:rFonts w:ascii="Arial" w:hAnsi="Arial" w:eastAsia="Arial" w:cs="Arial"/>
          <w:color w:val="7A5000"/>
          <w:sz w:val="23"/>
          <w:szCs w:val="23"/>
          <w:rtl/>
        </w:rPr>
        <w:t xml:space="preserve"> والخوارزمية تهدد هذه الغاية بأسلوب بنيوي عميق</w:t>
      </w:r>
      <w:r>
        <w:rPr>
          <w:rFonts w:ascii="Arial" w:hAnsi="Arial" w:eastAsia="Arial" w:cs="Arial"/>
          <w:color w:val="7A5000"/>
          <w:sz w:val="23"/>
          <w:szCs w:val="23"/>
        </w:rPr>
        <w:t>.</w:t>
      </w:r>
      <w:r>
        <w:rPr>
          <w:rFonts w:ascii="Arial" w:hAnsi="Arial" w:eastAsia="Arial" w:cs="Arial"/>
          <w:color w:val="7A5000"/>
          <w:sz w:val="23"/>
          <w:szCs w:val="23"/>
          <w:rtl/>
        </w:rPr>
        <w:t xml:space="preserve"> والقرآن يُقدّم </w:t>
      </w:r>
      <w:r>
        <w:rPr>
          <w:rFonts w:ascii="Arial" w:hAnsi="Arial" w:eastAsia="Arial" w:cs="Arial"/>
          <w:color w:val="7A5000"/>
          <w:sz w:val="23"/>
          <w:szCs w:val="23"/>
        </w:rPr>
        <w:t>—</w:t>
      </w:r>
      <w:r>
        <w:rPr>
          <w:rFonts w:ascii="Arial" w:hAnsi="Arial" w:eastAsia="Arial" w:cs="Arial"/>
          <w:color w:val="7A5000"/>
          <w:sz w:val="23"/>
          <w:szCs w:val="23"/>
          <w:rtl/>
        </w:rPr>
        <w:t xml:space="preserve"> وحده من بين كل الأطر النظرية المعاصرة </w:t>
      </w:r>
      <w:r>
        <w:rPr>
          <w:rFonts w:ascii="Arial" w:hAnsi="Arial" w:eastAsia="Arial" w:cs="Arial"/>
          <w:color w:val="7A5000"/>
          <w:sz w:val="23"/>
          <w:szCs w:val="23"/>
        </w:rPr>
        <w:t>—</w:t>
      </w:r>
      <w:r>
        <w:rPr>
          <w:rFonts w:ascii="Arial" w:hAnsi="Arial" w:eastAsia="Arial" w:cs="Arial"/>
          <w:color w:val="7A5000"/>
          <w:sz w:val="23"/>
          <w:szCs w:val="23"/>
          <w:rtl/>
        </w:rPr>
        <w:t xml:space="preserve"> مرجعيةً تُتيح الاستعادة الكاملة لهذه الغاية</w:t>
      </w:r>
      <w:r>
        <w:rPr>
          <w:rFonts w:ascii="Arial" w:hAnsi="Arial" w:eastAsia="Arial" w:cs="Arial"/>
          <w:color w:val="7A5000"/>
          <w:sz w:val="23"/>
          <w:szCs w:val="23"/>
        </w:rPr>
        <w:t>.</w:t>
      </w:r>
    </w:p>
    <w:p w14:paraId="7A5C86E4">
      <w:pPr>
        <w:spacing w:before="120" w:after="120"/>
        <w:jc w:val="left"/>
      </w:pPr>
    </w:p>
    <w:p w14:paraId="50A665D9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٢ 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—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النتائج الرئيسية للأطروحة</w:t>
      </w:r>
    </w:p>
    <w:p w14:paraId="133E50C9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١ النتيجة الأولى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: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 xml:space="preserve"> الفرضية الأولى مُثبتة</w:t>
      </w:r>
    </w:p>
    <w:p w14:paraId="62F3A281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أثبتت الأطروحة أن منطق الخوارزمية يتعارض بنيوياً مع مسار التزكية القرآنية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وذلك ليس تعارضاً عرضياً بل تعارضاً جوهرياً نابعاً من تناقض الغايتين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الخوارزمية تسعى إلى إبقاء الإنسان في حالة الأمارة لأن الأمارة أكثر قابلية للتنبؤ وأعلى انخراطاً وأثمن بيانات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أما التزكية فتسعى إلى الانتقال من الأمارة عبر اللوامة نحو المطمئنة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وهذا الانتقال يُخرج الإنسان من دائرة استهداف الخوارزمية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44C74245">
      <w:pPr>
        <w:pBdr>
          <w:top w:val="single" w:color="2E6DA4" w:sz="2" w:space="0"/>
          <w:left w:val="single" w:color="2E6DA4" w:sz="16" w:space="0"/>
          <w:bottom w:val="single" w:color="2E6DA4" w:sz="2" w:space="0"/>
          <w:right w:val="single" w:color="2E6DA4" w:sz="16" w:space="0"/>
        </w:pBdr>
        <w:shd w:val="clear" w:fill="EBF3FB"/>
        <w:bidi/>
        <w:spacing w:before="220" w:after="180"/>
        <w:jc w:val="left"/>
      </w:pP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>الفرضية الأولى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الخوارزمية تُغذّي الأمارة وتُعطّل اللوامة 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—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مُثبتة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.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الدليل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آليات الدوبامين المتقطع، قتل الصمت، التجزئة المعرفية، وثقافة 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'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>لا حكم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'.</w:t>
      </w:r>
    </w:p>
    <w:p w14:paraId="21CF5264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 النتيجة الثانية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: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 xml:space="preserve"> الفرضية الثانية مُثبتة</w:t>
      </w:r>
    </w:p>
    <w:p w14:paraId="2C9B7B23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أثبت الفصل الثالث أن البدائل الغربية تُقدّم حلولاً جزئية وظيفية لا تستطيع تجاوز سقفها المشترك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ليس لأنها ضعيفة بل لأن الغياب الذي تعاني منه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غياب المرجعية المتعالية الفاعلة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هو غياب بنيوي لا يمكن تعويضه بمزيد من الأدوات أو البروتوكولات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27CBDB66">
      <w:pPr>
        <w:pBdr>
          <w:top w:val="single" w:color="2E6DA4" w:sz="2" w:space="0"/>
          <w:left w:val="single" w:color="2E6DA4" w:sz="16" w:space="0"/>
          <w:bottom w:val="single" w:color="2E6DA4" w:sz="2" w:space="0"/>
          <w:right w:val="single" w:color="2E6DA4" w:sz="16" w:space="0"/>
        </w:pBdr>
        <w:shd w:val="clear" w:fill="EBF3FB"/>
        <w:bidi/>
        <w:spacing w:before="220" w:after="180"/>
        <w:jc w:val="left"/>
      </w:pP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>الفرضية الثانية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البدائل الغربية تصل إلى سقف محدود دون المرجعية المتعالية 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—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مُثبتة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.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الدليل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علم النفس الإيجابي يُجيب على السعادة لا على الذنب والموت؛ الرواقية تُقدّم صبراً بلا حضور؛ اليقظة تُفرّغ بلا ملء؛ لاكان يُقدّم أثراً بلا علاقة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.</w:t>
      </w:r>
    </w:p>
    <w:p w14:paraId="43B70201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 النتيجة الثالثة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: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 xml:space="preserve"> الفرضية الثالثة مُثبتة</w:t>
      </w:r>
    </w:p>
    <w:p w14:paraId="1CD7755F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أثبت الفصل الأول والرابع أن البنية الفطرية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(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الإلهام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فجور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+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تقوى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)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لا تُمحى بأي انغماس رقمي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التقوى الفطرية تظل حية تحت كل طبقات الضوضاء الرقمية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وهذا ما يجعل الاستعادة ممكنة دائماً، وما يُفسّر ظاهرة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'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الصحوات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'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المفاجئة التي يصفها كثير من المدمنين الرقميين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1CDA8BB4">
      <w:pPr>
        <w:pBdr>
          <w:top w:val="single" w:color="2E6DA4" w:sz="2" w:space="0"/>
          <w:left w:val="single" w:color="2E6DA4" w:sz="16" w:space="0"/>
          <w:bottom w:val="single" w:color="2E6DA4" w:sz="2" w:space="0"/>
          <w:right w:val="single" w:color="2E6DA4" w:sz="16" w:space="0"/>
        </w:pBdr>
        <w:shd w:val="clear" w:fill="EBF3FB"/>
        <w:bidi/>
        <w:spacing w:before="220" w:after="180"/>
        <w:jc w:val="left"/>
      </w:pP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>الفرضية الثالثة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الفطرة لا تُمحى مهما بلغ الانغماس الرقمي 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—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مُثبتة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.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الدليل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 '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>فطرت الله التي فطر الناس عليها لا تبديل لخلق الله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' +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الشواهد العلمية على بقاء الشبكة العصبية الافتراضية القابلة للإعادة التشغيل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.</w:t>
      </w:r>
    </w:p>
    <w:p w14:paraId="5E20261C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٤ النتيجة الرابعة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: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 xml:space="preserve"> الفرضية الرابعة مُثبتة وموسّعة</w:t>
      </w:r>
    </w:p>
    <w:p w14:paraId="45FFEFC3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لم يكتفِ الفصلان الخامس والسادس بإثبات أن القرآن يُقدّم نموذجاً للاستخلاف الرقمي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بل طوّرا هذا النموذج إلى مسار عملي متكامل بست آليات وثمانية تطبيقات وأربعة ميادين ورؤية حضارية جماعية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والنموذج ليس مثالياً لا يُطاق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بل واقعي يبدأ بالتدرج ويُراكم الأثر بالمثابرة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6710ABB0">
      <w:pPr>
        <w:pBdr>
          <w:top w:val="single" w:color="2E6DA4" w:sz="2" w:space="0"/>
          <w:left w:val="single" w:color="2E6DA4" w:sz="16" w:space="0"/>
          <w:bottom w:val="single" w:color="2E6DA4" w:sz="2" w:space="0"/>
          <w:right w:val="single" w:color="2E6DA4" w:sz="16" w:space="0"/>
        </w:pBdr>
        <w:shd w:val="clear" w:fill="EBF3FB"/>
        <w:bidi/>
        <w:spacing w:before="220" w:after="180"/>
        <w:jc w:val="left"/>
      </w:pP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>الفرضية الرابعة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: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القرآن يُقدّم نموذجاً للاستخلاف الرقمي الواعي 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—</w:t>
      </w:r>
      <w:r>
        <w:rPr>
          <w:rFonts w:ascii="Arial" w:hAnsi="Arial" w:eastAsia="Arial" w:cs="Arial"/>
          <w:b/>
          <w:bCs/>
          <w:color w:val="1A3C5E"/>
          <w:sz w:val="23"/>
          <w:szCs w:val="23"/>
          <w:rtl/>
        </w:rPr>
        <w:t xml:space="preserve"> مُثبتة وموسّعة إلى خريطة عملية شاملة</w:t>
      </w:r>
      <w:r>
        <w:rPr>
          <w:rFonts w:ascii="Arial" w:hAnsi="Arial" w:eastAsia="Arial" w:cs="Arial"/>
          <w:b/>
          <w:bCs/>
          <w:color w:val="1A3C5E"/>
          <w:sz w:val="23"/>
          <w:szCs w:val="23"/>
        </w:rPr>
        <w:t>.</w:t>
      </w:r>
    </w:p>
    <w:p w14:paraId="3B5E5C87">
      <w:pPr>
        <w:spacing w:before="120" w:after="120"/>
        <w:jc w:val="left"/>
      </w:pPr>
    </w:p>
    <w:p w14:paraId="0F236C4F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٣ 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—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الإسهامات الأصيلة للأطروحة</w:t>
      </w:r>
    </w:p>
    <w:p w14:paraId="00BA4DC1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١ على مستوى النظرية النفسية القرآنية</w:t>
      </w:r>
    </w:p>
    <w:p w14:paraId="1E79B844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قدّمت هذه الأطروحة التحليلَ النفسي الأكثر تفصيلاً للنموذج الهرمي القرآني من حيث ديناميكيته الداخلية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أي كيف تتحرك النفس بين طوابق الهرم وبأي آليات تصعد وبأي ظروف تهبط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وهذا يُضيف طبقة تحليلية لم تكن موجودة بهذه الصورة في الكتابات النفسية الإسلامية الكلاسيكية التي اكتفت في الغالب بالوصف لا بالديناميكية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4135F605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 على مستوى الحوار مع الفكر الغربي</w:t>
      </w:r>
    </w:p>
    <w:p w14:paraId="7D0418EC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قدّمت هذه الأطروحة نموذجاً للحوار الأكاديمي المنصف مع التيارات الغربية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لا يرفضها ابتداءً ولا يستسلم لها انتهاءً، بل يُثمّن ما أنجزت ويُحدّد بدقة ما عجزت عنه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وهذا النموذج من الحوار أكثر إنتاجاً من نموذجَي الرفض الدفاعي أو الاستسلام المفتوح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03604D47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 على مستوى التحليل الرقمي</w:t>
      </w:r>
    </w:p>
    <w:p w14:paraId="67C20AB6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قدّمت هذه الأطروحة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للمرة الأولى فيما نعلم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تحليلاً بنيوياً للأزمة الرقمية باستخدام أدوات النموذج الهرمي القرآني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والأهم أنها لم تقتصر على التشخيص بل وصلت إلى العلاج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وهذا ما تفتقره معظم الكتابات النقدية للتكنولوجيا التي تُتقن وصف الداء ولا تُقدّم دواءً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19705129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٤ على مستوى النموذج التطبيقي</w:t>
      </w:r>
    </w:p>
    <w:p w14:paraId="06BD5382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نموذج الاستخلاف الرقمي الواعي قابل للتطبيق في سياقات متعددة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التربية والتعليم، الإرشاد النفسي الديني، السياسات التعليمية، وبرامج الصحة الرقمية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وهذا ما يجعل الأطروحة ليست عملاً أكاديمياً نظرياً بل إسهاماً في قضية حضارية راهنة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022CB39E">
      <w:pPr>
        <w:spacing w:before="120" w:after="120"/>
        <w:jc w:val="left"/>
      </w:pPr>
    </w:p>
    <w:p w14:paraId="60C2465B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٤ 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—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حدود الأطروحة والمناطق المفتوحة</w:t>
      </w:r>
    </w:p>
    <w:p w14:paraId="1434946B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كل بحث أكاديمي صادق يُقرّ بحدوده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وهذه الأطروحة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رغم امتدادها النظري والعملي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تُقرّ بمناطق ثلاث لم تستطع الإجابة عنها بالعمق الكافي وتتركها مفتوحة للبحث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</w:p>
    <w:p w14:paraId="5E5D6537">
      <w:pPr>
        <w:spacing w:before="60" w:after="60"/>
        <w:jc w:val="left"/>
      </w:pPr>
    </w:p>
    <w:p w14:paraId="6E735A30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8B1A1A"/>
          <w:sz w:val="24"/>
          <w:szCs w:val="24"/>
          <w:rtl/>
        </w:rPr>
        <w:t xml:space="preserve">الحد الأول </w:t>
      </w:r>
      <w:r>
        <w:rPr>
          <w:rFonts w:ascii="Arial" w:hAnsi="Arial" w:eastAsia="Arial" w:cs="Arial"/>
          <w:b/>
          <w:bCs/>
          <w:color w:val="8B1A1A"/>
          <w:sz w:val="24"/>
          <w:szCs w:val="24"/>
        </w:rPr>
        <w:t>—</w:t>
      </w:r>
      <w:r>
        <w:rPr>
          <w:rFonts w:ascii="Arial" w:hAnsi="Arial" w:eastAsia="Arial" w:cs="Arial"/>
          <w:b/>
          <w:bCs/>
          <w:color w:val="8B1A1A"/>
          <w:sz w:val="24"/>
          <w:szCs w:val="24"/>
          <w:rtl/>
        </w:rPr>
        <w:t xml:space="preserve"> البُعد التجريبي</w:t>
      </w:r>
      <w:r>
        <w:rPr>
          <w:rFonts w:ascii="Arial" w:hAnsi="Arial" w:eastAsia="Arial" w:cs="Arial"/>
          <w:b/>
          <w:bCs/>
          <w:color w:val="8B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الأطروحة قدّمت نموذجاً نظرياً وعملياً لكنها لم تختبره ميدانياً بمنهج تجريبي قابل للقياس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لا يوجد حتى الآن دراسة علمية مُحكَّمة تقيس أثر الاستخلاف الرقمي الواعي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كما عُرِّف في هذه الأطروحة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على مؤشرات الرفاهية النفسية القابلة للقياس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64543653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8B1A1A"/>
          <w:sz w:val="24"/>
          <w:szCs w:val="24"/>
          <w:rtl/>
        </w:rPr>
        <w:t xml:space="preserve">الحد الثاني </w:t>
      </w:r>
      <w:r>
        <w:rPr>
          <w:rFonts w:ascii="Arial" w:hAnsi="Arial" w:eastAsia="Arial" w:cs="Arial"/>
          <w:b/>
          <w:bCs/>
          <w:color w:val="8B1A1A"/>
          <w:sz w:val="24"/>
          <w:szCs w:val="24"/>
        </w:rPr>
        <w:t>—</w:t>
      </w:r>
      <w:r>
        <w:rPr>
          <w:rFonts w:ascii="Arial" w:hAnsi="Arial" w:eastAsia="Arial" w:cs="Arial"/>
          <w:b/>
          <w:bCs/>
          <w:color w:val="8B1A1A"/>
          <w:sz w:val="24"/>
          <w:szCs w:val="24"/>
          <w:rtl/>
        </w:rPr>
        <w:t xml:space="preserve"> البُعد الفردي</w:t>
      </w:r>
      <w:r>
        <w:rPr>
          <w:rFonts w:ascii="Arial" w:hAnsi="Arial" w:eastAsia="Arial" w:cs="Arial"/>
          <w:b/>
          <w:bCs/>
          <w:color w:val="8B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النموذج المُقدَّم يتعامل مع </w:t>
      </w:r>
      <w:r>
        <w:rPr>
          <w:rFonts w:ascii="Arial" w:hAnsi="Arial" w:eastAsia="Arial" w:cs="Arial"/>
          <w:color w:val="1A1A1A"/>
          <w:sz w:val="24"/>
          <w:szCs w:val="24"/>
        </w:rPr>
        <w:t>'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الإنسان المعاصر</w:t>
      </w:r>
      <w:r>
        <w:rPr>
          <w:rFonts w:ascii="Arial" w:hAnsi="Arial" w:eastAsia="Arial" w:cs="Arial"/>
          <w:color w:val="1A1A1A"/>
          <w:sz w:val="24"/>
          <w:szCs w:val="24"/>
        </w:rPr>
        <w:t>'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كفئة كلية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غير أن التفاوتات الفردية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في البيئة، السن، المرحلة التعليمية، الخلفية الثقافية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تستدعي تخصيصاً أكبر للنموذج لا يوفّره هذا الإطار العام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210AD005">
      <w:pPr>
        <w:bidi/>
        <w:spacing w:before="80" w:after="8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8B1A1A"/>
          <w:sz w:val="24"/>
          <w:szCs w:val="24"/>
          <w:rtl/>
        </w:rPr>
        <w:t xml:space="preserve">الحد الثالث </w:t>
      </w:r>
      <w:r>
        <w:rPr>
          <w:rFonts w:ascii="Arial" w:hAnsi="Arial" w:eastAsia="Arial" w:cs="Arial"/>
          <w:b/>
          <w:bCs/>
          <w:color w:val="8B1A1A"/>
          <w:sz w:val="24"/>
          <w:szCs w:val="24"/>
        </w:rPr>
        <w:t>—</w:t>
      </w:r>
      <w:r>
        <w:rPr>
          <w:rFonts w:ascii="Arial" w:hAnsi="Arial" w:eastAsia="Arial" w:cs="Arial"/>
          <w:b/>
          <w:bCs/>
          <w:color w:val="8B1A1A"/>
          <w:sz w:val="24"/>
          <w:szCs w:val="24"/>
          <w:rtl/>
        </w:rPr>
        <w:t xml:space="preserve"> البُعد التقني المتسارع</w:t>
      </w:r>
      <w:r>
        <w:rPr>
          <w:rFonts w:ascii="Arial" w:hAnsi="Arial" w:eastAsia="Arial" w:cs="Arial"/>
          <w:b/>
          <w:bCs/>
          <w:color w:val="8B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العالم الرقمي يتغير بسرعة تفوق قدرة أي نموذج نظري على الملاحقة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الذكاء الاصطناعي التوليدي والواقع المعزّز والنماذج الجديدة للتفاعل البشري</w:t>
      </w:r>
      <w:r>
        <w:rPr>
          <w:rFonts w:ascii="Arial" w:hAnsi="Arial" w:eastAsia="Arial" w:cs="Arial"/>
          <w:color w:val="1A1A1A"/>
          <w:sz w:val="24"/>
          <w:szCs w:val="24"/>
        </w:rPr>
        <w:t>-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الآلي تطرح تحديات جديدة لم تُعالجها هذه الأطروحة</w:t>
      </w:r>
      <w:r>
        <w:rPr>
          <w:rFonts w:ascii="Arial" w:hAnsi="Arial" w:eastAsia="Arial" w:cs="Arial"/>
          <w:color w:val="1A1A1A"/>
          <w:sz w:val="24"/>
          <w:szCs w:val="24"/>
        </w:rPr>
        <w:t>.</w:t>
      </w:r>
    </w:p>
    <w:p w14:paraId="178FEB78">
      <w:pPr>
        <w:spacing w:before="80" w:after="80"/>
        <w:jc w:val="left"/>
      </w:pPr>
    </w:p>
    <w:p w14:paraId="038641A0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٥ 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—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الآفاق البحثية المفتوحة</w:t>
      </w:r>
    </w:p>
    <w:p w14:paraId="2039EBA8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٥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١ آفاق في علم النفس الإسلامي</w:t>
      </w:r>
    </w:p>
    <w:p w14:paraId="7449CCE9">
      <w:pPr>
        <w:bidi/>
        <w:spacing w:before="100" w:after="6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سؤال ١</w:t>
      </w:r>
      <w:r>
        <w:rPr>
          <w:rFonts w:ascii="Arial" w:hAnsi="Arial" w:eastAsia="Arial" w:cs="Arial"/>
          <w:b/>
          <w:bCs/>
          <w:color w:val="2E6DA4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كيف يتأثر النموذج الهرمي القرآني بمتغيرات الدورة الحياتية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الطفولة، المراهقة، الشيخوخة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؟ وهل للخوارزمية أثر مختلف على النفس في كل مرحلة؟</w:t>
      </w:r>
    </w:p>
    <w:p w14:paraId="28F965D5">
      <w:pPr>
        <w:bidi/>
        <w:spacing w:before="60" w:after="6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سؤال ٢</w:t>
      </w:r>
      <w:r>
        <w:rPr>
          <w:rFonts w:ascii="Arial" w:hAnsi="Arial" w:eastAsia="Arial" w:cs="Arial"/>
          <w:b/>
          <w:bCs/>
          <w:color w:val="2E6DA4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ما العلاقة بين النموذج الهرمي القرآني ونظريات علم النفس الإيجابي الجديد </w:t>
      </w:r>
      <w:r>
        <w:rPr>
          <w:rFonts w:ascii="Arial" w:hAnsi="Arial" w:eastAsia="Arial" w:cs="Arial"/>
          <w:color w:val="1A1A1A"/>
          <w:sz w:val="24"/>
          <w:szCs w:val="24"/>
        </w:rPr>
        <w:t>(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نموذج </w:t>
      </w:r>
      <w:r>
        <w:rPr>
          <w:rFonts w:ascii="Arial" w:hAnsi="Arial" w:eastAsia="Arial" w:cs="Arial"/>
          <w:color w:val="1A1A1A"/>
          <w:sz w:val="24"/>
          <w:szCs w:val="24"/>
        </w:rPr>
        <w:t>PERMA-V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لسيليغمان</w:t>
      </w:r>
      <w:r>
        <w:rPr>
          <w:rFonts w:ascii="Arial" w:hAnsi="Arial" w:eastAsia="Arial" w:cs="Arial"/>
          <w:color w:val="1A1A1A"/>
          <w:sz w:val="24"/>
          <w:szCs w:val="24"/>
        </w:rPr>
        <w:t>)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؟ وأين يكمل كل منهما الآخر؟</w:t>
      </w:r>
    </w:p>
    <w:p w14:paraId="55FFF556">
      <w:pPr>
        <w:bidi/>
        <w:spacing w:before="60" w:after="10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سؤال ٣</w:t>
      </w:r>
      <w:r>
        <w:rPr>
          <w:rFonts w:ascii="Arial" w:hAnsi="Arial" w:eastAsia="Arial" w:cs="Arial"/>
          <w:b/>
          <w:bCs/>
          <w:color w:val="2E6DA4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كيف تتفاعل ظاهرة </w:t>
      </w:r>
      <w:r>
        <w:rPr>
          <w:rFonts w:ascii="Arial" w:hAnsi="Arial" w:eastAsia="Arial" w:cs="Arial"/>
          <w:color w:val="1A1A1A"/>
          <w:sz w:val="24"/>
          <w:szCs w:val="24"/>
        </w:rPr>
        <w:t>'</w:t>
      </w:r>
      <w:r>
        <w:rPr>
          <w:rFonts w:ascii="Arial" w:hAnsi="Arial" w:eastAsia="Arial" w:cs="Arial"/>
          <w:color w:val="1A1A1A"/>
          <w:sz w:val="24"/>
          <w:szCs w:val="24"/>
          <w:rtl/>
        </w:rPr>
        <w:t>الصحوة الرقمية</w:t>
      </w:r>
      <w:r>
        <w:rPr>
          <w:rFonts w:ascii="Arial" w:hAnsi="Arial" w:eastAsia="Arial" w:cs="Arial"/>
          <w:color w:val="1A1A1A"/>
          <w:sz w:val="24"/>
          <w:szCs w:val="24"/>
        </w:rPr>
        <w:t>' (Digital Detox)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مع آليات التوبة والتزكية القرآنية؟ هل يمكن إنتاج بروتوكول علاجي إسلامي مُهيكَل للإدمان الرقمي؟</w:t>
      </w:r>
    </w:p>
    <w:p w14:paraId="502D6EBE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٥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٢ آفاق في مواجهة الذكاء الاصطناعي التوليدي</w:t>
      </w:r>
    </w:p>
    <w:p w14:paraId="60D6D2F5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الذكاء الاصطناعي التوليدي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بأنظمة المحادثة والإبداع الآلي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يطرح تحدياً جديداً للهوية الإنسانية أعمق من تحدي الخوارزمية التقليدية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إذا كان بإمكان الآلة أن تُنتج فناً وشعراً وحواراً ورأياً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فأين الحد الفاصل بين الخليفة والأداة؟</w:t>
      </w:r>
    </w:p>
    <w:p w14:paraId="531A112D">
      <w:pPr>
        <w:pBdr>
          <w:left w:val="single" w:color="2E6DA4" w:sz="20" w:space="6"/>
        </w:pBdr>
        <w:spacing w:before="200" w:after="160"/>
        <w:ind w:left="800" w:right="200"/>
        <w:jc w:val="left"/>
      </w:pPr>
      <w:r>
        <w:rPr>
          <w:rFonts w:ascii="Arial" w:hAnsi="Arial" w:eastAsia="Arial" w:cs="Arial"/>
          <w:color w:val="2A2A2A"/>
          <w:sz w:val="22"/>
          <w:szCs w:val="22"/>
        </w:rPr>
        <w:t>« L'intelligence artificielle générative pose une question que la psychologie n'avait jamais eu à poser : qu'est-ce qui est spécifiquement humain ? La réponse ne peut pas être trouvée dans la performance cognitive — elle doit être cherchée dans la relation, la responsabilité et la transcendance. »</w:t>
      </w:r>
      <w:r>
        <w:rPr>
          <w:rFonts w:ascii="Arial" w:hAnsi="Arial" w:eastAsia="Arial" w:cs="Arial"/>
          <w:color w:val="666666"/>
          <w:sz w:val="19"/>
          <w:szCs w:val="19"/>
        </w:rPr>
        <w:br w:type="textWrapping"/>
      </w:r>
      <w:r>
        <w:rPr>
          <w:rFonts w:ascii="Arial" w:hAnsi="Arial" w:eastAsia="Arial" w:cs="Arial"/>
          <w:color w:val="666666"/>
          <w:sz w:val="19"/>
          <w:szCs w:val="19"/>
        </w:rPr>
        <w:t>
— Luciano Floridi — L'Éthique de l'intelligence artificielle (2023), Odile Jacob, Paris, p. 167</w:t>
      </w:r>
    </w:p>
    <w:p w14:paraId="49A2903A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هذا السؤال الجوهري الذي يطرحه فلوريدي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ما الذي هو بشري بالخصوص؟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هو بالضبط ما يُجيب عنه النموذج الهرمي القرآني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الإنسانية ليست في الذكاء المعرفي بل في العلاقة مع الله والمسؤولية الاستخلافية والفطرة الملهَمة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وهذه الأبعاد الثلاثة لا تملكها أي آلة مهما بلغت قدراتها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2C384A53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٥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٣ آفاق في التربية والسياسات التعليمية</w:t>
      </w:r>
    </w:p>
    <w:p w14:paraId="7B88C4F5">
      <w:pPr>
        <w:bidi/>
        <w:spacing w:before="100" w:after="6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سؤال ١</w:t>
      </w:r>
      <w:r>
        <w:rPr>
          <w:rFonts w:ascii="Arial" w:hAnsi="Arial" w:eastAsia="Arial" w:cs="Arial"/>
          <w:b/>
          <w:bCs/>
          <w:color w:val="2E6DA4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كيف يُترجَم نموذج الاستخلاف الرقمي الواعي إلى مناهج تعليمية مُهيكَلة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من المرحلة الابتدائية حتى التعليم العالي؟</w:t>
      </w:r>
    </w:p>
    <w:p w14:paraId="50FAF43A">
      <w:pPr>
        <w:bidi/>
        <w:spacing w:before="60" w:after="6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سؤال ٢</w:t>
      </w:r>
      <w:r>
        <w:rPr>
          <w:rFonts w:ascii="Arial" w:hAnsi="Arial" w:eastAsia="Arial" w:cs="Arial"/>
          <w:b/>
          <w:bCs/>
          <w:color w:val="2E6DA4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ما مواصفات المعلم المُستخلِف رقمياً </w:t>
      </w:r>
      <w:r>
        <w:rPr>
          <w:rFonts w:ascii="Arial" w:hAnsi="Arial" w:eastAsia="Arial" w:cs="Arial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من يُعلّم الاستخدام الواعي بنموذجه الحي قبل كلامه النظري؟</w:t>
      </w:r>
    </w:p>
    <w:p w14:paraId="349BFDDE">
      <w:pPr>
        <w:bidi/>
        <w:spacing w:before="60" w:after="10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2E6DA4"/>
          <w:sz w:val="24"/>
          <w:szCs w:val="24"/>
          <w:rtl/>
        </w:rPr>
        <w:t>سؤال ٣</w:t>
      </w:r>
      <w:r>
        <w:rPr>
          <w:rFonts w:ascii="Arial" w:hAnsi="Arial" w:eastAsia="Arial" w:cs="Arial"/>
          <w:b/>
          <w:bCs/>
          <w:color w:val="2E6DA4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كيف تُبنى سياسة تعليمية وطنية تُوازن بين مطلب التكيّف مع الاقتصاد الرقمي ومطلب الحفاظ على القدرات الإنسانية العميقة؟</w:t>
      </w:r>
    </w:p>
    <w:p w14:paraId="190578C3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٥</w:t>
      </w:r>
      <w:r>
        <w:rPr>
          <w:rFonts w:ascii="Arial" w:hAnsi="Arial" w:eastAsia="Arial" w:cs="Arial"/>
          <w:b/>
          <w:bCs/>
          <w:color w:val="2E6DA4"/>
          <w:sz w:val="30"/>
          <w:szCs w:val="30"/>
        </w:rPr>
        <w:t>-</w:t>
      </w: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٤ آفاق في الفقه الرقمي</w:t>
      </w:r>
    </w:p>
    <w:p w14:paraId="2EE4D521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لا تزال المكتبة الفقهية الإسلامية في بداياتها في معالجة الفضاء الرقمي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إذ تكتفي في معظمها بتطبيق الأحكام الكلاسيكية على مستجدات جزئية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بينما الحاجة الراهنة هي بناء فقه رقمي منهجي يُعالج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</w:p>
    <w:p w14:paraId="52BB7506">
      <w:pPr>
        <w:bidi/>
        <w:spacing w:before="60" w:after="4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1A1A1A"/>
          <w:sz w:val="24"/>
          <w:szCs w:val="24"/>
        </w:rPr>
        <w:t>•</w:t>
      </w:r>
      <w:r>
        <w:rPr>
          <w:rFonts w:ascii="Arial" w:hAnsi="Arial" w:eastAsia="Arial" w:cs="Arial"/>
          <w:b/>
          <w:bCs/>
          <w:color w:val="1A1A1A"/>
          <w:sz w:val="24"/>
          <w:szCs w:val="24"/>
          <w:rtl/>
        </w:rPr>
        <w:t xml:space="preserve"> فقه الانتباه</w:t>
      </w:r>
      <w:r>
        <w:rPr>
          <w:rFonts w:ascii="Arial" w:hAnsi="Arial" w:eastAsia="Arial" w:cs="Arial"/>
          <w:b/>
          <w:bCs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ما الحكم الشرعي في بيع الانتباه للمعلنين؟ وما ضوابط الاقتصاد القائم على بيانات المستخدم؟</w:t>
      </w:r>
    </w:p>
    <w:p w14:paraId="264539FB">
      <w:pPr>
        <w:bidi/>
        <w:spacing w:before="40" w:after="4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1A1A1A"/>
          <w:sz w:val="24"/>
          <w:szCs w:val="24"/>
        </w:rPr>
        <w:t>•</w:t>
      </w:r>
      <w:r>
        <w:rPr>
          <w:rFonts w:ascii="Arial" w:hAnsi="Arial" w:eastAsia="Arial" w:cs="Arial"/>
          <w:b/>
          <w:bCs/>
          <w:color w:val="1A1A1A"/>
          <w:sz w:val="24"/>
          <w:szCs w:val="24"/>
          <w:rtl/>
        </w:rPr>
        <w:t xml:space="preserve"> فقه المحتوى</w:t>
      </w:r>
      <w:r>
        <w:rPr>
          <w:rFonts w:ascii="Arial" w:hAnsi="Arial" w:eastAsia="Arial" w:cs="Arial"/>
          <w:b/>
          <w:bCs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ما ضوابط الإنتاج الرقمي من نشر وتعليق ومشاركة؟ وما حدود حرية التعبير الرقمي في ضوء مقاصد الشريعة؟</w:t>
      </w:r>
    </w:p>
    <w:p w14:paraId="6C00E8C4">
      <w:pPr>
        <w:bidi/>
        <w:spacing w:before="40" w:after="100" w:line="420" w:lineRule="auto"/>
        <w:ind w:firstLine="720"/>
        <w:jc w:val="left"/>
      </w:pPr>
      <w:r>
        <w:rPr>
          <w:rFonts w:ascii="Arial" w:hAnsi="Arial" w:eastAsia="Arial" w:cs="Arial"/>
          <w:b/>
          <w:bCs/>
          <w:color w:val="1A1A1A"/>
          <w:sz w:val="24"/>
          <w:szCs w:val="24"/>
        </w:rPr>
        <w:t>•</w:t>
      </w:r>
      <w:r>
        <w:rPr>
          <w:rFonts w:ascii="Arial" w:hAnsi="Arial" w:eastAsia="Arial" w:cs="Arial"/>
          <w:b/>
          <w:bCs/>
          <w:color w:val="1A1A1A"/>
          <w:sz w:val="24"/>
          <w:szCs w:val="24"/>
          <w:rtl/>
        </w:rPr>
        <w:t xml:space="preserve"> فقه الوقت الرقمي</w:t>
      </w:r>
      <w:r>
        <w:rPr>
          <w:rFonts w:ascii="Arial" w:hAnsi="Arial" w:eastAsia="Arial" w:cs="Arial"/>
          <w:b/>
          <w:bCs/>
          <w:color w:val="1A1A1A"/>
          <w:sz w:val="24"/>
          <w:szCs w:val="24"/>
        </w:rPr>
        <w:t>:</w:t>
      </w:r>
      <w:r>
        <w:rPr>
          <w:rFonts w:ascii="Arial" w:hAnsi="Arial" w:eastAsia="Arial" w:cs="Arial"/>
          <w:color w:val="1A1A1A"/>
          <w:sz w:val="24"/>
          <w:szCs w:val="24"/>
          <w:rtl/>
        </w:rPr>
        <w:t xml:space="preserve">  ما الأحكام الشرعية للوقت المُضاع في الاستهلاك الرقمي العشوائي؟ وكيف يُبنى على هذا تقدير فقهي للمسؤولية الفردية؟</w:t>
      </w:r>
    </w:p>
    <w:p w14:paraId="66DA7B6C">
      <w:pPr>
        <w:spacing w:before="120" w:after="120"/>
        <w:jc w:val="left"/>
      </w:pPr>
    </w:p>
    <w:p w14:paraId="179CFD7F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٦ 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—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الكلمة الختامية</w:t>
      </w:r>
      <w:r>
        <w:rPr>
          <w:rFonts w:ascii="Arial" w:hAnsi="Arial" w:eastAsia="Arial" w:cs="Arial"/>
          <w:b/>
          <w:bCs/>
          <w:color w:val="1A3C5E"/>
          <w:sz w:val="40"/>
          <w:szCs w:val="40"/>
        </w:rPr>
        <w:t>:</w:t>
      </w: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 xml:space="preserve"> الإنسان لم ينتهِ</w:t>
      </w:r>
    </w:p>
    <w:p w14:paraId="47DF73A2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في لحظات اليأس من المشهد الرقمي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حين يبدو أن الخوارزمية قد هيمنت بلا منازع، وأن الإنسان قد استسلم لجهاز الإشعارات دون مقاومة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في هذه اللحظات بالذات تأتي آية القرآن لتُعيد توجيه البوصلة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</w:p>
    <w:p w14:paraId="48C94DA5">
      <w:pPr>
        <w:spacing w:before="80" w:after="80"/>
        <w:jc w:val="left"/>
      </w:pPr>
    </w:p>
    <w:p w14:paraId="50EE313C">
      <w:pPr>
        <w:pBdr>
          <w:top w:val="single" w:color="B8860B" w:sz="2" w:space="0"/>
          <w:left w:val="single" w:color="B8860B" w:sz="22" w:space="0"/>
          <w:bottom w:val="single" w:color="B8860B" w:sz="2" w:space="0"/>
          <w:right w:val="single" w:color="B8860B" w:sz="22" w:space="0"/>
        </w:pBdr>
        <w:bidi/>
        <w:spacing w:before="260" w:after="180"/>
        <w:jc w:val="left"/>
      </w:pPr>
      <w:r>
        <w:rPr>
          <w:rFonts w:ascii="Arial" w:hAnsi="Arial" w:eastAsia="Arial" w:cs="Arial"/>
          <w:b/>
          <w:bCs/>
          <w:color w:val="5C3D11"/>
          <w:sz w:val="30"/>
          <w:szCs w:val="30"/>
          <w:rtl/>
        </w:rPr>
        <w:t>قَدْ أَفْلَحَ مَن زَكَّاهَا ۝ وَقَدْ خَابَ مَن دَسَّاهَا</w:t>
      </w:r>
      <w:r>
        <w:rPr>
          <w:rFonts w:ascii="Arial" w:hAnsi="Arial" w:eastAsia="Arial" w:cs="Arial"/>
          <w:color w:val="8B6914"/>
          <w:sz w:val="21"/>
          <w:szCs w:val="21"/>
        </w:rPr>
        <w:br w:type="textWrapping"/>
      </w:r>
      <w:r>
        <w:rPr>
          <w:rFonts w:ascii="Arial" w:hAnsi="Arial" w:eastAsia="Arial" w:cs="Arial"/>
          <w:color w:val="8B6914"/>
          <w:sz w:val="21"/>
          <w:szCs w:val="21"/>
        </w:rPr>
        <w:t>
—</w:t>
      </w:r>
      <w:r>
        <w:rPr>
          <w:rFonts w:ascii="Arial" w:hAnsi="Arial" w:eastAsia="Arial" w:cs="Arial"/>
          <w:color w:val="8B6914"/>
          <w:sz w:val="21"/>
          <w:szCs w:val="21"/>
          <w:rtl/>
        </w:rPr>
        <w:t xml:space="preserve"> الشمس</w:t>
      </w:r>
      <w:r>
        <w:rPr>
          <w:rFonts w:ascii="Arial" w:hAnsi="Arial" w:eastAsia="Arial" w:cs="Arial"/>
          <w:color w:val="8B6914"/>
          <w:sz w:val="21"/>
          <w:szCs w:val="21"/>
        </w:rPr>
        <w:t>:</w:t>
      </w:r>
      <w:r>
        <w:rPr>
          <w:rFonts w:ascii="Arial" w:hAnsi="Arial" w:eastAsia="Arial" w:cs="Arial"/>
          <w:color w:val="8B6914"/>
          <w:sz w:val="21"/>
          <w:szCs w:val="21"/>
          <w:rtl/>
        </w:rPr>
        <w:t xml:space="preserve"> ٩</w:t>
      </w:r>
      <w:r>
        <w:rPr>
          <w:rFonts w:ascii="Arial" w:hAnsi="Arial" w:eastAsia="Arial" w:cs="Arial"/>
          <w:color w:val="8B6914"/>
          <w:sz w:val="21"/>
          <w:szCs w:val="21"/>
        </w:rPr>
        <w:t>-</w:t>
      </w:r>
      <w:r>
        <w:rPr>
          <w:rFonts w:ascii="Arial" w:hAnsi="Arial" w:eastAsia="Arial" w:cs="Arial"/>
          <w:color w:val="8B6914"/>
          <w:sz w:val="21"/>
          <w:szCs w:val="21"/>
          <w:rtl/>
        </w:rPr>
        <w:t>١٠</w:t>
      </w:r>
    </w:p>
    <w:p w14:paraId="16415CF8">
      <w:pPr>
        <w:spacing w:before="80" w:after="80"/>
        <w:jc w:val="left"/>
      </w:pPr>
    </w:p>
    <w:p w14:paraId="2CBE306D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الأفعال هنا في صيغة الماضي الدالة على اليقين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من اختار التزكية فقد أفلح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هذا الفلاح مُقرَّر ومضمون لكل من سلك الطريق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والاختيار لا يزال حراً وحقيقياً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2F3A89FD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هذه الأطروحة لا تدّعي أنها أغلقت باباً أو استنفدت موضوعاً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بل هي محاولة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بشرية وقابلة للنقد والتطوير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لفتح حوار أكاديمي جاد بين أعمق فهم للنفس البشرية قدّمه القرآن وبين أعقد أزمة واجهتها هذه النفس في تاريخها الحديث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6A1D1117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والرسالة الأساسية التي تُغادر بها هذه الأطروحة قارئها هي رسالة أمل لا يأس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: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الإنسان لم ينتهِ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الخوارزمية لا تستطيع أن تمحو الإلهام الفطري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واللوامة لا تموت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بل تنتظر الصمت لتتكلم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والمطمئنة ليست حلماً 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—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 xml:space="preserve"> بل وعد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498A757B">
      <w:pPr>
        <w:spacing w:before="100" w:after="100"/>
        <w:jc w:val="left"/>
      </w:pPr>
    </w:p>
    <w:p w14:paraId="0EEB55EA">
      <w:pPr>
        <w:pBdr>
          <w:top w:val="single" w:color="1A6B1A" w:sz="2" w:space="0"/>
          <w:left w:val="single" w:color="1A6B1A" w:sz="16" w:space="0"/>
          <w:bottom w:val="single" w:color="1A6B1A" w:sz="2" w:space="0"/>
          <w:right w:val="single" w:color="1A6B1A" w:sz="16" w:space="0"/>
        </w:pBdr>
        <w:shd w:val="clear" w:fill="F0FFF0"/>
        <w:bidi/>
        <w:spacing w:before="220" w:after="180"/>
        <w:jc w:val="left"/>
      </w:pPr>
      <w:r>
        <w:rPr>
          <w:rFonts w:ascii="Arial" w:hAnsi="Arial" w:eastAsia="Arial" w:cs="Arial"/>
          <w:color w:val="0A4A0A"/>
          <w:sz w:val="23"/>
          <w:szCs w:val="23"/>
          <w:rtl/>
        </w:rPr>
        <w:t>الخلاصة الكبرى</w:t>
      </w:r>
      <w:r>
        <w:rPr>
          <w:rFonts w:ascii="Arial" w:hAnsi="Arial" w:eastAsia="Arial" w:cs="Arial"/>
          <w:color w:val="0A4A0A"/>
          <w:sz w:val="23"/>
          <w:szCs w:val="23"/>
        </w:rPr>
        <w:t>: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الإنسان المعاصر يواجه خوارزمية صُمِّمت لتجعله مستهلكاً</w:t>
      </w:r>
      <w:r>
        <w:rPr>
          <w:rFonts w:ascii="Arial" w:hAnsi="Arial" w:eastAsia="Arial" w:cs="Arial"/>
          <w:color w:val="0A4A0A"/>
          <w:sz w:val="23"/>
          <w:szCs w:val="23"/>
        </w:rPr>
        <w:t>.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والقرآن يُقدّم نموذجاً مُثبتاً </w:t>
      </w:r>
      <w:r>
        <w:rPr>
          <w:rFonts w:ascii="Arial" w:hAnsi="Arial" w:eastAsia="Arial" w:cs="Arial"/>
          <w:color w:val="0A4A0A"/>
          <w:sz w:val="23"/>
          <w:szCs w:val="23"/>
        </w:rPr>
        <w:t>—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نظرياً وعملياً </w:t>
      </w:r>
      <w:r>
        <w:rPr>
          <w:rFonts w:ascii="Arial" w:hAnsi="Arial" w:eastAsia="Arial" w:cs="Arial"/>
          <w:color w:val="0A4A0A"/>
          <w:sz w:val="23"/>
          <w:szCs w:val="23"/>
        </w:rPr>
        <w:t>—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لاستعادة دوره الاستخلافي</w:t>
      </w:r>
      <w:r>
        <w:rPr>
          <w:rFonts w:ascii="Arial" w:hAnsi="Arial" w:eastAsia="Arial" w:cs="Arial"/>
          <w:color w:val="0A4A0A"/>
          <w:sz w:val="23"/>
          <w:szCs w:val="23"/>
        </w:rPr>
        <w:t>.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المشكلة ليست تقنية </w:t>
      </w:r>
      <w:r>
        <w:rPr>
          <w:rFonts w:ascii="Arial" w:hAnsi="Arial" w:eastAsia="Arial" w:cs="Arial"/>
          <w:color w:val="0A4A0A"/>
          <w:sz w:val="23"/>
          <w:szCs w:val="23"/>
        </w:rPr>
        <w:t>—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بل وجودية</w:t>
      </w:r>
      <w:r>
        <w:rPr>
          <w:rFonts w:ascii="Arial" w:hAnsi="Arial" w:eastAsia="Arial" w:cs="Arial"/>
          <w:color w:val="0A4A0A"/>
          <w:sz w:val="23"/>
          <w:szCs w:val="23"/>
        </w:rPr>
        <w:t>.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والحل ليست أداةً </w:t>
      </w:r>
      <w:r>
        <w:rPr>
          <w:rFonts w:ascii="Arial" w:hAnsi="Arial" w:eastAsia="Arial" w:cs="Arial"/>
          <w:color w:val="0A4A0A"/>
          <w:sz w:val="23"/>
          <w:szCs w:val="23"/>
        </w:rPr>
        <w:t>—</w:t>
      </w:r>
      <w:r>
        <w:rPr>
          <w:rFonts w:ascii="Arial" w:hAnsi="Arial" w:eastAsia="Arial" w:cs="Arial"/>
          <w:color w:val="0A4A0A"/>
          <w:sz w:val="23"/>
          <w:szCs w:val="23"/>
          <w:rtl/>
        </w:rPr>
        <w:t xml:space="preserve"> بل مسار تزكية</w:t>
      </w:r>
      <w:r>
        <w:rPr>
          <w:rFonts w:ascii="Arial" w:hAnsi="Arial" w:eastAsia="Arial" w:cs="Arial"/>
          <w:color w:val="0A4A0A"/>
          <w:sz w:val="23"/>
          <w:szCs w:val="23"/>
        </w:rPr>
        <w:t>.</w:t>
      </w:r>
    </w:p>
    <w:p w14:paraId="38A46EAC">
      <w:pPr>
        <w:spacing w:before="200" w:after="200"/>
        <w:jc w:val="left"/>
      </w:pPr>
    </w:p>
    <w:p w14:paraId="14A90B9C">
      <w:pPr>
        <w:pBdr>
          <w:right w:val="single" w:color="2E6DA4" w:sz="20" w:space="6"/>
        </w:pBdr>
        <w:bidi/>
        <w:spacing w:before="220" w:after="160"/>
        <w:ind w:left="500" w:right="900"/>
        <w:jc w:val="left"/>
      </w:pPr>
      <w:r>
        <w:rPr>
          <w:rFonts w:ascii="Arial" w:hAnsi="Arial" w:eastAsia="Arial" w:cs="Arial"/>
          <w:color w:val="2A2A2A"/>
          <w:sz w:val="23"/>
          <w:szCs w:val="23"/>
        </w:rPr>
        <w:t>"</w:t>
      </w:r>
      <w:r>
        <w:rPr>
          <w:rFonts w:ascii="Arial" w:hAnsi="Arial" w:eastAsia="Arial" w:cs="Arial"/>
          <w:color w:val="2A2A2A"/>
          <w:sz w:val="23"/>
          <w:szCs w:val="23"/>
          <w:rtl/>
        </w:rPr>
        <w:t>عَن أبي هريرة رضي الله عنه قال</w:t>
      </w:r>
      <w:r>
        <w:rPr>
          <w:rFonts w:ascii="Arial" w:hAnsi="Arial" w:eastAsia="Arial" w:cs="Arial"/>
          <w:color w:val="2A2A2A"/>
          <w:sz w:val="23"/>
          <w:szCs w:val="23"/>
        </w:rPr>
        <w:t>:</w:t>
      </w:r>
      <w:r>
        <w:rPr>
          <w:rFonts w:ascii="Arial" w:hAnsi="Arial" w:eastAsia="Arial" w:cs="Arial"/>
          <w:color w:val="2A2A2A"/>
          <w:sz w:val="23"/>
          <w:szCs w:val="23"/>
          <w:rtl/>
        </w:rPr>
        <w:t xml:space="preserve"> قال رسولُ الله صلى الله عليه وسلم</w:t>
      </w:r>
      <w:r>
        <w:rPr>
          <w:rFonts w:ascii="Arial" w:hAnsi="Arial" w:eastAsia="Arial" w:cs="Arial"/>
          <w:color w:val="2A2A2A"/>
          <w:sz w:val="23"/>
          <w:szCs w:val="23"/>
        </w:rPr>
        <w:t>:</w:t>
      </w:r>
      <w:r>
        <w:rPr>
          <w:rFonts w:ascii="Arial" w:hAnsi="Arial" w:eastAsia="Arial" w:cs="Arial"/>
          <w:color w:val="2A2A2A"/>
          <w:sz w:val="23"/>
          <w:szCs w:val="23"/>
          <w:rtl/>
        </w:rPr>
        <w:t xml:space="preserve"> مَن سَلَكَ طَرِيقاً يَلتَمِسُ فِيهِ عِلماً سَهَّلَ اللهُ لَهُ طَرِيقاً إِلَى الجَنَّة</w:t>
      </w:r>
      <w:r>
        <w:rPr>
          <w:rFonts w:ascii="Arial" w:hAnsi="Arial" w:eastAsia="Arial" w:cs="Arial"/>
          <w:color w:val="2A2A2A"/>
          <w:sz w:val="23"/>
          <w:szCs w:val="23"/>
        </w:rPr>
        <w:t>"</w:t>
      </w:r>
      <w:r>
        <w:rPr>
          <w:rFonts w:ascii="Arial" w:hAnsi="Arial" w:eastAsia="Arial" w:cs="Arial"/>
          <w:color w:val="555555"/>
          <w:sz w:val="20"/>
          <w:szCs w:val="20"/>
        </w:rPr>
        <w:br w:type="textWrapping"/>
      </w:r>
      <w:r>
        <w:rPr>
          <w:rFonts w:ascii="Arial" w:hAnsi="Arial" w:eastAsia="Arial" w:cs="Arial"/>
          <w:color w:val="555555"/>
          <w:sz w:val="20"/>
          <w:szCs w:val="20"/>
        </w:rPr>
        <w:t>
—</w:t>
      </w:r>
      <w:r>
        <w:rPr>
          <w:rFonts w:ascii="Arial" w:hAnsi="Arial" w:eastAsia="Arial" w:cs="Arial"/>
          <w:color w:val="555555"/>
          <w:sz w:val="20"/>
          <w:szCs w:val="20"/>
          <w:rtl/>
        </w:rPr>
        <w:t xml:space="preserve"> صحيح مسلم، كتاب الذكر والدعاء، ص</w:t>
      </w:r>
      <w:r>
        <w:rPr>
          <w:rFonts w:ascii="Arial" w:hAnsi="Arial" w:eastAsia="Arial" w:cs="Arial"/>
          <w:color w:val="555555"/>
          <w:sz w:val="20"/>
          <w:szCs w:val="20"/>
        </w:rPr>
        <w:t>.</w:t>
      </w:r>
      <w:r>
        <w:rPr>
          <w:rFonts w:ascii="Arial" w:hAnsi="Arial" w:eastAsia="Arial" w:cs="Arial"/>
          <w:color w:val="555555"/>
          <w:sz w:val="20"/>
          <w:szCs w:val="20"/>
          <w:rtl/>
        </w:rPr>
        <w:t xml:space="preserve"> حديث ٢٦٩٩</w:t>
      </w:r>
    </w:p>
    <w:p w14:paraId="20EE9DA1">
      <w:pPr>
        <w:spacing w:before="200" w:after="200"/>
        <w:jc w:val="left"/>
      </w:pPr>
    </w:p>
    <w:p w14:paraId="57DFBDA0">
      <w:pPr>
        <w:pBdr>
          <w:top w:val="single" w:color="B8860B" w:sz="2" w:space="0"/>
          <w:left w:val="single" w:color="B8860B" w:sz="22" w:space="0"/>
          <w:bottom w:val="single" w:color="B8860B" w:sz="2" w:space="0"/>
          <w:right w:val="single" w:color="B8860B" w:sz="22" w:space="0"/>
        </w:pBdr>
        <w:bidi/>
        <w:spacing w:before="260" w:after="180"/>
        <w:jc w:val="left"/>
      </w:pPr>
      <w:r>
        <w:rPr>
          <w:rFonts w:ascii="Arial" w:hAnsi="Arial" w:eastAsia="Arial" w:cs="Arial"/>
          <w:b/>
          <w:bCs/>
          <w:color w:val="5C3D11"/>
          <w:sz w:val="30"/>
          <w:szCs w:val="30"/>
          <w:rtl/>
        </w:rPr>
        <w:t>رَبَّنَا آتِنَا مِن لَّدُنكَ رَحْمَةً وَهَيِّئْ لَنَا مِنْ أَمْرِنَا رَشَدًا</w:t>
      </w:r>
      <w:r>
        <w:rPr>
          <w:rFonts w:ascii="Arial" w:hAnsi="Arial" w:eastAsia="Arial" w:cs="Arial"/>
          <w:color w:val="8B6914"/>
          <w:sz w:val="21"/>
          <w:szCs w:val="21"/>
        </w:rPr>
        <w:br w:type="textWrapping"/>
      </w:r>
      <w:r>
        <w:rPr>
          <w:rFonts w:ascii="Arial" w:hAnsi="Arial" w:eastAsia="Arial" w:cs="Arial"/>
          <w:color w:val="8B6914"/>
          <w:sz w:val="21"/>
          <w:szCs w:val="21"/>
        </w:rPr>
        <w:t>
—</w:t>
      </w:r>
      <w:r>
        <w:rPr>
          <w:rFonts w:ascii="Arial" w:hAnsi="Arial" w:eastAsia="Arial" w:cs="Arial"/>
          <w:color w:val="8B6914"/>
          <w:sz w:val="21"/>
          <w:szCs w:val="21"/>
          <w:rtl/>
        </w:rPr>
        <w:t xml:space="preserve"> الكهف</w:t>
      </w:r>
      <w:r>
        <w:rPr>
          <w:rFonts w:ascii="Arial" w:hAnsi="Arial" w:eastAsia="Arial" w:cs="Arial"/>
          <w:color w:val="8B6914"/>
          <w:sz w:val="21"/>
          <w:szCs w:val="21"/>
        </w:rPr>
        <w:t>:</w:t>
      </w:r>
      <w:r>
        <w:rPr>
          <w:rFonts w:ascii="Arial" w:hAnsi="Arial" w:eastAsia="Arial" w:cs="Arial"/>
          <w:color w:val="8B6914"/>
          <w:sz w:val="21"/>
          <w:szCs w:val="21"/>
          <w:rtl/>
        </w:rPr>
        <w:t xml:space="preserve"> ١٠</w:t>
      </w:r>
    </w:p>
    <w:p w14:paraId="28BD8271">
      <w:pPr>
        <w:pBdr>
          <w:bottom w:val="single" w:color="B8860B" w:sz="4" w:space="1"/>
        </w:pBdr>
        <w:spacing w:before="260" w:after="260"/>
        <w:jc w:val="left"/>
      </w:pPr>
      <w:bookmarkStart w:id="0" w:name="_GoBack"/>
      <w:bookmarkEnd w:id="0"/>
    </w:p>
    <w:p w14:paraId="4FD26134">
      <w:pPr>
        <w:spacing w:before="160" w:after="160"/>
        <w:jc w:val="left"/>
      </w:pPr>
    </w:p>
    <w:p w14:paraId="05300DC4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>جدول مراجع الأطروحة الإجمالي</w:t>
      </w:r>
    </w:p>
    <w:p w14:paraId="5A311CBD">
      <w:pPr>
        <w:bidi/>
        <w:spacing w:before="150" w:after="170" w:line="420" w:lineRule="auto"/>
        <w:ind w:firstLine="720"/>
        <w:jc w:val="left"/>
      </w:pPr>
      <w:r>
        <w:rPr>
          <w:rFonts w:ascii="Arial" w:hAnsi="Arial" w:eastAsia="Arial" w:cs="Arial"/>
          <w:b w:val="0"/>
          <w:bCs w:val="0"/>
          <w:color w:val="1A1A1A"/>
          <w:sz w:val="24"/>
          <w:szCs w:val="24"/>
          <w:rtl/>
        </w:rPr>
        <w:t>يُقدّم هذا الجدول خريطةً موجزة بالمصادر الرئيسية لكل فصل من فصول الأطروحة، تيسيراً للرجوع إليها وتوثيقاً لمسارها المعرفي الشامل</w:t>
      </w:r>
      <w:r>
        <w:rPr>
          <w:rFonts w:ascii="Arial" w:hAnsi="Arial" w:eastAsia="Arial" w:cs="Arial"/>
          <w:b w:val="0"/>
          <w:bCs w:val="0"/>
          <w:color w:val="1A1A1A"/>
          <w:sz w:val="24"/>
          <w:szCs w:val="24"/>
        </w:rPr>
        <w:t>.</w:t>
      </w:r>
    </w:p>
    <w:p w14:paraId="387C8DDB">
      <w:pPr>
        <w:spacing w:before="80" w:after="80"/>
        <w:jc w:val="left"/>
      </w:pPr>
    </w:p>
    <w:tbl>
      <w:tblPr>
        <w:tblStyle w:val="1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600"/>
        <w:gridCol w:w="3000"/>
        <w:gridCol w:w="2226"/>
      </w:tblGrid>
      <w:tr w14:paraId="0175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1A3C5E" w:sz="4" w:space="0"/>
              <w:left w:val="single" w:color="1A3C5E" w:sz="4" w:space="0"/>
              <w:bottom w:val="single" w:color="1A3C5E" w:sz="4" w:space="0"/>
              <w:right w:val="single" w:color="1A3C5E" w:sz="4" w:space="0"/>
            </w:tcBorders>
            <w:shd w:val="clear" w:color="auto" w:fill="1A3C5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A361E1">
            <w:pPr>
              <w:bidi/>
              <w:jc w:val="left"/>
            </w:pPr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  <w:rtl/>
              </w:rPr>
              <w:t>الفصل</w:t>
            </w:r>
          </w:p>
        </w:tc>
        <w:tc>
          <w:tcPr>
            <w:tcW w:w="2600" w:type="dxa"/>
            <w:tcBorders>
              <w:top w:val="single" w:color="1A3C5E" w:sz="4" w:space="0"/>
              <w:left w:val="single" w:color="1A3C5E" w:sz="4" w:space="0"/>
              <w:bottom w:val="single" w:color="1A3C5E" w:sz="4" w:space="0"/>
              <w:right w:val="single" w:color="1A3C5E" w:sz="4" w:space="0"/>
            </w:tcBorders>
            <w:shd w:val="clear" w:color="auto" w:fill="1A3C5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D7ADC8">
            <w:pPr>
              <w:bidi/>
              <w:jc w:val="left"/>
            </w:pPr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  <w:rtl/>
              </w:rPr>
              <w:t>المصادر العربية الرئيسية</w:t>
            </w:r>
          </w:p>
        </w:tc>
        <w:tc>
          <w:tcPr>
            <w:tcW w:w="3000" w:type="dxa"/>
            <w:tcBorders>
              <w:top w:val="single" w:color="1A3C5E" w:sz="4" w:space="0"/>
              <w:left w:val="single" w:color="1A3C5E" w:sz="4" w:space="0"/>
              <w:bottom w:val="single" w:color="1A3C5E" w:sz="4" w:space="0"/>
              <w:right w:val="single" w:color="1A3C5E" w:sz="4" w:space="0"/>
            </w:tcBorders>
            <w:shd w:val="clear" w:color="auto" w:fill="1A3C5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AE19F1">
            <w:pPr>
              <w:bidi/>
              <w:jc w:val="left"/>
            </w:pPr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  <w:rtl/>
              </w:rPr>
              <w:t>المراجع الفرنسية الرئيسية</w:t>
            </w:r>
          </w:p>
        </w:tc>
        <w:tc>
          <w:tcPr>
            <w:tcW w:w="2226" w:type="dxa"/>
            <w:tcBorders>
              <w:top w:val="single" w:color="1A3C5E" w:sz="4" w:space="0"/>
              <w:left w:val="single" w:color="1A3C5E" w:sz="4" w:space="0"/>
              <w:bottom w:val="single" w:color="1A3C5E" w:sz="4" w:space="0"/>
              <w:right w:val="single" w:color="1A3C5E" w:sz="4" w:space="0"/>
            </w:tcBorders>
            <w:shd w:val="clear" w:color="auto" w:fill="1A3C5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D70552">
            <w:pPr>
              <w:bidi/>
              <w:jc w:val="left"/>
            </w:pPr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  <w:rtl/>
              </w:rPr>
              <w:t>الدراسات العلمية</w:t>
            </w:r>
          </w:p>
        </w:tc>
      </w:tr>
      <w:tr w14:paraId="2BB9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E60808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١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—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الهرم القرآني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EBE80C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ابن القيم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مدارج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، الغزالي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إحياء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، الراغب الأصفهاني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8808C5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داماسيو، كانيمان، فروم، فرانكل</w:t>
            </w:r>
          </w:p>
        </w:tc>
        <w:tc>
          <w:tcPr>
            <w:tcW w:w="22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10195F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بانكسيب، راشيل، ليدو</w:t>
            </w:r>
          </w:p>
        </w:tc>
      </w:tr>
      <w:tr w14:paraId="4089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2B6AB3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٢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—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الخوارزمية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2A1C17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ابن القيم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إغاثة اللهفان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، الغزالي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ذم الدنيا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6EE2EB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زوبوف، كار، زوبوف، هاريس، تيركل</w:t>
            </w:r>
          </w:p>
        </w:tc>
        <w:tc>
          <w:tcPr>
            <w:tcW w:w="22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D8464E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أوربن وبريزبيلسكي، وارد وآخرون، كيلينغسوورث</w:t>
            </w:r>
          </w:p>
        </w:tc>
      </w:tr>
      <w:tr w14:paraId="74E3A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648641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٣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—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البدائل الغربية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F9C655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ابن حزم، ابن القيم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الداء والدواء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7952A9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سيليغمان، تشيكسنتميهاي، كابات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-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زن، لاكان</w:t>
            </w:r>
          </w:p>
        </w:tc>
        <w:tc>
          <w:tcPr>
            <w:tcW w:w="22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78A0FC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لازار، هوفمان وآخرون، لايوس</w:t>
            </w:r>
          </w:p>
        </w:tc>
      </w:tr>
      <w:tr w14:paraId="704B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08767C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٤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—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القرآن كمرجعية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81D9A2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ابن القيم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مدارج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: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التوبة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، ابن عطاء الله، الرازي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4432BC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روجرز، يالوم، فرانكل، بارجامنت، باسكال</w:t>
            </w:r>
          </w:p>
        </w:tc>
        <w:tc>
          <w:tcPr>
            <w:tcW w:w="22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FD8E06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فاندرڤيلي، كوينيغ وكارسون، بيو ريسيرش</w:t>
            </w:r>
          </w:p>
        </w:tc>
      </w:tr>
      <w:tr w14:paraId="22A4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78D581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٥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—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آليات الاستعادة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4B23EB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المحاسبي، ابن القيم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الوابل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، البخاري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(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الدعوات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D39A77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نيوبيرغ، وولف، ڤاي، فوق</w:t>
            </w:r>
          </w:p>
        </w:tc>
        <w:tc>
          <w:tcPr>
            <w:tcW w:w="22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798C16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لازار، دال وآخرون، كيلينغسوورث</w:t>
            </w:r>
          </w:p>
        </w:tc>
      </w:tr>
      <w:tr w14:paraId="2BF8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77F17F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٦ 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</w:rPr>
              <w:t>—</w:t>
            </w: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 xml:space="preserve"> الاستخلاف الرقمي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645DD6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ابن تيمية، الماوردي، عمر عبيد حسنة</w:t>
            </w:r>
          </w:p>
        </w:tc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718BBF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روشكوف، باريزر، شواب، رمضان</w:t>
            </w:r>
          </w:p>
        </w:tc>
        <w:tc>
          <w:tcPr>
            <w:tcW w:w="22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5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D76595">
            <w:pPr>
              <w:bidi/>
              <w:jc w:val="left"/>
            </w:pPr>
            <w:r>
              <w:rPr>
                <w:rFonts w:ascii="Arial" w:hAnsi="Arial" w:eastAsia="Arial" w:cs="Arial"/>
                <w:b w:val="0"/>
                <w:bCs w:val="0"/>
                <w:color w:val="1A1A1A"/>
                <w:sz w:val="20"/>
                <w:szCs w:val="20"/>
                <w:rtl/>
              </w:rPr>
              <w:t>أولكوت وآخرون، أوربن، بيو ريسيرش</w:t>
            </w:r>
          </w:p>
        </w:tc>
      </w:tr>
    </w:tbl>
    <w:p w14:paraId="610011AE">
      <w:pPr>
        <w:spacing w:before="200" w:after="200"/>
        <w:jc w:val="left"/>
      </w:pPr>
    </w:p>
    <w:p w14:paraId="60943432">
      <w:pPr>
        <w:pBdr>
          <w:bottom w:val="single" w:color="1A3C5E" w:sz="10" w:space="3"/>
          <w:right w:val="single" w:color="B8860B" w:sz="28" w:space="7"/>
        </w:pBdr>
        <w:bidi/>
        <w:spacing w:before="500" w:after="240"/>
        <w:jc w:val="left"/>
      </w:pPr>
      <w:r>
        <w:rPr>
          <w:rFonts w:ascii="Arial" w:hAnsi="Arial" w:eastAsia="Arial" w:cs="Arial"/>
          <w:b/>
          <w:bCs/>
          <w:color w:val="1A3C5E"/>
          <w:sz w:val="40"/>
          <w:szCs w:val="40"/>
          <w:rtl/>
        </w:rPr>
        <w:t>المراجع الختامية</w:t>
      </w:r>
    </w:p>
    <w:p w14:paraId="342D86B1">
      <w:pPr>
        <w:spacing w:before="80" w:after="80"/>
        <w:jc w:val="left"/>
      </w:pPr>
    </w:p>
    <w:p w14:paraId="763BC77A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المصادر العربية والإسلامية المُستشهد بها في الخاتمة</w:t>
      </w:r>
    </w:p>
    <w:p w14:paraId="7E3FE305">
      <w:pPr>
        <w:bidi/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١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القرآن الكريم </w:t>
      </w:r>
      <w:r>
        <w:rPr>
          <w:rFonts w:ascii="Arial" w:hAnsi="Arial" w:eastAsia="Arial" w:cs="Arial"/>
          <w:color w:val="222222"/>
          <w:sz w:val="20"/>
          <w:szCs w:val="20"/>
        </w:rPr>
        <w:t>—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الشمس </w:t>
      </w:r>
      <w:r>
        <w:rPr>
          <w:rFonts w:ascii="Arial" w:hAnsi="Arial" w:eastAsia="Arial" w:cs="Arial"/>
          <w:color w:val="222222"/>
          <w:sz w:val="20"/>
          <w:szCs w:val="20"/>
        </w:rPr>
        <w:t>(</w:t>
      </w:r>
      <w:r>
        <w:rPr>
          <w:rFonts w:ascii="Arial" w:hAnsi="Arial" w:eastAsia="Arial" w:cs="Arial"/>
          <w:color w:val="222222"/>
          <w:sz w:val="20"/>
          <w:szCs w:val="20"/>
          <w:rtl/>
        </w:rPr>
        <w:t>٩</w:t>
      </w:r>
      <w:r>
        <w:rPr>
          <w:rFonts w:ascii="Arial" w:hAnsi="Arial" w:eastAsia="Arial" w:cs="Arial"/>
          <w:color w:val="222222"/>
          <w:sz w:val="20"/>
          <w:szCs w:val="20"/>
        </w:rPr>
        <w:t>-</w:t>
      </w:r>
      <w:r>
        <w:rPr>
          <w:rFonts w:ascii="Arial" w:hAnsi="Arial" w:eastAsia="Arial" w:cs="Arial"/>
          <w:color w:val="222222"/>
          <w:sz w:val="20"/>
          <w:szCs w:val="20"/>
          <w:rtl/>
        </w:rPr>
        <w:t>١٠</w:t>
      </w:r>
      <w:r>
        <w:rPr>
          <w:rFonts w:ascii="Arial" w:hAnsi="Arial" w:eastAsia="Arial" w:cs="Arial"/>
          <w:color w:val="222222"/>
          <w:sz w:val="20"/>
          <w:szCs w:val="20"/>
        </w:rPr>
        <w:t>)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، طه </w:t>
      </w:r>
      <w:r>
        <w:rPr>
          <w:rFonts w:ascii="Arial" w:hAnsi="Arial" w:eastAsia="Arial" w:cs="Arial"/>
          <w:color w:val="222222"/>
          <w:sz w:val="20"/>
          <w:szCs w:val="20"/>
        </w:rPr>
        <w:t>(</w:t>
      </w:r>
      <w:r>
        <w:rPr>
          <w:rFonts w:ascii="Arial" w:hAnsi="Arial" w:eastAsia="Arial" w:cs="Arial"/>
          <w:color w:val="222222"/>
          <w:sz w:val="20"/>
          <w:szCs w:val="20"/>
          <w:rtl/>
        </w:rPr>
        <w:t>١١٤</w:t>
      </w:r>
      <w:r>
        <w:rPr>
          <w:rFonts w:ascii="Arial" w:hAnsi="Arial" w:eastAsia="Arial" w:cs="Arial"/>
          <w:color w:val="222222"/>
          <w:sz w:val="20"/>
          <w:szCs w:val="20"/>
        </w:rPr>
        <w:t>)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، الكهف </w:t>
      </w:r>
      <w:r>
        <w:rPr>
          <w:rFonts w:ascii="Arial" w:hAnsi="Arial" w:eastAsia="Arial" w:cs="Arial"/>
          <w:color w:val="222222"/>
          <w:sz w:val="20"/>
          <w:szCs w:val="20"/>
        </w:rPr>
        <w:t>(</w:t>
      </w:r>
      <w:r>
        <w:rPr>
          <w:rFonts w:ascii="Arial" w:hAnsi="Arial" w:eastAsia="Arial" w:cs="Arial"/>
          <w:color w:val="222222"/>
          <w:sz w:val="20"/>
          <w:szCs w:val="20"/>
          <w:rtl/>
        </w:rPr>
        <w:t>١٠</w:t>
      </w:r>
      <w:r>
        <w:rPr>
          <w:rFonts w:ascii="Arial" w:hAnsi="Arial" w:eastAsia="Arial" w:cs="Arial"/>
          <w:color w:val="222222"/>
          <w:sz w:val="20"/>
          <w:szCs w:val="20"/>
        </w:rPr>
        <w:t>).</w:t>
      </w:r>
    </w:p>
    <w:p w14:paraId="60944A3E">
      <w:pPr>
        <w:bidi/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٢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صحيح مسلم </w:t>
      </w:r>
      <w:r>
        <w:rPr>
          <w:rFonts w:ascii="Arial" w:hAnsi="Arial" w:eastAsia="Arial" w:cs="Arial"/>
          <w:color w:val="222222"/>
          <w:sz w:val="20"/>
          <w:szCs w:val="20"/>
        </w:rPr>
        <w:t>—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كتاب الذكر والدعاء والتوبة والاستغفار، باب فضل الاجتماع على تلاوة القرآن</w:t>
      </w:r>
      <w:r>
        <w:rPr>
          <w:rFonts w:ascii="Arial" w:hAnsi="Arial" w:eastAsia="Arial" w:cs="Arial"/>
          <w:color w:val="222222"/>
          <w:sz w:val="20"/>
          <w:szCs w:val="20"/>
        </w:rPr>
        <w:t>.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تحقيق</w:t>
      </w:r>
      <w:r>
        <w:rPr>
          <w:rFonts w:ascii="Arial" w:hAnsi="Arial" w:eastAsia="Arial" w:cs="Arial"/>
          <w:color w:val="222222"/>
          <w:sz w:val="20"/>
          <w:szCs w:val="20"/>
        </w:rPr>
        <w:t>: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محمد فؤاد عبد الباقي</w:t>
      </w:r>
      <w:r>
        <w:rPr>
          <w:rFonts w:ascii="Arial" w:hAnsi="Arial" w:eastAsia="Arial" w:cs="Arial"/>
          <w:color w:val="222222"/>
          <w:sz w:val="20"/>
          <w:szCs w:val="20"/>
        </w:rPr>
        <w:t>.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دار إحياء التراث العربي، بيروت</w:t>
      </w:r>
      <w:r>
        <w:rPr>
          <w:rFonts w:ascii="Arial" w:hAnsi="Arial" w:eastAsia="Arial" w:cs="Arial"/>
          <w:color w:val="222222"/>
          <w:sz w:val="20"/>
          <w:szCs w:val="20"/>
        </w:rPr>
        <w:t>. (</w:t>
      </w:r>
      <w:r>
        <w:rPr>
          <w:rFonts w:ascii="Arial" w:hAnsi="Arial" w:eastAsia="Arial" w:cs="Arial"/>
          <w:color w:val="222222"/>
          <w:sz w:val="20"/>
          <w:szCs w:val="20"/>
          <w:rtl/>
        </w:rPr>
        <w:t>حديث رقم ٢٦٩٩ عن فضل طلب العلم</w:t>
      </w:r>
      <w:r>
        <w:rPr>
          <w:rFonts w:ascii="Arial" w:hAnsi="Arial" w:eastAsia="Arial" w:cs="Arial"/>
          <w:color w:val="222222"/>
          <w:sz w:val="20"/>
          <w:szCs w:val="20"/>
        </w:rPr>
        <w:t>).</w:t>
      </w:r>
    </w:p>
    <w:p w14:paraId="2684FC60">
      <w:pPr>
        <w:bidi/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٣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ابن القيم الجوزية </w:t>
      </w:r>
      <w:r>
        <w:rPr>
          <w:rFonts w:ascii="Arial" w:hAnsi="Arial" w:eastAsia="Arial" w:cs="Arial"/>
          <w:color w:val="222222"/>
          <w:sz w:val="20"/>
          <w:szCs w:val="20"/>
        </w:rPr>
        <w:t>—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مدارج السالكين</w:t>
      </w:r>
      <w:r>
        <w:rPr>
          <w:rFonts w:ascii="Arial" w:hAnsi="Arial" w:eastAsia="Arial" w:cs="Arial"/>
          <w:color w:val="222222"/>
          <w:sz w:val="20"/>
          <w:szCs w:val="20"/>
        </w:rPr>
        <w:t>.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دار الكتاب العربي، بيروت، </w:t>
      </w:r>
      <w:r>
        <w:rPr>
          <w:rFonts w:ascii="Arial" w:hAnsi="Arial" w:eastAsia="Arial" w:cs="Arial"/>
          <w:color w:val="222222"/>
          <w:sz w:val="20"/>
          <w:szCs w:val="20"/>
        </w:rPr>
        <w:t>1996. (</w:t>
      </w:r>
      <w:r>
        <w:rPr>
          <w:rFonts w:ascii="Arial" w:hAnsi="Arial" w:eastAsia="Arial" w:cs="Arial"/>
          <w:color w:val="222222"/>
          <w:sz w:val="20"/>
          <w:szCs w:val="20"/>
          <w:rtl/>
        </w:rPr>
        <w:t>الجزء الثالث، خاتمة الكتاب ومراتب أهل الإيمان، ص</w:t>
      </w:r>
      <w:r>
        <w:rPr>
          <w:rFonts w:ascii="Arial" w:hAnsi="Arial" w:eastAsia="Arial" w:cs="Arial"/>
          <w:color w:val="222222"/>
          <w:sz w:val="20"/>
          <w:szCs w:val="20"/>
        </w:rPr>
        <w:t>. 490-520).</w:t>
      </w:r>
    </w:p>
    <w:p w14:paraId="711D0B67">
      <w:pPr>
        <w:bidi/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٤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الغزالي، أبو حامد </w:t>
      </w:r>
      <w:r>
        <w:rPr>
          <w:rFonts w:ascii="Arial" w:hAnsi="Arial" w:eastAsia="Arial" w:cs="Arial"/>
          <w:color w:val="222222"/>
          <w:sz w:val="20"/>
          <w:szCs w:val="20"/>
        </w:rPr>
        <w:t>—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إحياء علوم الدين</w:t>
      </w:r>
      <w:r>
        <w:rPr>
          <w:rFonts w:ascii="Arial" w:hAnsi="Arial" w:eastAsia="Arial" w:cs="Arial"/>
          <w:color w:val="222222"/>
          <w:sz w:val="20"/>
          <w:szCs w:val="20"/>
        </w:rPr>
        <w:t>.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دار المعرفة، بيروت</w:t>
      </w:r>
      <w:r>
        <w:rPr>
          <w:rFonts w:ascii="Arial" w:hAnsi="Arial" w:eastAsia="Arial" w:cs="Arial"/>
          <w:color w:val="222222"/>
          <w:sz w:val="20"/>
          <w:szCs w:val="20"/>
        </w:rPr>
        <w:t>. (</w:t>
      </w:r>
      <w:r>
        <w:rPr>
          <w:rFonts w:ascii="Arial" w:hAnsi="Arial" w:eastAsia="Arial" w:cs="Arial"/>
          <w:color w:val="222222"/>
          <w:sz w:val="20"/>
          <w:szCs w:val="20"/>
          <w:rtl/>
        </w:rPr>
        <w:t>الجزء الرابع، كتاب التوبة</w:t>
      </w:r>
      <w:r>
        <w:rPr>
          <w:rFonts w:ascii="Arial" w:hAnsi="Arial" w:eastAsia="Arial" w:cs="Arial"/>
          <w:color w:val="222222"/>
          <w:sz w:val="20"/>
          <w:szCs w:val="20"/>
        </w:rPr>
        <w:t>:</w:t>
      </w:r>
      <w:r>
        <w:rPr>
          <w:rFonts w:ascii="Arial" w:hAnsi="Arial" w:eastAsia="Arial" w:cs="Arial"/>
          <w:color w:val="222222"/>
          <w:sz w:val="20"/>
          <w:szCs w:val="20"/>
          <w:rtl/>
        </w:rPr>
        <w:t xml:space="preserve"> خاتمة الإحياء، ص</w:t>
      </w:r>
      <w:r>
        <w:rPr>
          <w:rFonts w:ascii="Arial" w:hAnsi="Arial" w:eastAsia="Arial" w:cs="Arial"/>
          <w:color w:val="222222"/>
          <w:sz w:val="20"/>
          <w:szCs w:val="20"/>
        </w:rPr>
        <w:t>. 1-60).</w:t>
      </w:r>
    </w:p>
    <w:p w14:paraId="5AD0204C">
      <w:pPr>
        <w:spacing w:before="120" w:after="120"/>
        <w:jc w:val="left"/>
      </w:pPr>
    </w:p>
    <w:p w14:paraId="3ADA753F">
      <w:pPr>
        <w:bidi/>
        <w:spacing w:before="320" w:after="160"/>
        <w:jc w:val="left"/>
      </w:pPr>
      <w:r>
        <w:rPr>
          <w:rFonts w:ascii="Arial" w:hAnsi="Arial" w:eastAsia="Arial" w:cs="Arial"/>
          <w:b/>
          <w:bCs/>
          <w:color w:val="2E6DA4"/>
          <w:sz w:val="30"/>
          <w:szCs w:val="30"/>
          <w:rtl/>
        </w:rPr>
        <w:t>المراجع الفرنسية في الخاتمة</w:t>
      </w:r>
    </w:p>
    <w:p w14:paraId="49996687">
      <w:pPr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٥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</w:rPr>
        <w:t>Luciano Floridi — L'Éthique de l'intelligence artificielle. Traduit de l'anglais par Éric Chédaille. Odile Jacob, Paris, 2023. (Chapitre 6 : « L'identité à l'ère du numérique », pp. 155-190 ; sur ce qui est spécifiquement humain, p. 167).</w:t>
      </w:r>
    </w:p>
    <w:p w14:paraId="0F87F041">
      <w:pPr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٦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</w:rPr>
        <w:t>Hannah Arendt — La Condition de l'homme moderne. Calmann-Lévy, Paris, 1983. (Chapitre 6 : « La vita activa et la modernité », pp. 255-310 — revisitée à l'ère de l'IA générative).</w:t>
      </w:r>
    </w:p>
    <w:p w14:paraId="205DDE96">
      <w:pPr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٧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</w:rPr>
        <w:t>Nick Bostrom — Superintelligence : Chemins, dangers, stratégies. Traduit de l'anglais par Mathieu Ravier. Dunod, Paris, 2017. (Chapitre 7 : « La volonté de la superintelligence », pp. 135-175 — sur la question de l'identité humaine face à l'IA).</w:t>
      </w:r>
    </w:p>
    <w:p w14:paraId="03624326">
      <w:pPr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٨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</w:rPr>
        <w:t>Yuval Noah Harari — Homo Deus : Une brève histoire de l'avenir. Traduit de l'hébreu par Pierre-Emmanuel Dauzat. Albin Michel, Paris, 2017. (Chapitre 9 : « La grande découplement », pp. 315-365 — sur la menace de l'algorithme sur la conscience humaine).</w:t>
      </w:r>
    </w:p>
    <w:p w14:paraId="76D287AE">
      <w:pPr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٩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</w:rPr>
        <w:t>Joëlle Zask — Quand la forêt brûle : Penser la nouvelle catastrophe écologique. Premier Parallèle, Paris, 2019. (Introduction — sur la responsabilité du khilafa environnemental et numérique, pp. 7-25).</w:t>
      </w:r>
    </w:p>
    <w:p w14:paraId="0812377A">
      <w:pPr>
        <w:spacing w:before="100" w:after="100"/>
        <w:jc w:val="left"/>
      </w:pPr>
      <w:r>
        <w:rPr>
          <w:rFonts w:ascii="Arial" w:hAnsi="Arial" w:eastAsia="Arial" w:cs="Arial"/>
          <w:b/>
          <w:bCs/>
          <w:color w:val="2E6DA4"/>
          <w:sz w:val="20"/>
          <w:szCs w:val="20"/>
        </w:rPr>
        <w:t>[</w:t>
      </w:r>
      <w:r>
        <w:rPr>
          <w:rFonts w:ascii="Arial" w:hAnsi="Arial" w:eastAsia="Arial" w:cs="Arial"/>
          <w:b/>
          <w:bCs/>
          <w:color w:val="2E6DA4"/>
          <w:sz w:val="20"/>
          <w:szCs w:val="20"/>
          <w:rtl/>
        </w:rPr>
        <w:t>١٠</w:t>
      </w:r>
      <w:r>
        <w:rPr>
          <w:rFonts w:ascii="Arial" w:hAnsi="Arial" w:eastAsia="Arial" w:cs="Arial"/>
          <w:b/>
          <w:bCs/>
          <w:color w:val="2E6DA4"/>
          <w:sz w:val="20"/>
          <w:szCs w:val="20"/>
        </w:rPr>
        <w:t xml:space="preserve">]  </w:t>
      </w:r>
      <w:r>
        <w:rPr>
          <w:rFonts w:ascii="Arial" w:hAnsi="Arial" w:eastAsia="Arial" w:cs="Arial"/>
          <w:color w:val="222222"/>
          <w:sz w:val="20"/>
          <w:szCs w:val="20"/>
        </w:rPr>
        <w:t>Paul Virilio — La Vitesse de libération. Galilée, Paris, 1995. (Chapitre 3 : « La politique de la vitesse », pp. 55-100 — sur l'accélération numérique et la perte du temps de la réflexion).</w:t>
      </w:r>
    </w:p>
    <w:p w14:paraId="1266BF3A">
      <w:pPr>
        <w:pBdr>
          <w:bottom w:val="single" w:color="1A3C5E" w:sz="6" w:space="1"/>
        </w:pBdr>
        <w:spacing w:before="260" w:after="260"/>
        <w:jc w:val="left"/>
      </w:pPr>
    </w:p>
    <w:p w14:paraId="59EBC5DF">
      <w:pPr>
        <w:spacing w:before="200" w:after="200"/>
        <w:jc w:val="left"/>
      </w:pPr>
    </w:p>
    <w:p w14:paraId="00E52859">
      <w:pPr>
        <w:pBdr>
          <w:top w:val="single" w:color="B8860B" w:sz="6" w:space="0"/>
          <w:left w:val="single" w:color="B8860B" w:sz="6" w:space="0"/>
          <w:bottom w:val="single" w:color="B8860B" w:sz="6" w:space="0"/>
          <w:right w:val="single" w:color="B8860B" w:sz="6" w:space="0"/>
        </w:pBdr>
        <w:shd w:val="clear" w:fill="FFFBEC"/>
        <w:bidi/>
        <w:spacing w:before="200" w:after="200"/>
        <w:jc w:val="left"/>
      </w:pPr>
      <w:r>
        <w:rPr>
          <w:rFonts w:ascii="Arial" w:hAnsi="Arial" w:eastAsia="Arial" w:cs="Arial"/>
          <w:b/>
          <w:bCs/>
          <w:color w:val="5C3D11"/>
          <w:sz w:val="36"/>
          <w:szCs w:val="36"/>
          <w:rtl/>
        </w:rPr>
        <w:t>وَاللَّهُ يَقُولُ الْحَقَّ وَهُوَ يَهْدِي السَّبِيلَ</w:t>
      </w:r>
      <w:r>
        <w:rPr>
          <w:rFonts w:ascii="Arial" w:hAnsi="Arial" w:eastAsia="Arial" w:cs="Arial"/>
          <w:color w:val="8B6914"/>
          <w:sz w:val="22"/>
          <w:szCs w:val="22"/>
        </w:rPr>
        <w:br w:type="textWrapping"/>
      </w:r>
      <w:r>
        <w:rPr>
          <w:rFonts w:ascii="Arial" w:hAnsi="Arial" w:eastAsia="Arial" w:cs="Arial"/>
          <w:color w:val="8B6914"/>
          <w:sz w:val="22"/>
          <w:szCs w:val="22"/>
        </w:rPr>
        <w:t>
—</w:t>
      </w:r>
      <w:r>
        <w:rPr>
          <w:rFonts w:ascii="Arial" w:hAnsi="Arial" w:eastAsia="Arial" w:cs="Arial"/>
          <w:color w:val="8B6914"/>
          <w:sz w:val="22"/>
          <w:szCs w:val="22"/>
          <w:rtl/>
        </w:rPr>
        <w:t xml:space="preserve"> الأحزاب</w:t>
      </w:r>
      <w:r>
        <w:rPr>
          <w:rFonts w:ascii="Arial" w:hAnsi="Arial" w:eastAsia="Arial" w:cs="Arial"/>
          <w:color w:val="8B6914"/>
          <w:sz w:val="22"/>
          <w:szCs w:val="22"/>
        </w:rPr>
        <w:t>:</w:t>
      </w:r>
      <w:r>
        <w:rPr>
          <w:rFonts w:ascii="Arial" w:hAnsi="Arial" w:eastAsia="Arial" w:cs="Arial"/>
          <w:color w:val="8B6914"/>
          <w:sz w:val="22"/>
          <w:szCs w:val="22"/>
          <w:rtl/>
        </w:rPr>
        <w:t xml:space="preserve"> ٤</w:t>
      </w:r>
    </w:p>
    <w:sectPr>
      <w:pgSz w:w="11906" w:h="16838"/>
      <w:pgMar w:top="1600" w:right="1800" w:bottom="180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3D4070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4"/>
      <w:szCs w:val="24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uiPriority w:val="99"/>
    <w:rPr>
      <w:color w:val="0563C1"/>
      <w:u w:val="single"/>
    </w:r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paragraph" w:styleId="11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2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4">
    <w:name w:val="List Paragraph"/>
    <w:qFormat/>
    <w:uiPriority w:val="0"/>
    <w:rPr>
      <w:rFonts w:ascii="Arial" w:hAnsi="Arial" w:eastAsia="Arial" w:cs="Arial"/>
      <w:sz w:val="24"/>
      <w:szCs w:val="24"/>
    </w:rPr>
  </w:style>
  <w:style w:type="character" w:customStyle="1" w:styleId="15">
    <w:name w:val="Foot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1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2026-02-23T14:02:00Z</dcterms:created>
  <dc:creator>Un-named</dc:creator>
  <cp:lastModifiedBy>lennovo</cp:lastModifiedBy>
  <dcterms:modified xsi:type="dcterms:W3CDTF">2026-03-27T16:47:07Z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6F57F0B922BC48C4952A3BBB9C7D0F89_13</vt:lpwstr>
  </property>
</Properties>
</file>