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501D5" w14:textId="77777777" w:rsidR="00E744F3" w:rsidRDefault="00E744F3">
      <w:pPr>
        <w:spacing w:before="1600"/>
        <w:rPr>
          <w:rFonts w:cs="Arial"/>
        </w:rPr>
      </w:pPr>
    </w:p>
    <w:p w14:paraId="128438D9" w14:textId="77777777" w:rsidR="00E744F3" w:rsidRDefault="003D5C13">
      <w:pPr>
        <w:pBdr>
          <w:bottom w:val="single" w:sz="16" w:space="10" w:color="B8912B"/>
        </w:pBdr>
        <w:spacing w:after="80"/>
        <w:jc w:val="center"/>
        <w:rPr>
          <w:rFonts w:cs="Arial"/>
        </w:rPr>
      </w:pPr>
      <w:r>
        <w:rPr>
          <w:i/>
          <w:iCs/>
          <w:color w:val="2E7D7B"/>
          <w:sz w:val="22"/>
          <w:szCs w:val="22"/>
        </w:rPr>
        <w:t>دراسة بيوغرافية وفكرية أكاديمية</w:t>
      </w:r>
    </w:p>
    <w:p w14:paraId="7585A8F5" w14:textId="77777777" w:rsidR="00E744F3" w:rsidRDefault="00E744F3">
      <w:pPr>
        <w:spacing w:after="400"/>
        <w:rPr>
          <w:rFonts w:cs="Arial"/>
        </w:rPr>
      </w:pPr>
    </w:p>
    <w:p w14:paraId="23AFADD3" w14:textId="77777777" w:rsidR="00E744F3" w:rsidRDefault="003D5C13">
      <w:pPr>
        <w:spacing w:after="120"/>
        <w:jc w:val="center"/>
        <w:rPr>
          <w:rFonts w:cs="Arial"/>
        </w:rPr>
      </w:pPr>
      <w:proofErr w:type="spellStart"/>
      <w:r>
        <w:rPr>
          <w:b/>
          <w:bCs/>
          <w:color w:val="1F3A5F"/>
          <w:sz w:val="64"/>
          <w:szCs w:val="64"/>
        </w:rPr>
        <w:t>إرفينغ</w:t>
      </w:r>
      <w:proofErr w:type="spellEnd"/>
      <w:r>
        <w:rPr>
          <w:b/>
          <w:bCs/>
          <w:color w:val="1F3A5F"/>
          <w:sz w:val="64"/>
          <w:szCs w:val="64"/>
        </w:rPr>
        <w:t xml:space="preserve"> غوفمان</w:t>
      </w:r>
    </w:p>
    <w:p w14:paraId="25AC4402" w14:textId="77777777" w:rsidR="00E744F3" w:rsidRDefault="003D5C13">
      <w:pPr>
        <w:spacing w:after="80"/>
        <w:jc w:val="center"/>
        <w:rPr>
          <w:rFonts w:cs="Arial"/>
        </w:rPr>
      </w:pPr>
      <w:r>
        <w:rPr>
          <w:b/>
          <w:bCs/>
          <w:color w:val="2E7D7B"/>
          <w:sz w:val="30"/>
          <w:szCs w:val="30"/>
        </w:rPr>
        <w:t>مهندس المسرح الاجتماعي ومحلل التفاعلات الإنسانية</w:t>
      </w:r>
    </w:p>
    <w:p w14:paraId="5CB9B7B9" w14:textId="309A2E44" w:rsidR="00E744F3" w:rsidRDefault="003D5C13">
      <w:pPr>
        <w:spacing w:after="500"/>
        <w:jc w:val="center"/>
        <w:rPr>
          <w:rFonts w:cs="Arial"/>
        </w:rPr>
      </w:pPr>
      <w:r>
        <w:rPr>
          <w:b/>
          <w:bCs/>
          <w:color w:val="B8912B"/>
        </w:rPr>
        <w:t>(1922 – 1982)</w:t>
      </w:r>
    </w:p>
    <w:p w14:paraId="580F6252" w14:textId="697B0B53" w:rsidR="00F47FD4" w:rsidRDefault="00F47FD4">
      <w:pPr>
        <w:spacing w:after="500"/>
        <w:jc w:val="center"/>
        <w:rPr>
          <w:rFonts w:cs="Arial"/>
        </w:rPr>
      </w:pPr>
      <w:r>
        <w:rPr>
          <w:rFonts w:cs="Arial" w:hint="cs"/>
        </w:rPr>
        <w:t xml:space="preserve">بقلم عبد السلام الزراع </w:t>
      </w:r>
    </w:p>
    <w:p w14:paraId="5BCA1A7C" w14:textId="77777777" w:rsidR="00E744F3" w:rsidRDefault="003D5C13">
      <w:pPr>
        <w:spacing w:before="900"/>
        <w:jc w:val="center"/>
        <w:rPr>
          <w:rFonts w:cs="Arial"/>
        </w:rPr>
      </w:pPr>
      <w:r>
        <w:rPr>
          <w:color w:val="5A5A5A"/>
          <w:sz w:val="20"/>
          <w:szCs w:val="20"/>
        </w:rPr>
        <w:t xml:space="preserve">إعداد أكاديمي منظَّم: السيرة الفكرية، والمنظومة </w:t>
      </w:r>
      <w:proofErr w:type="spellStart"/>
      <w:r>
        <w:rPr>
          <w:color w:val="5A5A5A"/>
          <w:sz w:val="20"/>
          <w:szCs w:val="20"/>
        </w:rPr>
        <w:t>المفاهيمية</w:t>
      </w:r>
      <w:proofErr w:type="spellEnd"/>
      <w:r>
        <w:rPr>
          <w:color w:val="5A5A5A"/>
          <w:sz w:val="20"/>
          <w:szCs w:val="20"/>
        </w:rPr>
        <w:t>، والإرث النقدي</w:t>
      </w:r>
    </w:p>
    <w:p w14:paraId="7366DE8F" w14:textId="77777777" w:rsidR="00E744F3" w:rsidRDefault="003D5C13" w:rsidP="00AA0252">
      <w:pPr>
        <w:pStyle w:val="1"/>
        <w:pageBreakBefore/>
        <w:bidi/>
        <w:spacing w:after="260"/>
        <w:rPr>
          <w:rFonts w:cs="Arial"/>
        </w:rPr>
      </w:pPr>
      <w:r>
        <w:rPr>
          <w:b/>
          <w:bCs/>
          <w:color w:val="1F3A5F"/>
        </w:rPr>
        <w:t>فهرس الموضوعات</w:t>
      </w:r>
    </w:p>
    <w:p w14:paraId="4C751A25" w14:textId="77777777" w:rsidR="00E744F3" w:rsidRDefault="003D5C13" w:rsidP="00AA0252">
      <w:pPr>
        <w:pBdr>
          <w:bottom w:val="single" w:sz="4" w:space="4" w:color="D9D9D9"/>
        </w:pBdr>
        <w:spacing w:after="140"/>
        <w:rPr>
          <w:rFonts w:cs="Arial"/>
        </w:rPr>
      </w:pPr>
      <w:r>
        <w:rPr>
          <w:color w:val="1A1A1A"/>
        </w:rPr>
        <w:t xml:space="preserve">الفصل التمهيدي: </w:t>
      </w:r>
      <w:proofErr w:type="spellStart"/>
      <w:r>
        <w:rPr>
          <w:color w:val="1A1A1A"/>
        </w:rPr>
        <w:t>إرفينغ</w:t>
      </w:r>
      <w:proofErr w:type="spellEnd"/>
      <w:r>
        <w:rPr>
          <w:color w:val="1A1A1A"/>
        </w:rPr>
        <w:t xml:space="preserve"> غوفمان من هو هذا الرجل؟</w:t>
      </w:r>
    </w:p>
    <w:p w14:paraId="4378E392" w14:textId="77777777" w:rsidR="00E744F3" w:rsidRDefault="003D5C13" w:rsidP="00AA0252">
      <w:pPr>
        <w:pBdr>
          <w:bottom w:val="single" w:sz="4" w:space="4" w:color="D9D9D9"/>
        </w:pBdr>
        <w:spacing w:after="140"/>
        <w:rPr>
          <w:rFonts w:cs="Arial"/>
        </w:rPr>
      </w:pPr>
      <w:r>
        <w:rPr>
          <w:color w:val="1A1A1A"/>
        </w:rPr>
        <w:t>الفصل الأول: الجذور والنشأة (1922–1945)</w:t>
      </w:r>
    </w:p>
    <w:p w14:paraId="0FBF219F" w14:textId="77777777" w:rsidR="00E744F3" w:rsidRDefault="003D5C13" w:rsidP="00AA0252">
      <w:pPr>
        <w:pBdr>
          <w:bottom w:val="single" w:sz="4" w:space="4" w:color="D9D9D9"/>
        </w:pBdr>
        <w:spacing w:after="140"/>
        <w:rPr>
          <w:rFonts w:cs="Arial"/>
        </w:rPr>
      </w:pPr>
      <w:r>
        <w:rPr>
          <w:color w:val="1A1A1A"/>
        </w:rPr>
        <w:t>الفصل الثاني: التكوين الفكري في مدرسة شيكاغو (1945–1953)</w:t>
      </w:r>
    </w:p>
    <w:p w14:paraId="3279927A" w14:textId="77777777" w:rsidR="00E744F3" w:rsidRDefault="003D5C13" w:rsidP="00AA0252">
      <w:pPr>
        <w:pBdr>
          <w:bottom w:val="single" w:sz="4" w:space="4" w:color="D9D9D9"/>
        </w:pBdr>
        <w:spacing w:after="140"/>
        <w:rPr>
          <w:rFonts w:cs="Arial"/>
        </w:rPr>
      </w:pPr>
      <w:r>
        <w:rPr>
          <w:color w:val="1A1A1A"/>
        </w:rPr>
        <w:t>الفصل الثالث: التجارب الميدانية المؤسِّسة</w:t>
      </w:r>
    </w:p>
    <w:p w14:paraId="7CF51142" w14:textId="77777777" w:rsidR="00E744F3" w:rsidRDefault="003D5C13" w:rsidP="00AA0252">
      <w:pPr>
        <w:pBdr>
          <w:bottom w:val="single" w:sz="4" w:space="4" w:color="D9D9D9"/>
        </w:pBdr>
        <w:spacing w:after="140"/>
        <w:rPr>
          <w:rFonts w:cs="Arial"/>
        </w:rPr>
      </w:pPr>
      <w:r>
        <w:rPr>
          <w:color w:val="1A1A1A"/>
        </w:rPr>
        <w:t>الفصل الرابع: المسيرة المهنية والإنتاج الفكري</w:t>
      </w:r>
    </w:p>
    <w:p w14:paraId="60A400FE" w14:textId="77777777" w:rsidR="00E744F3" w:rsidRDefault="003D5C13" w:rsidP="00AA0252">
      <w:pPr>
        <w:pBdr>
          <w:bottom w:val="single" w:sz="4" w:space="4" w:color="D9D9D9"/>
        </w:pBdr>
        <w:spacing w:after="140"/>
        <w:rPr>
          <w:rFonts w:cs="Arial"/>
        </w:rPr>
      </w:pPr>
      <w:r>
        <w:rPr>
          <w:color w:val="1A1A1A"/>
        </w:rPr>
        <w:t>الفصل الخامس: المنظور الدرامي: الحياة بوصفها مسرحاً</w:t>
      </w:r>
    </w:p>
    <w:p w14:paraId="0EC6FF65" w14:textId="77777777" w:rsidR="00E744F3" w:rsidRDefault="003D5C13" w:rsidP="00AA0252">
      <w:pPr>
        <w:pBdr>
          <w:bottom w:val="single" w:sz="4" w:space="4" w:color="D9D9D9"/>
        </w:pBdr>
        <w:spacing w:after="140"/>
        <w:rPr>
          <w:rFonts w:cs="Arial"/>
        </w:rPr>
      </w:pPr>
      <w:r>
        <w:rPr>
          <w:color w:val="1A1A1A"/>
        </w:rPr>
        <w:t>الفصل السادس: نظرية الوصمة وتحليل الهوية المجروحة</w:t>
      </w:r>
    </w:p>
    <w:p w14:paraId="0340877C" w14:textId="77777777" w:rsidR="00E744F3" w:rsidRDefault="003D5C13" w:rsidP="00AA0252">
      <w:pPr>
        <w:pBdr>
          <w:bottom w:val="single" w:sz="4" w:space="4" w:color="D9D9D9"/>
        </w:pBdr>
        <w:spacing w:after="140"/>
        <w:rPr>
          <w:rFonts w:cs="Arial"/>
        </w:rPr>
      </w:pPr>
      <w:r>
        <w:rPr>
          <w:color w:val="1A1A1A"/>
        </w:rPr>
        <w:t>الفصل السابع: المؤسسات الشاملة ونقد السلطة</w:t>
      </w:r>
    </w:p>
    <w:p w14:paraId="5D9A3F97" w14:textId="77777777" w:rsidR="00E744F3" w:rsidRDefault="003D5C13" w:rsidP="00AA0252">
      <w:pPr>
        <w:pBdr>
          <w:bottom w:val="single" w:sz="4" w:space="4" w:color="D9D9D9"/>
        </w:pBdr>
        <w:spacing w:after="140"/>
        <w:rPr>
          <w:rFonts w:cs="Arial"/>
        </w:rPr>
      </w:pPr>
      <w:r>
        <w:rPr>
          <w:color w:val="1A1A1A"/>
        </w:rPr>
        <w:t>الفصل الثامن: نظام التفاعل والمجال العام</w:t>
      </w:r>
    </w:p>
    <w:p w14:paraId="01866FC2" w14:textId="77777777" w:rsidR="00E744F3" w:rsidRDefault="003D5C13" w:rsidP="00AA0252">
      <w:pPr>
        <w:pBdr>
          <w:bottom w:val="single" w:sz="4" w:space="4" w:color="D9D9D9"/>
        </w:pBdr>
        <w:spacing w:after="140"/>
        <w:rPr>
          <w:rFonts w:cs="Arial"/>
        </w:rPr>
      </w:pPr>
      <w:r>
        <w:rPr>
          <w:color w:val="1A1A1A"/>
        </w:rPr>
        <w:t xml:space="preserve">الفصل التاسع: المنهجية </w:t>
      </w:r>
      <w:proofErr w:type="spellStart"/>
      <w:r>
        <w:rPr>
          <w:color w:val="1A1A1A"/>
        </w:rPr>
        <w:t>السوسيولوجية</w:t>
      </w:r>
      <w:proofErr w:type="spellEnd"/>
      <w:r>
        <w:rPr>
          <w:color w:val="1A1A1A"/>
        </w:rPr>
        <w:t xml:space="preserve"> عند غوفمان</w:t>
      </w:r>
    </w:p>
    <w:p w14:paraId="1D7A1F2C" w14:textId="77777777" w:rsidR="00E744F3" w:rsidRDefault="003D5C13" w:rsidP="00AA0252">
      <w:pPr>
        <w:pBdr>
          <w:bottom w:val="single" w:sz="4" w:space="4" w:color="D9D9D9"/>
        </w:pBdr>
        <w:spacing w:after="140"/>
        <w:rPr>
          <w:rFonts w:cs="Arial"/>
        </w:rPr>
      </w:pPr>
      <w:r>
        <w:rPr>
          <w:color w:val="1A1A1A"/>
        </w:rPr>
        <w:t>الفصل العاشر: الحياة الشخصية وتأثيرها في الفكر</w:t>
      </w:r>
    </w:p>
    <w:p w14:paraId="710AAF94" w14:textId="77777777" w:rsidR="00E744F3" w:rsidRDefault="003D5C13" w:rsidP="00AA0252">
      <w:pPr>
        <w:pBdr>
          <w:bottom w:val="single" w:sz="4" w:space="4" w:color="D9D9D9"/>
        </w:pBdr>
        <w:spacing w:after="140"/>
        <w:rPr>
          <w:rFonts w:cs="Arial"/>
        </w:rPr>
      </w:pPr>
      <w:r>
        <w:rPr>
          <w:color w:val="1A1A1A"/>
        </w:rPr>
        <w:t>الفصل الحادي عشر: الإرث والتأثير والنقد</w:t>
      </w:r>
    </w:p>
    <w:p w14:paraId="41FEA8E1" w14:textId="77777777" w:rsidR="00E744F3" w:rsidRDefault="003D5C13" w:rsidP="00AA0252">
      <w:pPr>
        <w:pBdr>
          <w:bottom w:val="single" w:sz="4" w:space="4" w:color="D9D9D9"/>
        </w:pBdr>
        <w:spacing w:after="140"/>
        <w:rPr>
          <w:rFonts w:cs="Arial"/>
        </w:rPr>
      </w:pPr>
      <w:r>
        <w:rPr>
          <w:color w:val="1A1A1A"/>
        </w:rPr>
        <w:t>الخاتمة: غوفمان والعالم الرقمي الراهن</w:t>
      </w:r>
    </w:p>
    <w:p w14:paraId="61A19561" w14:textId="77777777" w:rsidR="00E744F3" w:rsidRDefault="003D5C13" w:rsidP="00AA0252">
      <w:pPr>
        <w:pBdr>
          <w:bottom w:val="single" w:sz="4" w:space="4" w:color="D9D9D9"/>
        </w:pBdr>
        <w:spacing w:after="140"/>
        <w:rPr>
          <w:rFonts w:cs="Arial"/>
        </w:rPr>
      </w:pPr>
      <w:r>
        <w:rPr>
          <w:color w:val="1A1A1A"/>
        </w:rPr>
        <w:t>المراجع: المصادر والمراجع الأساسية</w:t>
      </w:r>
    </w:p>
    <w:p w14:paraId="0EEC9BAF" w14:textId="77777777" w:rsidR="00E744F3" w:rsidRDefault="003D5C13" w:rsidP="00AA0252">
      <w:pPr>
        <w:pageBreakBefore/>
        <w:spacing w:after="60"/>
        <w:rPr>
          <w:rFonts w:cs="Arial"/>
        </w:rPr>
      </w:pPr>
      <w:r>
        <w:rPr>
          <w:b/>
          <w:bCs/>
          <w:color w:val="B8912B"/>
          <w:sz w:val="22"/>
          <w:szCs w:val="22"/>
        </w:rPr>
        <w:t>الفصل التمهيدي</w:t>
      </w:r>
    </w:p>
    <w:p w14:paraId="261D3C34" w14:textId="77777777" w:rsidR="00E744F3" w:rsidRDefault="003D5C13" w:rsidP="00AA0252">
      <w:pPr>
        <w:pStyle w:val="1"/>
        <w:pBdr>
          <w:bottom w:val="single" w:sz="12" w:space="8" w:color="2E7D7B"/>
        </w:pBdr>
        <w:bidi/>
        <w:spacing w:after="320"/>
        <w:rPr>
          <w:rFonts w:cs="Arial"/>
        </w:rPr>
      </w:pPr>
      <w:proofErr w:type="spellStart"/>
      <w:r>
        <w:rPr>
          <w:b/>
          <w:bCs/>
          <w:color w:val="1F3A5F"/>
          <w:sz w:val="34"/>
          <w:szCs w:val="34"/>
        </w:rPr>
        <w:t>إرفينغ</w:t>
      </w:r>
      <w:proofErr w:type="spellEnd"/>
      <w:r>
        <w:rPr>
          <w:b/>
          <w:bCs/>
          <w:color w:val="1F3A5F"/>
          <w:sz w:val="34"/>
          <w:szCs w:val="34"/>
        </w:rPr>
        <w:t xml:space="preserve"> غوفمان: من هو هذا الرجل؟</w:t>
      </w:r>
    </w:p>
    <w:p w14:paraId="4A9B5023" w14:textId="77777777" w:rsidR="00E744F3" w:rsidRDefault="003D5C13" w:rsidP="00AA0252">
      <w:pPr>
        <w:spacing w:after="180" w:line="340" w:lineRule="auto"/>
        <w:rPr>
          <w:rFonts w:cs="Arial"/>
        </w:rPr>
      </w:pPr>
      <w:r>
        <w:rPr>
          <w:color w:val="1A1A1A"/>
        </w:rPr>
        <w:t xml:space="preserve">في مشهدٍ اجتماعي حافل بالعروض المتواصلة، حيث تتقاطع الأدوار وتتشابك الأقنعة، وقف </w:t>
      </w:r>
      <w:proofErr w:type="spellStart"/>
      <w:r>
        <w:rPr>
          <w:color w:val="1A1A1A"/>
        </w:rPr>
        <w:t>إرفينغ</w:t>
      </w:r>
      <w:proofErr w:type="spellEnd"/>
      <w:r>
        <w:rPr>
          <w:color w:val="1A1A1A"/>
        </w:rPr>
        <w:t xml:space="preserve"> غوفمان على تخوم المسرح الاجتماعي بعين ثاقبة ومنهجٍ تحليلي صارم، ليؤسس أطروحته المركزية القائلة إن الأفراد، في كل تفاعلاتهم اليومية، إنما يمارسون ضرباً من الأداء المستمر أمام جمهور لا ينفكّ عن المراقبة.</w:t>
      </w:r>
    </w:p>
    <w:p w14:paraId="435E1FDD" w14:textId="77777777" w:rsidR="00E744F3" w:rsidRDefault="003D5C13" w:rsidP="00AA0252">
      <w:pPr>
        <w:spacing w:after="180" w:line="340" w:lineRule="auto"/>
        <w:rPr>
          <w:rFonts w:cs="Times New Roman"/>
        </w:rPr>
      </w:pPr>
      <w:r>
        <w:rPr>
          <w:color w:val="1A1A1A"/>
        </w:rPr>
        <w:t>لم يكن غوفمان مفكراً ثورياً بالمعنى السياسي المباشر، ولم يشتغل على المنظومات النظرية الكبرى؛ بل تميّز بموهبة أندر وأعمق أثراً: دقة الملاحظة العلمية للتفصيل العابر — إيماءة اليد، الابتسامة المصطنعة، التردد اللحظي أمام عتبة الباب — مقترنةً بأداة تحليلية صارمة، وهذا ما منحه مكانته الفريدة في تاريخ العلوم الاجتماعية المعاصرة.</w:t>
      </w:r>
    </w:p>
    <w:p w14:paraId="0CF93043" w14:textId="77777777" w:rsidR="00E744F3" w:rsidRDefault="003D5C13" w:rsidP="00AA0252">
      <w:pPr>
        <w:spacing w:after="180" w:line="340" w:lineRule="auto"/>
        <w:rPr>
          <w:rFonts w:cs="Times New Roman"/>
        </w:rPr>
      </w:pPr>
      <w:r>
        <w:rPr>
          <w:color w:val="1A1A1A"/>
        </w:rPr>
        <w:t xml:space="preserve">يسعى هذا العمل إلى إعادة بناء السيرة الفكرية لهذا العالم الاستثنائي بأمانة منهجية وعمق تحليلي، لا بوصفها سرداً </w:t>
      </w:r>
      <w:proofErr w:type="spellStart"/>
      <w:r>
        <w:rPr>
          <w:color w:val="1A1A1A"/>
        </w:rPr>
        <w:t>تأريخياً</w:t>
      </w:r>
      <w:proofErr w:type="spellEnd"/>
      <w:r>
        <w:rPr>
          <w:color w:val="1A1A1A"/>
        </w:rPr>
        <w:t xml:space="preserve"> محايداً، بل بوصفها مساراً معرفياً يُضيء التحولات الجوهرية التي شهدها علم الاجتماع في القرن العشرين. والغاية الأولى من ذلك فهم الأساس الذي بنى عليه غوفمان رؤيته للحياة اليومية بوصفها مسرحاً، وقناعته الراسخة بأن فهم المجتمع لا يتحقق من خلال البنى الكبرى وحدها، بل يبدأ من لحظة عابرة كالتحية بين شخصين يلتقيان في ممر ضيق.</w:t>
      </w:r>
    </w:p>
    <w:p w14:paraId="4EBD3F0C" w14:textId="77777777" w:rsidR="00E744F3" w:rsidRDefault="003D5C13" w:rsidP="00AA0252">
      <w:pPr>
        <w:pBdr>
          <w:right w:val="single" w:sz="18" w:space="12" w:color="2E7D7B"/>
        </w:pBdr>
        <w:shd w:val="clear" w:color="auto" w:fill="EAF2F1"/>
        <w:spacing w:before="200" w:after="40"/>
        <w:ind w:left="400" w:right="400"/>
        <w:rPr>
          <w:rFonts w:cs="Times New Roman"/>
        </w:rPr>
      </w:pPr>
      <w:r>
        <w:rPr>
          <w:i/>
          <w:iCs/>
          <w:color w:val="1F3A5F"/>
          <w:sz w:val="23"/>
          <w:szCs w:val="23"/>
        </w:rPr>
        <w:t>«لا يمكن فهم المجتمع إلا بفهم اللحظات الصغيرة التي يتشكل فيها»</w:t>
      </w:r>
    </w:p>
    <w:p w14:paraId="4D289EDA" w14:textId="77777777" w:rsidR="00E744F3" w:rsidRDefault="003D5C13" w:rsidP="00AA0252">
      <w:pPr>
        <w:pBdr>
          <w:right w:val="single" w:sz="18" w:space="12" w:color="2E7D7B"/>
        </w:pBdr>
        <w:shd w:val="clear" w:color="auto" w:fill="EAF2F1"/>
        <w:spacing w:after="220"/>
        <w:ind w:left="400" w:right="400"/>
        <w:rPr>
          <w:rFonts w:cs="Times New Roman"/>
        </w:rPr>
      </w:pPr>
      <w:r>
        <w:rPr>
          <w:b/>
          <w:bCs/>
          <w:color w:val="2E7D7B"/>
          <w:sz w:val="20"/>
          <w:szCs w:val="20"/>
        </w:rPr>
        <w:t xml:space="preserve">— </w:t>
      </w:r>
      <w:proofErr w:type="spellStart"/>
      <w:r>
        <w:rPr>
          <w:b/>
          <w:bCs/>
          <w:color w:val="2E7D7B"/>
          <w:sz w:val="20"/>
          <w:szCs w:val="20"/>
        </w:rPr>
        <w:t>إرفينغ</w:t>
      </w:r>
      <w:proofErr w:type="spellEnd"/>
      <w:r>
        <w:rPr>
          <w:b/>
          <w:bCs/>
          <w:color w:val="2E7D7B"/>
          <w:sz w:val="20"/>
          <w:szCs w:val="20"/>
        </w:rPr>
        <w:t xml:space="preserve"> غوفمان</w:t>
      </w:r>
    </w:p>
    <w:p w14:paraId="2A62F5D3" w14:textId="77777777" w:rsidR="00E744F3" w:rsidRDefault="003D5C13" w:rsidP="00AA0252">
      <w:pPr>
        <w:pageBreakBefore/>
        <w:spacing w:after="60"/>
        <w:rPr>
          <w:rFonts w:cs="Times New Roman"/>
        </w:rPr>
      </w:pPr>
      <w:r>
        <w:rPr>
          <w:b/>
          <w:bCs/>
          <w:color w:val="B8912B"/>
          <w:sz w:val="22"/>
          <w:szCs w:val="22"/>
        </w:rPr>
        <w:t>الفصل الأول</w:t>
      </w:r>
    </w:p>
    <w:p w14:paraId="317D7752" w14:textId="77777777" w:rsidR="00E744F3" w:rsidRDefault="003D5C13" w:rsidP="00AA0252">
      <w:pPr>
        <w:pStyle w:val="1"/>
        <w:pBdr>
          <w:bottom w:val="single" w:sz="12" w:space="8" w:color="2E7D7B"/>
        </w:pBdr>
        <w:bidi/>
        <w:spacing w:after="320"/>
        <w:rPr>
          <w:rFonts w:cs="Times New Roman"/>
        </w:rPr>
      </w:pPr>
      <w:r>
        <w:rPr>
          <w:b/>
          <w:bCs/>
          <w:color w:val="1F3A5F"/>
          <w:sz w:val="34"/>
          <w:szCs w:val="34"/>
        </w:rPr>
        <w:t>الجذور والنشأة (1922–1945)</w:t>
      </w:r>
    </w:p>
    <w:p w14:paraId="35574C32" w14:textId="77777777" w:rsidR="00E744F3" w:rsidRDefault="003D5C13" w:rsidP="00AA0252">
      <w:pPr>
        <w:pStyle w:val="2"/>
        <w:bidi/>
        <w:spacing w:before="300" w:after="140"/>
        <w:rPr>
          <w:rFonts w:cs="Times New Roman"/>
        </w:rPr>
      </w:pPr>
      <w:r>
        <w:rPr>
          <w:b/>
          <w:bCs/>
          <w:color w:val="2E7D7B"/>
        </w:rPr>
        <w:t>1.1 ألبرتا الكندية: بدايات غير معتادة</w:t>
      </w:r>
    </w:p>
    <w:p w14:paraId="7112F7F9" w14:textId="77777777" w:rsidR="00E744F3" w:rsidRDefault="003D5C13" w:rsidP="00AA0252">
      <w:pPr>
        <w:spacing w:after="180" w:line="340" w:lineRule="auto"/>
        <w:rPr>
          <w:rFonts w:cs="Times New Roman"/>
        </w:rPr>
      </w:pPr>
      <w:r>
        <w:rPr>
          <w:color w:val="1A1A1A"/>
        </w:rPr>
        <w:t xml:space="preserve">وُلد </w:t>
      </w:r>
      <w:proofErr w:type="spellStart"/>
      <w:r>
        <w:rPr>
          <w:color w:val="1A1A1A"/>
        </w:rPr>
        <w:t>إرفينغ</w:t>
      </w:r>
      <w:proofErr w:type="spellEnd"/>
      <w:r>
        <w:rPr>
          <w:color w:val="1A1A1A"/>
        </w:rPr>
        <w:t xml:space="preserve"> غوفمان في الحادي عشر من يونيو 1922، في بلدة </w:t>
      </w:r>
      <w:proofErr w:type="spellStart"/>
      <w:r>
        <w:rPr>
          <w:color w:val="1A1A1A"/>
        </w:rPr>
        <w:t>مانفيل</w:t>
      </w:r>
      <w:proofErr w:type="spellEnd"/>
      <w:r>
        <w:rPr>
          <w:color w:val="1A1A1A"/>
        </w:rPr>
        <w:t xml:space="preserve"> الصغيرة بمقاطعة ألبرتا الكندية. لم يكن مسقط رأسه مجرد معطى جغرافي عابر، بل شكّل أول درس عملي في </w:t>
      </w:r>
      <w:proofErr w:type="spellStart"/>
      <w:r>
        <w:rPr>
          <w:color w:val="1A1A1A"/>
        </w:rPr>
        <w:t>سوسيولوجيا</w:t>
      </w:r>
      <w:proofErr w:type="spellEnd"/>
      <w:r>
        <w:rPr>
          <w:color w:val="1A1A1A"/>
        </w:rPr>
        <w:t xml:space="preserve"> المجتمعات المتراصّة؛ </w:t>
      </w:r>
      <w:proofErr w:type="spellStart"/>
      <w:r>
        <w:rPr>
          <w:color w:val="1A1A1A"/>
        </w:rPr>
        <w:t>فمانفيل</w:t>
      </w:r>
      <w:proofErr w:type="spellEnd"/>
      <w:r>
        <w:rPr>
          <w:color w:val="1A1A1A"/>
        </w:rPr>
        <w:t xml:space="preserve"> بلدة ريفية يعرف سكانها بعضهم بعضاً معرفة وثيقة، وهو نمط من التنظيم الاجتماعي لا تُخفى فيه الأسرار بسهولة، بل تُستهلك فيه طاقة كبيرة في إدارتها وحجبها.</w:t>
      </w:r>
    </w:p>
    <w:p w14:paraId="7FBFF52D" w14:textId="77777777" w:rsidR="00E744F3" w:rsidRDefault="003D5C13" w:rsidP="00AA0252">
      <w:pPr>
        <w:spacing w:after="180" w:line="340" w:lineRule="auto"/>
        <w:rPr>
          <w:rFonts w:cs="Times New Roman"/>
        </w:rPr>
      </w:pPr>
      <w:r>
        <w:rPr>
          <w:color w:val="1A1A1A"/>
        </w:rPr>
        <w:t>هاجر والداه، ماكس وآن غوفمان، من أوكرانيا ضمن موجة الهجرة اليهودية الكبرى إلى أمريكا الشمالية في مطلع القرن العشرين، حاملَين إرثاً ثقافياً متعدد الطبقات: الهوية الدينية اليهودية، واللغة اليديشية، وذاكرة الاقتلاع من الوطن الأصلي، وطموح الاندماج في المجتمع الجديد. هذا التعدد في الانتماءات، وما رافقه من توتر بنيوي بين الهوية الموروثة والهوية المكتسبة، شكّل خلفية ضمنية لكثير مما سيكتبه غوفمان لاحقاً عن الوصمة والهوية المجروحة.</w:t>
      </w:r>
    </w:p>
    <w:p w14:paraId="022DCAF1" w14:textId="77777777" w:rsidR="00E744F3" w:rsidRDefault="003D5C13" w:rsidP="00AA0252">
      <w:pPr>
        <w:spacing w:after="180" w:line="340" w:lineRule="auto"/>
        <w:rPr>
          <w:rFonts w:cs="Times New Roman"/>
        </w:rPr>
      </w:pPr>
      <w:r>
        <w:rPr>
          <w:color w:val="1A1A1A"/>
        </w:rPr>
        <w:t>أدار ماكس غوفمان متجراً صغيراً في المدينة، وهو نشاط تجاري يفرض على صاحبه تفاوضاً دائماً بين الهوية العامة التي يُقدَّم بها للزبائن، والذات الخاصة التي يحتفظ بها لنفسه ولأسرته. وهذا التمييز بين واجهة المتجر وكواليس البيت سيتحوّل لاحقاً إلى نواة تصورية لأشهر نظريات غوفمان في التحليل الدرامي للحياة الاجتماعية.</w:t>
      </w:r>
    </w:p>
    <w:p w14:paraId="31CF4250" w14:textId="77777777" w:rsidR="00E744F3" w:rsidRDefault="003D5C13" w:rsidP="00AA0252">
      <w:pPr>
        <w:pStyle w:val="2"/>
        <w:bidi/>
        <w:spacing w:before="300" w:after="140"/>
        <w:rPr>
          <w:rFonts w:cs="Times New Roman"/>
        </w:rPr>
      </w:pPr>
      <w:r>
        <w:rPr>
          <w:b/>
          <w:bCs/>
          <w:color w:val="2E7D7B"/>
        </w:rPr>
        <w:t>1.2 المناخ الثقافي: أقلية يهودية في بلدة كندية صغيرة</w:t>
      </w:r>
    </w:p>
    <w:p w14:paraId="772FCAD5" w14:textId="77777777" w:rsidR="00E744F3" w:rsidRDefault="003D5C13" w:rsidP="00AA0252">
      <w:pPr>
        <w:spacing w:after="180" w:line="340" w:lineRule="auto"/>
        <w:rPr>
          <w:rFonts w:cs="Times New Roman"/>
        </w:rPr>
      </w:pPr>
      <w:r>
        <w:rPr>
          <w:color w:val="1A1A1A"/>
        </w:rPr>
        <w:t xml:space="preserve">نشأ غوفمان في وضعية الأقلية الدينية والعرقية داخل محيط بروتستانتي </w:t>
      </w:r>
      <w:proofErr w:type="spellStart"/>
      <w:r>
        <w:rPr>
          <w:color w:val="1A1A1A"/>
        </w:rPr>
        <w:t>أنجلوسكسوني</w:t>
      </w:r>
      <w:proofErr w:type="spellEnd"/>
      <w:r>
        <w:rPr>
          <w:color w:val="1A1A1A"/>
        </w:rPr>
        <w:t xml:space="preserve"> مهيمن. ولا يُستهان بأثر هذا الموقع الهامشي في تكوين أي مفكر؛ فالفاعل الاجتماعي الهامشي يرى المجتمع برؤية مزدوجة: يدرك ما يدركه المنتمون إلى المركز، ويلحظ في الآن ذاته ما يخفونه عن أنفسهم دون وعي. وقد عبّر جورج سيمل، نظير غوفمان الفكري في السياق الألماني، عن فكرة قريبة حين لاحظ أن الغريب يرى في المجتمع ما لا يراه المنتمي الأصيل، لأنه لا يشارك بالضرورة في المسلَّمات الضمنية التي يبني عليها هذا المجتمع تصوراته.</w:t>
      </w:r>
    </w:p>
    <w:p w14:paraId="7F854111" w14:textId="77777777" w:rsidR="00E744F3" w:rsidRDefault="003D5C13" w:rsidP="00AA0252">
      <w:pPr>
        <w:spacing w:after="180" w:line="340" w:lineRule="auto"/>
        <w:rPr>
          <w:rFonts w:cs="Times New Roman"/>
        </w:rPr>
      </w:pPr>
      <w:r>
        <w:rPr>
          <w:color w:val="1A1A1A"/>
        </w:rPr>
        <w:t>وكان على غوفمان الطفل أن يتعلم، كما يتعلم كل طفل ينتمي إلى أقلية في مجتمع مغاير، كيف يُدير صورته أمام الآخرين: متى يُبرز هويته اليهودية ومتى يُواريها؟ ومتى يكون فرداً من الجماعة المضيفة، ومتى يحتفظ بخصوصيته المتمايزة؟ هذه الإشكاليات المعيشة اليومية ستجد لاحقاً صياغة نظرية عميقة في كتابه المحوري عن الوصمة الاجتماعية.</w:t>
      </w:r>
    </w:p>
    <w:p w14:paraId="361E1466" w14:textId="77777777" w:rsidR="00E744F3" w:rsidRDefault="003D5C13" w:rsidP="00AA0252">
      <w:pPr>
        <w:pStyle w:val="2"/>
        <w:bidi/>
        <w:spacing w:before="300" w:after="140"/>
        <w:rPr>
          <w:rFonts w:cs="Times New Roman"/>
        </w:rPr>
      </w:pPr>
      <w:r>
        <w:rPr>
          <w:b/>
          <w:bCs/>
          <w:color w:val="2E7D7B"/>
        </w:rPr>
        <w:t xml:space="preserve">1.3 جامعة </w:t>
      </w:r>
      <w:proofErr w:type="spellStart"/>
      <w:r>
        <w:rPr>
          <w:b/>
          <w:bCs/>
          <w:color w:val="2E7D7B"/>
        </w:rPr>
        <w:t>مانيتوبا</w:t>
      </w:r>
      <w:proofErr w:type="spellEnd"/>
      <w:r>
        <w:rPr>
          <w:b/>
          <w:bCs/>
          <w:color w:val="2E7D7B"/>
        </w:rPr>
        <w:t>: من الكيمياء إلى دراسة الإنسان</w:t>
      </w:r>
    </w:p>
    <w:p w14:paraId="3B016432" w14:textId="77777777" w:rsidR="00E744F3" w:rsidRDefault="003D5C13" w:rsidP="00AA0252">
      <w:pPr>
        <w:spacing w:after="180" w:line="340" w:lineRule="auto"/>
        <w:rPr>
          <w:rFonts w:cs="Times New Roman"/>
        </w:rPr>
      </w:pPr>
      <w:r>
        <w:rPr>
          <w:color w:val="1A1A1A"/>
        </w:rPr>
        <w:t xml:space="preserve">التحق غوفمان مبدئياً بجامعة </w:t>
      </w:r>
      <w:proofErr w:type="spellStart"/>
      <w:r>
        <w:rPr>
          <w:color w:val="1A1A1A"/>
        </w:rPr>
        <w:t>مانيتوبا</w:t>
      </w:r>
      <w:proofErr w:type="spellEnd"/>
      <w:r>
        <w:rPr>
          <w:color w:val="1A1A1A"/>
        </w:rPr>
        <w:t xml:space="preserve"> لدراسة الكيمياء، وهو خيار قد يبدو بعيداً عن مساره اللاحق للوهلة الأولى. غير أن ثمة خيطاً ناظماً خفياً يربط بين الحقلين: فكلاهما يسعى إلى فهم كيفية تحوّل المادة الخام إلى تراكيب معقدة ذات قوانين داخلية. أراد غوفمان أن يفهم «مادة» المجتمع — أي التفاعلات الإنسانية — بالدقة والمنهجية اللتين يعالج بهما الكيميائي تفاعلاته المخبرية.</w:t>
      </w:r>
    </w:p>
    <w:p w14:paraId="3F6DB585" w14:textId="77777777" w:rsidR="00E744F3" w:rsidRDefault="003D5C13" w:rsidP="00AA0252">
      <w:pPr>
        <w:spacing w:after="180" w:line="340" w:lineRule="auto"/>
        <w:rPr>
          <w:rFonts w:cs="Times New Roman"/>
        </w:rPr>
      </w:pPr>
      <w:r>
        <w:rPr>
          <w:color w:val="1A1A1A"/>
        </w:rPr>
        <w:t xml:space="preserve">غير أن الكيمياء ظلت تعاملاً مع الجماد، فيما كانت </w:t>
      </w:r>
      <w:proofErr w:type="spellStart"/>
      <w:r>
        <w:rPr>
          <w:color w:val="1A1A1A"/>
        </w:rPr>
        <w:t>فضوليّته</w:t>
      </w:r>
      <w:proofErr w:type="spellEnd"/>
      <w:r>
        <w:rPr>
          <w:color w:val="1A1A1A"/>
        </w:rPr>
        <w:t xml:space="preserve"> الدقيقة تجذبه نحو تعقيد الكائن البشري. انتقل غوفمان إلى دراسة علم الاجتماع والأنثروبولوجيا، حيث وجد مجاله الحقيقي، وأتمّ درجة البكالوريوس في جامعة تورنتو عام 1945، متأثراً بمحاضرات سي. </w:t>
      </w:r>
      <w:proofErr w:type="spellStart"/>
      <w:r>
        <w:rPr>
          <w:color w:val="1A1A1A"/>
        </w:rPr>
        <w:t>رايت</w:t>
      </w:r>
      <w:proofErr w:type="spellEnd"/>
      <w:r>
        <w:rPr>
          <w:color w:val="1A1A1A"/>
        </w:rPr>
        <w:t xml:space="preserve"> ميلز الذي كان آنذاك أستاذاً شاباً في الجامعة نفسها.</w:t>
      </w:r>
    </w:p>
    <w:p w14:paraId="6ED9839C" w14:textId="77777777" w:rsidR="00E744F3" w:rsidRDefault="003D5C13" w:rsidP="00AA0252">
      <w:pPr>
        <w:spacing w:after="180" w:line="340" w:lineRule="auto"/>
        <w:rPr>
          <w:rFonts w:cs="Times New Roman"/>
        </w:rPr>
      </w:pPr>
      <w:r>
        <w:rPr>
          <w:color w:val="1A1A1A"/>
        </w:rPr>
        <w:t xml:space="preserve">علّمه ميلز درساً جوهرياً: أن العلوم الاجتماعية ليست تسجيلاً محايداً للواقع، بل موقف نقدي منه. غير أن غوفمان، خلافاً لميلز الذي سيتجه لاحقاً نحو النقد السياسي الكبير للبنى المجتمعية، اختار الاقتراب الشديد من الصغير والدقيق والعابر، منهجاً بديلاً للنقد </w:t>
      </w:r>
      <w:proofErr w:type="spellStart"/>
      <w:r>
        <w:rPr>
          <w:color w:val="1A1A1A"/>
        </w:rPr>
        <w:t>الكبروي</w:t>
      </w:r>
      <w:proofErr w:type="spellEnd"/>
      <w:r>
        <w:rPr>
          <w:color w:val="1A1A1A"/>
        </w:rPr>
        <w:t>.</w:t>
      </w:r>
    </w:p>
    <w:tbl>
      <w:tblPr>
        <w:tblW w:w="9350" w:type="dxa"/>
        <w:tblInd w:w="1" w:type="dxa"/>
        <w:tblBorders>
          <w:top w:val="single" w:sz="6" w:space="0" w:color="B8912B"/>
          <w:left w:val="single" w:sz="6" w:space="0" w:color="B8912B"/>
          <w:bottom w:val="single" w:sz="6" w:space="0" w:color="B8912B"/>
          <w:right w:val="single" w:sz="6" w:space="0" w:color="B8912B"/>
        </w:tblBorders>
        <w:tblCellMar>
          <w:left w:w="10" w:type="dxa"/>
          <w:right w:w="10" w:type="dxa"/>
        </w:tblCellMar>
        <w:tblLook w:val="0000" w:firstRow="0" w:lastRow="0" w:firstColumn="0" w:lastColumn="0" w:noHBand="0" w:noVBand="0"/>
      </w:tblPr>
      <w:tblGrid>
        <w:gridCol w:w="9350"/>
      </w:tblGrid>
      <w:tr w:rsidR="00E744F3" w14:paraId="4ADA3345" w14:textId="77777777">
        <w:tblPrEx>
          <w:tblCellMar>
            <w:top w:w="0" w:type="dxa"/>
            <w:bottom w:w="0" w:type="dxa"/>
          </w:tblCellMar>
        </w:tblPrEx>
        <w:tc>
          <w:tcPr>
            <w:tcW w:w="9350" w:type="dxa"/>
            <w:shd w:val="clear" w:color="auto" w:fill="FBF3E1"/>
            <w:tcMar>
              <w:top w:w="160" w:type="dxa"/>
              <w:left w:w="220" w:type="dxa"/>
              <w:bottom w:w="160" w:type="dxa"/>
              <w:right w:w="220" w:type="dxa"/>
            </w:tcMar>
          </w:tcPr>
          <w:p w14:paraId="299ADEC6" w14:textId="77777777" w:rsidR="00E744F3" w:rsidRDefault="003D5C13" w:rsidP="00AA0252">
            <w:pPr>
              <w:spacing w:after="100"/>
              <w:rPr>
                <w:rFonts w:cs="Times New Roman"/>
              </w:rPr>
            </w:pPr>
            <w:r>
              <w:rPr>
                <w:b/>
                <w:bCs/>
                <w:color w:val="1F3A5F"/>
              </w:rPr>
              <w:t>أبرز تأثيرات مرحلة النشأة على فكر غوفمان</w:t>
            </w:r>
          </w:p>
          <w:p w14:paraId="3561295F" w14:textId="77777777" w:rsidR="00E744F3" w:rsidRDefault="003D5C13" w:rsidP="00AA0252">
            <w:pPr>
              <w:pStyle w:val="a4"/>
              <w:numPr>
                <w:ilvl w:val="0"/>
                <w:numId w:val="2"/>
              </w:numPr>
              <w:bidi/>
              <w:spacing w:after="90" w:line="320" w:lineRule="auto"/>
              <w:rPr>
                <w:rFonts w:cs="Times New Roman"/>
              </w:rPr>
            </w:pPr>
            <w:r>
              <w:rPr>
                <w:color w:val="1A1A1A"/>
                <w:sz w:val="22"/>
                <w:szCs w:val="22"/>
              </w:rPr>
              <w:t>النشأة في أقلية يهودية: حساسية مبكرة تجاه إشكاليات الهوية والتمييز والوصمة الاجتماعية.</w:t>
            </w:r>
          </w:p>
          <w:p w14:paraId="6B7CFA60" w14:textId="77777777" w:rsidR="00E744F3" w:rsidRDefault="003D5C13" w:rsidP="00AA0252">
            <w:pPr>
              <w:pStyle w:val="a4"/>
              <w:numPr>
                <w:ilvl w:val="0"/>
                <w:numId w:val="2"/>
              </w:numPr>
              <w:bidi/>
              <w:spacing w:after="90" w:line="320" w:lineRule="auto"/>
              <w:rPr>
                <w:rFonts w:cs="Times New Roman"/>
              </w:rPr>
            </w:pPr>
            <w:r>
              <w:rPr>
                <w:color w:val="1A1A1A"/>
                <w:sz w:val="22"/>
                <w:szCs w:val="22"/>
              </w:rPr>
              <w:t>بيئة المجتمع الصغير: ملاحظة حية للرقابة الاجتماعية وآليات الأداء اليومي.</w:t>
            </w:r>
          </w:p>
          <w:p w14:paraId="349E1F0D" w14:textId="77777777" w:rsidR="00E744F3" w:rsidRDefault="003D5C13" w:rsidP="00AA0252">
            <w:pPr>
              <w:pStyle w:val="a4"/>
              <w:numPr>
                <w:ilvl w:val="0"/>
                <w:numId w:val="2"/>
              </w:numPr>
              <w:bidi/>
              <w:spacing w:after="90" w:line="320" w:lineRule="auto"/>
              <w:rPr>
                <w:rFonts w:cs="Times New Roman"/>
              </w:rPr>
            </w:pPr>
            <w:r>
              <w:rPr>
                <w:color w:val="1A1A1A"/>
                <w:sz w:val="22"/>
                <w:szCs w:val="22"/>
              </w:rPr>
              <w:t>إدارة والده للمتجر: أنموذج معيش لثنائية الواجهة والكواليس.</w:t>
            </w:r>
          </w:p>
          <w:p w14:paraId="3119F809" w14:textId="77777777" w:rsidR="00E744F3" w:rsidRDefault="003D5C13" w:rsidP="00AA0252">
            <w:pPr>
              <w:pStyle w:val="a4"/>
              <w:numPr>
                <w:ilvl w:val="0"/>
                <w:numId w:val="2"/>
              </w:numPr>
              <w:bidi/>
              <w:spacing w:after="90" w:line="320" w:lineRule="auto"/>
              <w:rPr>
                <w:rFonts w:cs="Times New Roman"/>
              </w:rPr>
            </w:pPr>
            <w:r>
              <w:rPr>
                <w:color w:val="1A1A1A"/>
                <w:sz w:val="22"/>
                <w:szCs w:val="22"/>
              </w:rPr>
              <w:t xml:space="preserve">الخلفية </w:t>
            </w:r>
            <w:proofErr w:type="spellStart"/>
            <w:r>
              <w:rPr>
                <w:color w:val="1A1A1A"/>
                <w:sz w:val="22"/>
                <w:szCs w:val="22"/>
              </w:rPr>
              <w:t>الهجروية</w:t>
            </w:r>
            <w:proofErr w:type="spellEnd"/>
            <w:r>
              <w:rPr>
                <w:color w:val="1A1A1A"/>
                <w:sz w:val="22"/>
                <w:szCs w:val="22"/>
              </w:rPr>
              <w:t>: وعي حاد بجدلية الاندماج والاختلاف.</w:t>
            </w:r>
          </w:p>
          <w:p w14:paraId="4C4D4198" w14:textId="77777777" w:rsidR="00E744F3" w:rsidRDefault="003D5C13" w:rsidP="00AA0252">
            <w:pPr>
              <w:pStyle w:val="a4"/>
              <w:numPr>
                <w:ilvl w:val="0"/>
                <w:numId w:val="2"/>
              </w:numPr>
              <w:bidi/>
              <w:spacing w:after="90" w:line="320" w:lineRule="auto"/>
              <w:rPr>
                <w:rFonts w:cs="Times New Roman"/>
              </w:rPr>
            </w:pPr>
            <w:r>
              <w:rPr>
                <w:color w:val="1A1A1A"/>
                <w:sz w:val="22"/>
                <w:szCs w:val="22"/>
              </w:rPr>
              <w:t xml:space="preserve">تأثير سي. </w:t>
            </w:r>
            <w:proofErr w:type="spellStart"/>
            <w:r>
              <w:rPr>
                <w:color w:val="1A1A1A"/>
                <w:sz w:val="22"/>
                <w:szCs w:val="22"/>
              </w:rPr>
              <w:t>رايت</w:t>
            </w:r>
            <w:proofErr w:type="spellEnd"/>
            <w:r>
              <w:rPr>
                <w:color w:val="1A1A1A"/>
                <w:sz w:val="22"/>
                <w:szCs w:val="22"/>
              </w:rPr>
              <w:t xml:space="preserve"> ميلز: ترسيخ التفكير النقدي وتجاوز قراءة السطح.</w:t>
            </w:r>
          </w:p>
        </w:tc>
      </w:tr>
    </w:tbl>
    <w:p w14:paraId="2FEDA9BF" w14:textId="77777777" w:rsidR="00E744F3" w:rsidRDefault="003D5C13" w:rsidP="00AA0252">
      <w:pPr>
        <w:pageBreakBefore/>
        <w:spacing w:after="60"/>
        <w:rPr>
          <w:rFonts w:cs="Times New Roman"/>
        </w:rPr>
      </w:pPr>
      <w:r>
        <w:rPr>
          <w:b/>
          <w:bCs/>
          <w:color w:val="B8912B"/>
          <w:sz w:val="22"/>
          <w:szCs w:val="22"/>
        </w:rPr>
        <w:t>الفصل الثاني</w:t>
      </w:r>
    </w:p>
    <w:p w14:paraId="4B95C965" w14:textId="77777777" w:rsidR="00E744F3" w:rsidRDefault="003D5C13" w:rsidP="00AA0252">
      <w:pPr>
        <w:pStyle w:val="1"/>
        <w:pBdr>
          <w:bottom w:val="single" w:sz="12" w:space="8" w:color="2E7D7B"/>
        </w:pBdr>
        <w:bidi/>
        <w:spacing w:after="320"/>
        <w:rPr>
          <w:rFonts w:cs="Times New Roman"/>
        </w:rPr>
      </w:pPr>
      <w:r>
        <w:rPr>
          <w:b/>
          <w:bCs/>
          <w:color w:val="1F3A5F"/>
          <w:sz w:val="34"/>
          <w:szCs w:val="34"/>
        </w:rPr>
        <w:t>التكوين الفكري في مدرسة شيكاغو (1945–1953)</w:t>
      </w:r>
    </w:p>
    <w:p w14:paraId="4C5C0CB2" w14:textId="77777777" w:rsidR="00E744F3" w:rsidRDefault="003D5C13" w:rsidP="00AA0252">
      <w:pPr>
        <w:pStyle w:val="2"/>
        <w:bidi/>
        <w:spacing w:before="300" w:after="140"/>
        <w:rPr>
          <w:rFonts w:cs="Times New Roman"/>
        </w:rPr>
      </w:pPr>
      <w:r>
        <w:rPr>
          <w:b/>
          <w:bCs/>
          <w:color w:val="2E7D7B"/>
        </w:rPr>
        <w:t>2.1 جامعة شيكاغو: أحد أهم مراكز العلوم الاجتماعية</w:t>
      </w:r>
    </w:p>
    <w:p w14:paraId="025FDCD0" w14:textId="77777777" w:rsidR="00E744F3" w:rsidRDefault="003D5C13" w:rsidP="00AA0252">
      <w:pPr>
        <w:spacing w:after="180" w:line="340" w:lineRule="auto"/>
        <w:rPr>
          <w:rFonts w:cs="Times New Roman"/>
        </w:rPr>
      </w:pPr>
      <w:r>
        <w:rPr>
          <w:color w:val="1A1A1A"/>
        </w:rPr>
        <w:t xml:space="preserve">حين التحق غوفمان بجامعة شيكاغو عام 1945 للدراسة العليا في علم الاجتماع، كان يدخل إلى واحد من أرفع مراكز الفكر الاجتماعي في العالم </w:t>
      </w:r>
      <w:proofErr w:type="spellStart"/>
      <w:r>
        <w:rPr>
          <w:color w:val="1A1A1A"/>
        </w:rPr>
        <w:t>الأنجلوسكسوني</w:t>
      </w:r>
      <w:proofErr w:type="spellEnd"/>
      <w:r>
        <w:rPr>
          <w:color w:val="1A1A1A"/>
        </w:rPr>
        <w:t xml:space="preserve"> خلال النصف الأول من القرن العشرين. فقد أرست مدرسة شيكاغو، التي أسسها روبرت بارك ورفاقه في مطلع القرن، خارطة جديدة لعلم الاجتماع، تنقله من التجريد النظري إلى الملاحظة المباشرة للشوارع والأحياء والمستشفيات والجمعيات المهنية.</w:t>
      </w:r>
    </w:p>
    <w:p w14:paraId="32A6CA5D" w14:textId="77777777" w:rsidR="00E744F3" w:rsidRDefault="003D5C13" w:rsidP="00AA0252">
      <w:pPr>
        <w:spacing w:after="180" w:line="340" w:lineRule="auto"/>
        <w:rPr>
          <w:rFonts w:cs="Times New Roman"/>
        </w:rPr>
      </w:pPr>
      <w:r>
        <w:rPr>
          <w:color w:val="1A1A1A"/>
        </w:rPr>
        <w:t xml:space="preserve">وقد وفّرت مدينة شيكاغو نفسها، لا الجامعة وحدها، المختبر الحي الذي أمدّ هذه المدرسة بمادتها التجريبية الأولى: مدينة الهجرة الكبرى، والتحولات الصناعية المتسارعة، والأحياء اليهودية والإيطالية </w:t>
      </w:r>
      <w:proofErr w:type="spellStart"/>
      <w:r>
        <w:rPr>
          <w:color w:val="1A1A1A"/>
        </w:rPr>
        <w:t>والأفروأمريكية</w:t>
      </w:r>
      <w:proofErr w:type="spellEnd"/>
      <w:r>
        <w:rPr>
          <w:color w:val="1A1A1A"/>
        </w:rPr>
        <w:t xml:space="preserve"> والبولندية المتجاورة، وهي مدينة تختزل في نسيجها العمراني إشكاليات الحداثة كافة: التماسك والتفكك، الانتماء والاغتراب، الرقابة الاجتماعية والانتهاك.</w:t>
      </w:r>
    </w:p>
    <w:p w14:paraId="43AE3179" w14:textId="77777777" w:rsidR="00E744F3" w:rsidRDefault="003D5C13" w:rsidP="00AA0252">
      <w:pPr>
        <w:pStyle w:val="2"/>
        <w:bidi/>
        <w:spacing w:before="300" w:after="140"/>
        <w:rPr>
          <w:rFonts w:cs="Times New Roman"/>
        </w:rPr>
      </w:pPr>
      <w:r>
        <w:rPr>
          <w:b/>
          <w:bCs/>
          <w:color w:val="2E7D7B"/>
        </w:rPr>
        <w:t>2.2 الأساتذة المؤسسون: ثلاثة روافد فكرية</w:t>
      </w:r>
    </w:p>
    <w:p w14:paraId="0CACB7B7" w14:textId="77777777" w:rsidR="00E744F3" w:rsidRDefault="003D5C13" w:rsidP="00AA0252">
      <w:pPr>
        <w:spacing w:after="100" w:line="340" w:lineRule="auto"/>
        <w:rPr>
          <w:rFonts w:cs="Times New Roman"/>
        </w:rPr>
      </w:pPr>
      <w:r>
        <w:rPr>
          <w:b/>
          <w:bCs/>
          <w:color w:val="1F3A5F"/>
          <w:sz w:val="23"/>
          <w:szCs w:val="23"/>
        </w:rPr>
        <w:t xml:space="preserve">أ) </w:t>
      </w:r>
      <w:proofErr w:type="spellStart"/>
      <w:r>
        <w:rPr>
          <w:b/>
          <w:bCs/>
          <w:color w:val="1F3A5F"/>
          <w:sz w:val="23"/>
          <w:szCs w:val="23"/>
        </w:rPr>
        <w:t>إيفرت</w:t>
      </w:r>
      <w:proofErr w:type="spellEnd"/>
      <w:r>
        <w:rPr>
          <w:b/>
          <w:bCs/>
          <w:color w:val="1F3A5F"/>
          <w:sz w:val="23"/>
          <w:szCs w:val="23"/>
        </w:rPr>
        <w:t xml:space="preserve"> </w:t>
      </w:r>
      <w:proofErr w:type="spellStart"/>
      <w:r>
        <w:rPr>
          <w:b/>
          <w:bCs/>
          <w:color w:val="1F3A5F"/>
          <w:sz w:val="23"/>
          <w:szCs w:val="23"/>
        </w:rPr>
        <w:t>هيوز</w:t>
      </w:r>
      <w:proofErr w:type="spellEnd"/>
      <w:r>
        <w:rPr>
          <w:b/>
          <w:bCs/>
          <w:color w:val="1F3A5F"/>
          <w:sz w:val="23"/>
          <w:szCs w:val="23"/>
        </w:rPr>
        <w:t xml:space="preserve">: </w:t>
      </w:r>
      <w:proofErr w:type="spellStart"/>
      <w:r>
        <w:rPr>
          <w:b/>
          <w:bCs/>
          <w:color w:val="1F3A5F"/>
          <w:sz w:val="23"/>
          <w:szCs w:val="23"/>
        </w:rPr>
        <w:t>الإثنوغرافيا</w:t>
      </w:r>
      <w:proofErr w:type="spellEnd"/>
      <w:r>
        <w:rPr>
          <w:b/>
          <w:bCs/>
          <w:color w:val="1F3A5F"/>
          <w:sz w:val="23"/>
          <w:szCs w:val="23"/>
        </w:rPr>
        <w:t xml:space="preserve"> والهوية المهنية</w:t>
      </w:r>
    </w:p>
    <w:p w14:paraId="5910A944" w14:textId="77777777" w:rsidR="00E744F3" w:rsidRDefault="003D5C13" w:rsidP="00AA0252">
      <w:pPr>
        <w:spacing w:after="180" w:line="340" w:lineRule="auto"/>
        <w:rPr>
          <w:rFonts w:cs="Times New Roman"/>
        </w:rPr>
      </w:pPr>
      <w:r>
        <w:rPr>
          <w:color w:val="1A1A1A"/>
        </w:rPr>
        <w:t xml:space="preserve">أشرف </w:t>
      </w:r>
      <w:proofErr w:type="spellStart"/>
      <w:r>
        <w:rPr>
          <w:color w:val="1A1A1A"/>
        </w:rPr>
        <w:t>إيفرت</w:t>
      </w:r>
      <w:proofErr w:type="spellEnd"/>
      <w:r>
        <w:rPr>
          <w:color w:val="1A1A1A"/>
        </w:rPr>
        <w:t xml:space="preserve"> </w:t>
      </w:r>
      <w:proofErr w:type="spellStart"/>
      <w:r>
        <w:rPr>
          <w:color w:val="1A1A1A"/>
        </w:rPr>
        <w:t>هيوز</w:t>
      </w:r>
      <w:proofErr w:type="spellEnd"/>
      <w:r>
        <w:rPr>
          <w:color w:val="1A1A1A"/>
        </w:rPr>
        <w:t xml:space="preserve"> على أطروحة غوفمان للدكتوراه، وكان يؤمن بأن علم الاجتماع يُصنع في الميدان لا في المكتبة. وهو الذي أقنع غوفمان بأن كل موضوع، مهما بدا عادياً، يصلح أن يكون مجالاً للتحليل السوسيولوجي العميق؛ فقد درس </w:t>
      </w:r>
      <w:proofErr w:type="spellStart"/>
      <w:r>
        <w:rPr>
          <w:color w:val="1A1A1A"/>
        </w:rPr>
        <w:t>هيوز</w:t>
      </w:r>
      <w:proofErr w:type="spellEnd"/>
      <w:r>
        <w:rPr>
          <w:color w:val="1A1A1A"/>
        </w:rPr>
        <w:t xml:space="preserve"> بنفسه العمال والمهن والنقابات، مبيّناً أن المهنة ليست مجرد نشاط اقتصادي، بل عالم متكامل من الهوية والطقوس والانتماءات. كما علّمه مبدأ «الحياد النسبي» تجاه الظاهرة المدروسة — أن يبدأ الباحث بالفهم قبل الحكم — وهو المبدأ الذي سيجعل غوفمان يدرس المؤسسات الشاملة والوصمة والإذلال بنبرة وصفية تحليلية لا أ</w:t>
      </w:r>
      <w:r>
        <w:rPr>
          <w:color w:val="1A1A1A"/>
        </w:rPr>
        <w:t>خلاقية مباشرة، وهو ما أثار حوله لاحقاً جدلاً منهجياً واسعاً.</w:t>
      </w:r>
    </w:p>
    <w:p w14:paraId="6F3A81F9" w14:textId="77777777" w:rsidR="00E744F3" w:rsidRDefault="003D5C13" w:rsidP="00AA0252">
      <w:pPr>
        <w:spacing w:after="100" w:line="340" w:lineRule="auto"/>
        <w:rPr>
          <w:rFonts w:cs="Times New Roman"/>
        </w:rPr>
      </w:pPr>
      <w:r>
        <w:rPr>
          <w:b/>
          <w:bCs/>
          <w:color w:val="1F3A5F"/>
          <w:sz w:val="23"/>
          <w:szCs w:val="23"/>
        </w:rPr>
        <w:t xml:space="preserve">ب) </w:t>
      </w:r>
      <w:proofErr w:type="spellStart"/>
      <w:r>
        <w:rPr>
          <w:b/>
          <w:bCs/>
          <w:color w:val="1F3A5F"/>
          <w:sz w:val="23"/>
          <w:szCs w:val="23"/>
        </w:rPr>
        <w:t>هربرت</w:t>
      </w:r>
      <w:proofErr w:type="spellEnd"/>
      <w:r>
        <w:rPr>
          <w:b/>
          <w:bCs/>
          <w:color w:val="1F3A5F"/>
          <w:sz w:val="23"/>
          <w:szCs w:val="23"/>
        </w:rPr>
        <w:t xml:space="preserve"> </w:t>
      </w:r>
      <w:proofErr w:type="spellStart"/>
      <w:r>
        <w:rPr>
          <w:b/>
          <w:bCs/>
          <w:color w:val="1F3A5F"/>
          <w:sz w:val="23"/>
          <w:szCs w:val="23"/>
        </w:rPr>
        <w:t>بلومر</w:t>
      </w:r>
      <w:proofErr w:type="spellEnd"/>
      <w:r>
        <w:rPr>
          <w:b/>
          <w:bCs/>
          <w:color w:val="1F3A5F"/>
          <w:sz w:val="23"/>
          <w:szCs w:val="23"/>
        </w:rPr>
        <w:t>: الرمز في قلب التفاعل</w:t>
      </w:r>
    </w:p>
    <w:p w14:paraId="3299195B" w14:textId="77777777" w:rsidR="00E744F3" w:rsidRDefault="003D5C13" w:rsidP="00AA0252">
      <w:pPr>
        <w:spacing w:after="180" w:line="340" w:lineRule="auto"/>
        <w:rPr>
          <w:rFonts w:cs="Times New Roman"/>
        </w:rPr>
      </w:pPr>
      <w:r>
        <w:rPr>
          <w:color w:val="1A1A1A"/>
        </w:rPr>
        <w:t xml:space="preserve">صاغ </w:t>
      </w:r>
      <w:proofErr w:type="spellStart"/>
      <w:r>
        <w:rPr>
          <w:color w:val="1A1A1A"/>
        </w:rPr>
        <w:t>هربرت</w:t>
      </w:r>
      <w:proofErr w:type="spellEnd"/>
      <w:r>
        <w:rPr>
          <w:color w:val="1A1A1A"/>
        </w:rPr>
        <w:t xml:space="preserve"> </w:t>
      </w:r>
      <w:proofErr w:type="spellStart"/>
      <w:r>
        <w:rPr>
          <w:color w:val="1A1A1A"/>
        </w:rPr>
        <w:t>بلومر</w:t>
      </w:r>
      <w:proofErr w:type="spellEnd"/>
      <w:r>
        <w:rPr>
          <w:color w:val="1A1A1A"/>
        </w:rPr>
        <w:t xml:space="preserve"> مصطلح «التفاعلية الرمزية» (</w:t>
      </w:r>
      <w:proofErr w:type="spellStart"/>
      <w:r>
        <w:rPr>
          <w:color w:val="1A1A1A"/>
        </w:rPr>
        <w:t>Symbolic</w:t>
      </w:r>
      <w:proofErr w:type="spellEnd"/>
      <w:r>
        <w:rPr>
          <w:color w:val="1A1A1A"/>
        </w:rPr>
        <w:t xml:space="preserve"> </w:t>
      </w:r>
      <w:proofErr w:type="spellStart"/>
      <w:r>
        <w:rPr>
          <w:color w:val="1A1A1A"/>
        </w:rPr>
        <w:t>Interactionism</w:t>
      </w:r>
      <w:proofErr w:type="spellEnd"/>
      <w:r>
        <w:rPr>
          <w:color w:val="1A1A1A"/>
        </w:rPr>
        <w:t xml:space="preserve">)، ذلك المنظور الذي يرى أن الواقع الاجتماعي يُبنى عبر تفاعل مستمر بين أفراد يتبادلون رموزاً ذات معانٍ مشتركة: الكلمة رمز، والإيماءة رمز، والزي رمز، والعنوان رمز، ولا تحمل هذه الرموز معانيها في ذاتها، بل تكتسبها ضمن سياق التفاعل الاجتماعي. تعلّم غوفمان من </w:t>
      </w:r>
      <w:proofErr w:type="spellStart"/>
      <w:r>
        <w:rPr>
          <w:color w:val="1A1A1A"/>
        </w:rPr>
        <w:t>بلومر</w:t>
      </w:r>
      <w:proofErr w:type="spellEnd"/>
      <w:r>
        <w:rPr>
          <w:color w:val="1A1A1A"/>
        </w:rPr>
        <w:t xml:space="preserve"> أن يضع اللغة والرموز في صميم كل تفاعل، لكنه تجاوز أستاذه إذ لم يقتصر على تحليل الرموز اللفظية، بل فتح المجال أمام تحليل الرموز غير اللفظية: حركة الجسد، ومسافة التقارب، واتجاه النظر، وتناسق </w:t>
      </w:r>
      <w:r>
        <w:rPr>
          <w:color w:val="1A1A1A"/>
        </w:rPr>
        <w:t>نبرة الصوت؛ ليغدو عالم غوفمان عالماً بصرياً-جسدياً بامتياز.</w:t>
      </w:r>
    </w:p>
    <w:p w14:paraId="366E811D" w14:textId="77777777" w:rsidR="00E744F3" w:rsidRDefault="003D5C13" w:rsidP="00AA0252">
      <w:pPr>
        <w:spacing w:after="100" w:line="340" w:lineRule="auto"/>
        <w:rPr>
          <w:rFonts w:cs="Times New Roman"/>
        </w:rPr>
      </w:pPr>
      <w:r>
        <w:rPr>
          <w:b/>
          <w:bCs/>
          <w:color w:val="1F3A5F"/>
          <w:sz w:val="23"/>
          <w:szCs w:val="23"/>
        </w:rPr>
        <w:t>ج) لويس ويرث وروبرت بارك: المدينة بوصفها مختبراً</w:t>
      </w:r>
    </w:p>
    <w:p w14:paraId="485C1332" w14:textId="77777777" w:rsidR="00E744F3" w:rsidRDefault="003D5C13" w:rsidP="00AA0252">
      <w:pPr>
        <w:spacing w:after="180" w:line="340" w:lineRule="auto"/>
        <w:rPr>
          <w:rFonts w:cs="Times New Roman"/>
        </w:rPr>
      </w:pPr>
      <w:r>
        <w:rPr>
          <w:color w:val="1A1A1A"/>
        </w:rPr>
        <w:t xml:space="preserve">أعطى رائدا مدرسة شيكاغو الأوائل، لويس ويرث وروبرت بارك، غوفمان درساً منهجياً بالغ الأهمية مفاده أن المجتمع لا يُقرأ من المكتبة، بل من الملاحظة المباشرة في الأماكن الحقيقية التي يعيش فيها الناس؛ فبارك عمل صحفياً قبل أن يتحول إلى عالم اجتماع، </w:t>
      </w:r>
      <w:proofErr w:type="spellStart"/>
      <w:r>
        <w:rPr>
          <w:color w:val="1A1A1A"/>
        </w:rPr>
        <w:t>وويرث</w:t>
      </w:r>
      <w:proofErr w:type="spellEnd"/>
      <w:r>
        <w:rPr>
          <w:color w:val="1A1A1A"/>
        </w:rPr>
        <w:t xml:space="preserve"> درس </w:t>
      </w:r>
      <w:proofErr w:type="spellStart"/>
      <w:r>
        <w:rPr>
          <w:color w:val="1A1A1A"/>
        </w:rPr>
        <w:t>الغيتو</w:t>
      </w:r>
      <w:proofErr w:type="spellEnd"/>
      <w:r>
        <w:rPr>
          <w:color w:val="1A1A1A"/>
        </w:rPr>
        <w:t xml:space="preserve"> اليهودي في شيكاغو بعين مفتوحة متحررة من الأحكام المسبقة. وهذا الإرث </w:t>
      </w:r>
      <w:proofErr w:type="spellStart"/>
      <w:r>
        <w:rPr>
          <w:color w:val="1A1A1A"/>
        </w:rPr>
        <w:t>الشيكاغوي</w:t>
      </w:r>
      <w:proofErr w:type="spellEnd"/>
      <w:r>
        <w:rPr>
          <w:color w:val="1A1A1A"/>
        </w:rPr>
        <w:t xml:space="preserve"> من الانخراط الميداني الجريء هو الذي سيدفع غوفمان لاحقاً إلى العيش في جزر </w:t>
      </w:r>
      <w:proofErr w:type="spellStart"/>
      <w:r>
        <w:rPr>
          <w:color w:val="1A1A1A"/>
        </w:rPr>
        <w:t>شيتلاند</w:t>
      </w:r>
      <w:proofErr w:type="spellEnd"/>
      <w:r>
        <w:rPr>
          <w:color w:val="1A1A1A"/>
        </w:rPr>
        <w:t xml:space="preserve"> ثمانية عشر شهراً، وإلى العمل متخفياً في مستشفى للأمراض العقلية، بدل الاكتفاء بالمقابلات الرسمية.</w:t>
      </w:r>
    </w:p>
    <w:tbl>
      <w:tblPr>
        <w:tblW w:w="935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left w:w="10" w:type="dxa"/>
          <w:right w:w="10" w:type="dxa"/>
        </w:tblCellMar>
        <w:tblLook w:val="0000" w:firstRow="0" w:lastRow="0" w:firstColumn="0" w:lastColumn="0" w:noHBand="0" w:noVBand="0"/>
      </w:tblPr>
      <w:tblGrid>
        <w:gridCol w:w="3100"/>
        <w:gridCol w:w="6250"/>
      </w:tblGrid>
      <w:tr w:rsidR="00E744F3" w14:paraId="005082D2" w14:textId="77777777">
        <w:tblPrEx>
          <w:tblCellMar>
            <w:top w:w="0" w:type="dxa"/>
            <w:bottom w:w="0" w:type="dxa"/>
          </w:tblCellMar>
        </w:tblPrEx>
        <w:trPr>
          <w:tblHeader/>
        </w:trPr>
        <w:tc>
          <w:tcPr>
            <w:tcW w:w="3100" w:type="dxa"/>
            <w:shd w:val="clear" w:color="auto" w:fill="1F3A5F"/>
            <w:tcMar>
              <w:top w:w="100" w:type="dxa"/>
              <w:left w:w="120" w:type="dxa"/>
              <w:bottom w:w="100" w:type="dxa"/>
              <w:right w:w="120" w:type="dxa"/>
            </w:tcMar>
            <w:vAlign w:val="center"/>
          </w:tcPr>
          <w:p w14:paraId="0F5940F4" w14:textId="77777777" w:rsidR="00E744F3" w:rsidRDefault="003D5C13" w:rsidP="00AA0252">
            <w:pPr>
              <w:rPr>
                <w:rFonts w:cs="Times New Roman"/>
              </w:rPr>
            </w:pPr>
            <w:r>
              <w:rPr>
                <w:b/>
                <w:bCs/>
                <w:color w:val="FFFFFF"/>
                <w:sz w:val="22"/>
                <w:szCs w:val="22"/>
              </w:rPr>
              <w:t>المؤثر الفكري</w:t>
            </w:r>
          </w:p>
        </w:tc>
        <w:tc>
          <w:tcPr>
            <w:tcW w:w="6250" w:type="dxa"/>
            <w:shd w:val="clear" w:color="auto" w:fill="1F3A5F"/>
            <w:tcMar>
              <w:top w:w="100" w:type="dxa"/>
              <w:left w:w="120" w:type="dxa"/>
              <w:bottom w:w="100" w:type="dxa"/>
              <w:right w:w="120" w:type="dxa"/>
            </w:tcMar>
            <w:vAlign w:val="center"/>
          </w:tcPr>
          <w:p w14:paraId="6E1D97AC" w14:textId="77777777" w:rsidR="00E744F3" w:rsidRDefault="003D5C13" w:rsidP="00AA0252">
            <w:pPr>
              <w:rPr>
                <w:rFonts w:cs="Times New Roman"/>
              </w:rPr>
            </w:pPr>
            <w:r>
              <w:rPr>
                <w:b/>
                <w:bCs/>
                <w:color w:val="FFFFFF"/>
                <w:sz w:val="22"/>
                <w:szCs w:val="22"/>
              </w:rPr>
              <w:t>ما أضافه لمشروع غوفمان</w:t>
            </w:r>
          </w:p>
        </w:tc>
      </w:tr>
      <w:tr w:rsidR="00E744F3" w14:paraId="799748C6" w14:textId="77777777">
        <w:tblPrEx>
          <w:tblCellMar>
            <w:top w:w="0" w:type="dxa"/>
            <w:bottom w:w="0" w:type="dxa"/>
          </w:tblCellMar>
        </w:tblPrEx>
        <w:tc>
          <w:tcPr>
            <w:tcW w:w="3100" w:type="dxa"/>
            <w:shd w:val="clear" w:color="auto" w:fill="FFFFFF"/>
            <w:tcMar>
              <w:top w:w="90" w:type="dxa"/>
              <w:left w:w="120" w:type="dxa"/>
              <w:bottom w:w="90" w:type="dxa"/>
              <w:right w:w="120" w:type="dxa"/>
            </w:tcMar>
            <w:vAlign w:val="center"/>
          </w:tcPr>
          <w:p w14:paraId="2BB763F8" w14:textId="77777777" w:rsidR="00E744F3" w:rsidRDefault="003D5C13" w:rsidP="00AA0252">
            <w:pPr>
              <w:rPr>
                <w:rFonts w:cs="Times New Roman"/>
              </w:rPr>
            </w:pPr>
            <w:proofErr w:type="spellStart"/>
            <w:r>
              <w:rPr>
                <w:b/>
                <w:bCs/>
                <w:color w:val="2E7D7B"/>
                <w:sz w:val="21"/>
                <w:szCs w:val="21"/>
              </w:rPr>
              <w:t>إيفرت</w:t>
            </w:r>
            <w:proofErr w:type="spellEnd"/>
            <w:r>
              <w:rPr>
                <w:b/>
                <w:bCs/>
                <w:color w:val="2E7D7B"/>
                <w:sz w:val="21"/>
                <w:szCs w:val="21"/>
              </w:rPr>
              <w:t xml:space="preserve"> </w:t>
            </w:r>
            <w:proofErr w:type="spellStart"/>
            <w:r>
              <w:rPr>
                <w:b/>
                <w:bCs/>
                <w:color w:val="2E7D7B"/>
                <w:sz w:val="21"/>
                <w:szCs w:val="21"/>
              </w:rPr>
              <w:t>هيوز</w:t>
            </w:r>
            <w:proofErr w:type="spellEnd"/>
          </w:p>
        </w:tc>
        <w:tc>
          <w:tcPr>
            <w:tcW w:w="6250" w:type="dxa"/>
            <w:shd w:val="clear" w:color="auto" w:fill="FFFFFF"/>
            <w:tcMar>
              <w:top w:w="90" w:type="dxa"/>
              <w:left w:w="120" w:type="dxa"/>
              <w:bottom w:w="90" w:type="dxa"/>
              <w:right w:w="120" w:type="dxa"/>
            </w:tcMar>
            <w:vAlign w:val="center"/>
          </w:tcPr>
          <w:p w14:paraId="3582E4FB" w14:textId="77777777" w:rsidR="00E744F3" w:rsidRDefault="003D5C13" w:rsidP="00AA0252">
            <w:pPr>
              <w:rPr>
                <w:rFonts w:cs="Times New Roman"/>
              </w:rPr>
            </w:pPr>
            <w:proofErr w:type="spellStart"/>
            <w:r>
              <w:rPr>
                <w:color w:val="1A1A1A"/>
                <w:sz w:val="21"/>
                <w:szCs w:val="21"/>
              </w:rPr>
              <w:t>الإثنوغرافيا</w:t>
            </w:r>
            <w:proofErr w:type="spellEnd"/>
            <w:r>
              <w:rPr>
                <w:color w:val="1A1A1A"/>
                <w:sz w:val="21"/>
                <w:szCs w:val="21"/>
              </w:rPr>
              <w:t xml:space="preserve"> الميدانية العميقة، وتحليل الهوية المهنية.</w:t>
            </w:r>
          </w:p>
        </w:tc>
      </w:tr>
      <w:tr w:rsidR="00E744F3" w14:paraId="23BEFCA3" w14:textId="77777777">
        <w:tblPrEx>
          <w:tblCellMar>
            <w:top w:w="0" w:type="dxa"/>
            <w:bottom w:w="0" w:type="dxa"/>
          </w:tblCellMar>
        </w:tblPrEx>
        <w:tc>
          <w:tcPr>
            <w:tcW w:w="3100" w:type="dxa"/>
            <w:shd w:val="clear" w:color="auto" w:fill="EAF2F1"/>
            <w:tcMar>
              <w:top w:w="90" w:type="dxa"/>
              <w:left w:w="120" w:type="dxa"/>
              <w:bottom w:w="90" w:type="dxa"/>
              <w:right w:w="120" w:type="dxa"/>
            </w:tcMar>
            <w:vAlign w:val="center"/>
          </w:tcPr>
          <w:p w14:paraId="3BCFBABB" w14:textId="77777777" w:rsidR="00E744F3" w:rsidRDefault="003D5C13" w:rsidP="00AA0252">
            <w:pPr>
              <w:rPr>
                <w:rFonts w:cs="Times New Roman"/>
              </w:rPr>
            </w:pPr>
            <w:proofErr w:type="spellStart"/>
            <w:r>
              <w:rPr>
                <w:b/>
                <w:bCs/>
                <w:color w:val="2E7D7B"/>
                <w:sz w:val="21"/>
                <w:szCs w:val="21"/>
              </w:rPr>
              <w:t>هربرت</w:t>
            </w:r>
            <w:proofErr w:type="spellEnd"/>
            <w:r>
              <w:rPr>
                <w:b/>
                <w:bCs/>
                <w:color w:val="2E7D7B"/>
                <w:sz w:val="21"/>
                <w:szCs w:val="21"/>
              </w:rPr>
              <w:t xml:space="preserve"> </w:t>
            </w:r>
            <w:proofErr w:type="spellStart"/>
            <w:r>
              <w:rPr>
                <w:b/>
                <w:bCs/>
                <w:color w:val="2E7D7B"/>
                <w:sz w:val="21"/>
                <w:szCs w:val="21"/>
              </w:rPr>
              <w:t>بلومر</w:t>
            </w:r>
            <w:proofErr w:type="spellEnd"/>
          </w:p>
        </w:tc>
        <w:tc>
          <w:tcPr>
            <w:tcW w:w="6250" w:type="dxa"/>
            <w:shd w:val="clear" w:color="auto" w:fill="EAF2F1"/>
            <w:tcMar>
              <w:top w:w="90" w:type="dxa"/>
              <w:left w:w="120" w:type="dxa"/>
              <w:bottom w:w="90" w:type="dxa"/>
              <w:right w:w="120" w:type="dxa"/>
            </w:tcMar>
            <w:vAlign w:val="center"/>
          </w:tcPr>
          <w:p w14:paraId="2B3B79DE" w14:textId="77777777" w:rsidR="00E744F3" w:rsidRDefault="003D5C13" w:rsidP="00AA0252">
            <w:pPr>
              <w:rPr>
                <w:rFonts w:cs="Times New Roman"/>
              </w:rPr>
            </w:pPr>
            <w:r>
              <w:rPr>
                <w:color w:val="1A1A1A"/>
                <w:sz w:val="21"/>
                <w:szCs w:val="21"/>
              </w:rPr>
              <w:t>التفاعلية الرمزية، وأهمية الرموز في بناء المعنى الاجتماعي.</w:t>
            </w:r>
          </w:p>
        </w:tc>
      </w:tr>
      <w:tr w:rsidR="00E744F3" w14:paraId="4E3DB732" w14:textId="77777777">
        <w:tblPrEx>
          <w:tblCellMar>
            <w:top w:w="0" w:type="dxa"/>
            <w:bottom w:w="0" w:type="dxa"/>
          </w:tblCellMar>
        </w:tblPrEx>
        <w:tc>
          <w:tcPr>
            <w:tcW w:w="3100" w:type="dxa"/>
            <w:shd w:val="clear" w:color="auto" w:fill="FFFFFF"/>
            <w:tcMar>
              <w:top w:w="90" w:type="dxa"/>
              <w:left w:w="120" w:type="dxa"/>
              <w:bottom w:w="90" w:type="dxa"/>
              <w:right w:w="120" w:type="dxa"/>
            </w:tcMar>
            <w:vAlign w:val="center"/>
          </w:tcPr>
          <w:p w14:paraId="70EEBB86" w14:textId="77777777" w:rsidR="00E744F3" w:rsidRDefault="003D5C13" w:rsidP="00AA0252">
            <w:pPr>
              <w:rPr>
                <w:rFonts w:cs="Times New Roman"/>
              </w:rPr>
            </w:pPr>
            <w:r>
              <w:rPr>
                <w:b/>
                <w:bCs/>
                <w:color w:val="2E7D7B"/>
                <w:sz w:val="21"/>
                <w:szCs w:val="21"/>
              </w:rPr>
              <w:t>روبرت بارك</w:t>
            </w:r>
          </w:p>
        </w:tc>
        <w:tc>
          <w:tcPr>
            <w:tcW w:w="6250" w:type="dxa"/>
            <w:shd w:val="clear" w:color="auto" w:fill="FFFFFF"/>
            <w:tcMar>
              <w:top w:w="90" w:type="dxa"/>
              <w:left w:w="120" w:type="dxa"/>
              <w:bottom w:w="90" w:type="dxa"/>
              <w:right w:w="120" w:type="dxa"/>
            </w:tcMar>
            <w:vAlign w:val="center"/>
          </w:tcPr>
          <w:p w14:paraId="119CFA5F" w14:textId="77777777" w:rsidR="00E744F3" w:rsidRDefault="003D5C13" w:rsidP="00AA0252">
            <w:pPr>
              <w:rPr>
                <w:rFonts w:cs="Times New Roman"/>
              </w:rPr>
            </w:pPr>
            <w:r>
              <w:rPr>
                <w:color w:val="1A1A1A"/>
                <w:sz w:val="21"/>
                <w:szCs w:val="21"/>
              </w:rPr>
              <w:t xml:space="preserve">المنهج </w:t>
            </w:r>
            <w:proofErr w:type="spellStart"/>
            <w:r>
              <w:rPr>
                <w:color w:val="1A1A1A"/>
                <w:sz w:val="21"/>
                <w:szCs w:val="21"/>
              </w:rPr>
              <w:t>الملاحظاتي</w:t>
            </w:r>
            <w:proofErr w:type="spellEnd"/>
            <w:r>
              <w:rPr>
                <w:color w:val="1A1A1A"/>
                <w:sz w:val="21"/>
                <w:szCs w:val="21"/>
              </w:rPr>
              <w:t>، والانخراط المباشر في الحياة الحضرية.</w:t>
            </w:r>
          </w:p>
        </w:tc>
      </w:tr>
      <w:tr w:rsidR="00E744F3" w14:paraId="01899059" w14:textId="77777777">
        <w:tblPrEx>
          <w:tblCellMar>
            <w:top w:w="0" w:type="dxa"/>
            <w:bottom w:w="0" w:type="dxa"/>
          </w:tblCellMar>
        </w:tblPrEx>
        <w:tc>
          <w:tcPr>
            <w:tcW w:w="3100" w:type="dxa"/>
            <w:shd w:val="clear" w:color="auto" w:fill="EAF2F1"/>
            <w:tcMar>
              <w:top w:w="90" w:type="dxa"/>
              <w:left w:w="120" w:type="dxa"/>
              <w:bottom w:w="90" w:type="dxa"/>
              <w:right w:w="120" w:type="dxa"/>
            </w:tcMar>
            <w:vAlign w:val="center"/>
          </w:tcPr>
          <w:p w14:paraId="30A9EB35" w14:textId="77777777" w:rsidR="00E744F3" w:rsidRDefault="003D5C13" w:rsidP="00AA0252">
            <w:pPr>
              <w:rPr>
                <w:rFonts w:cs="Times New Roman"/>
              </w:rPr>
            </w:pPr>
            <w:r>
              <w:rPr>
                <w:b/>
                <w:bCs/>
                <w:color w:val="2E7D7B"/>
                <w:sz w:val="21"/>
                <w:szCs w:val="21"/>
              </w:rPr>
              <w:t>لويس ويرث</w:t>
            </w:r>
          </w:p>
        </w:tc>
        <w:tc>
          <w:tcPr>
            <w:tcW w:w="6250" w:type="dxa"/>
            <w:shd w:val="clear" w:color="auto" w:fill="EAF2F1"/>
            <w:tcMar>
              <w:top w:w="90" w:type="dxa"/>
              <w:left w:w="120" w:type="dxa"/>
              <w:bottom w:w="90" w:type="dxa"/>
              <w:right w:w="120" w:type="dxa"/>
            </w:tcMar>
            <w:vAlign w:val="center"/>
          </w:tcPr>
          <w:p w14:paraId="01B11544" w14:textId="77777777" w:rsidR="00E744F3" w:rsidRDefault="003D5C13" w:rsidP="00AA0252">
            <w:pPr>
              <w:rPr>
                <w:rFonts w:cs="Times New Roman"/>
              </w:rPr>
            </w:pPr>
            <w:r>
              <w:rPr>
                <w:color w:val="1A1A1A"/>
                <w:sz w:val="21"/>
                <w:szCs w:val="21"/>
              </w:rPr>
              <w:t xml:space="preserve">دراسة الهوامش والأقليات ومفاهيم </w:t>
            </w:r>
            <w:proofErr w:type="spellStart"/>
            <w:r>
              <w:rPr>
                <w:color w:val="1A1A1A"/>
                <w:sz w:val="21"/>
                <w:szCs w:val="21"/>
              </w:rPr>
              <w:t>الغيتو</w:t>
            </w:r>
            <w:proofErr w:type="spellEnd"/>
            <w:r>
              <w:rPr>
                <w:color w:val="1A1A1A"/>
                <w:sz w:val="21"/>
                <w:szCs w:val="21"/>
              </w:rPr>
              <w:t xml:space="preserve"> الاجتماعي.</w:t>
            </w:r>
          </w:p>
        </w:tc>
      </w:tr>
      <w:tr w:rsidR="00E744F3" w14:paraId="29AFB285" w14:textId="77777777">
        <w:tblPrEx>
          <w:tblCellMar>
            <w:top w:w="0" w:type="dxa"/>
            <w:bottom w:w="0" w:type="dxa"/>
          </w:tblCellMar>
        </w:tblPrEx>
        <w:tc>
          <w:tcPr>
            <w:tcW w:w="3100" w:type="dxa"/>
            <w:shd w:val="clear" w:color="auto" w:fill="FFFFFF"/>
            <w:tcMar>
              <w:top w:w="90" w:type="dxa"/>
              <w:left w:w="120" w:type="dxa"/>
              <w:bottom w:w="90" w:type="dxa"/>
              <w:right w:w="120" w:type="dxa"/>
            </w:tcMar>
            <w:vAlign w:val="center"/>
          </w:tcPr>
          <w:p w14:paraId="1573541E" w14:textId="77777777" w:rsidR="00E744F3" w:rsidRDefault="003D5C13" w:rsidP="00AA0252">
            <w:pPr>
              <w:rPr>
                <w:rFonts w:cs="Times New Roman"/>
              </w:rPr>
            </w:pPr>
            <w:r>
              <w:rPr>
                <w:b/>
                <w:bCs/>
                <w:color w:val="2E7D7B"/>
                <w:sz w:val="21"/>
                <w:szCs w:val="21"/>
              </w:rPr>
              <w:t xml:space="preserve">إميل </w:t>
            </w:r>
            <w:proofErr w:type="spellStart"/>
            <w:r>
              <w:rPr>
                <w:b/>
                <w:bCs/>
                <w:color w:val="2E7D7B"/>
                <w:sz w:val="21"/>
                <w:szCs w:val="21"/>
              </w:rPr>
              <w:t>دوركهايم</w:t>
            </w:r>
            <w:proofErr w:type="spellEnd"/>
          </w:p>
        </w:tc>
        <w:tc>
          <w:tcPr>
            <w:tcW w:w="6250" w:type="dxa"/>
            <w:shd w:val="clear" w:color="auto" w:fill="FFFFFF"/>
            <w:tcMar>
              <w:top w:w="90" w:type="dxa"/>
              <w:left w:w="120" w:type="dxa"/>
              <w:bottom w:w="90" w:type="dxa"/>
              <w:right w:w="120" w:type="dxa"/>
            </w:tcMar>
            <w:vAlign w:val="center"/>
          </w:tcPr>
          <w:p w14:paraId="046ECCB3" w14:textId="77777777" w:rsidR="00E744F3" w:rsidRDefault="003D5C13" w:rsidP="00AA0252">
            <w:pPr>
              <w:rPr>
                <w:rFonts w:cs="Times New Roman"/>
              </w:rPr>
            </w:pPr>
            <w:r>
              <w:rPr>
                <w:color w:val="1A1A1A"/>
                <w:sz w:val="21"/>
                <w:szCs w:val="21"/>
              </w:rPr>
              <w:t>الطقوس الاجتماعية ووظائفها في تحقيق التماسك الجمعي.</w:t>
            </w:r>
          </w:p>
        </w:tc>
      </w:tr>
      <w:tr w:rsidR="00E744F3" w14:paraId="7ADBDF6D" w14:textId="77777777">
        <w:tblPrEx>
          <w:tblCellMar>
            <w:top w:w="0" w:type="dxa"/>
            <w:bottom w:w="0" w:type="dxa"/>
          </w:tblCellMar>
        </w:tblPrEx>
        <w:tc>
          <w:tcPr>
            <w:tcW w:w="3100" w:type="dxa"/>
            <w:shd w:val="clear" w:color="auto" w:fill="EAF2F1"/>
            <w:tcMar>
              <w:top w:w="90" w:type="dxa"/>
              <w:left w:w="120" w:type="dxa"/>
              <w:bottom w:w="90" w:type="dxa"/>
              <w:right w:w="120" w:type="dxa"/>
            </w:tcMar>
            <w:vAlign w:val="center"/>
          </w:tcPr>
          <w:p w14:paraId="54606CE4" w14:textId="77777777" w:rsidR="00E744F3" w:rsidRDefault="003D5C13" w:rsidP="00AA0252">
            <w:pPr>
              <w:rPr>
                <w:rFonts w:cs="Times New Roman"/>
              </w:rPr>
            </w:pPr>
            <w:r>
              <w:rPr>
                <w:b/>
                <w:bCs/>
                <w:color w:val="2E7D7B"/>
                <w:sz w:val="21"/>
                <w:szCs w:val="21"/>
              </w:rPr>
              <w:t xml:space="preserve">جورج </w:t>
            </w:r>
            <w:proofErr w:type="spellStart"/>
            <w:r>
              <w:rPr>
                <w:b/>
                <w:bCs/>
                <w:color w:val="2E7D7B"/>
                <w:sz w:val="21"/>
                <w:szCs w:val="21"/>
              </w:rPr>
              <w:t>هربرت</w:t>
            </w:r>
            <w:proofErr w:type="spellEnd"/>
            <w:r>
              <w:rPr>
                <w:b/>
                <w:bCs/>
                <w:color w:val="2E7D7B"/>
                <w:sz w:val="21"/>
                <w:szCs w:val="21"/>
              </w:rPr>
              <w:t xml:space="preserve"> ميد</w:t>
            </w:r>
          </w:p>
        </w:tc>
        <w:tc>
          <w:tcPr>
            <w:tcW w:w="6250" w:type="dxa"/>
            <w:shd w:val="clear" w:color="auto" w:fill="EAF2F1"/>
            <w:tcMar>
              <w:top w:w="90" w:type="dxa"/>
              <w:left w:w="120" w:type="dxa"/>
              <w:bottom w:w="90" w:type="dxa"/>
              <w:right w:w="120" w:type="dxa"/>
            </w:tcMar>
            <w:vAlign w:val="center"/>
          </w:tcPr>
          <w:p w14:paraId="123E4B4F" w14:textId="77777777" w:rsidR="00E744F3" w:rsidRDefault="003D5C13" w:rsidP="00AA0252">
            <w:pPr>
              <w:rPr>
                <w:rFonts w:cs="Times New Roman"/>
              </w:rPr>
            </w:pPr>
            <w:r>
              <w:rPr>
                <w:color w:val="1A1A1A"/>
                <w:sz w:val="21"/>
                <w:szCs w:val="21"/>
              </w:rPr>
              <w:t>نشأة الذات عبر آليات التفاعل الاجتماعي.</w:t>
            </w:r>
          </w:p>
        </w:tc>
      </w:tr>
    </w:tbl>
    <w:p w14:paraId="60174E9C" w14:textId="77777777" w:rsidR="00E744F3" w:rsidRDefault="003D5C13" w:rsidP="00AA0252">
      <w:pPr>
        <w:pStyle w:val="2"/>
        <w:bidi/>
        <w:spacing w:before="300" w:after="140"/>
        <w:rPr>
          <w:rFonts w:cs="Times New Roman"/>
        </w:rPr>
      </w:pPr>
      <w:r>
        <w:rPr>
          <w:b/>
          <w:bCs/>
          <w:color w:val="2E7D7B"/>
        </w:rPr>
        <w:t>2.3 القراءات الفلسفية والأدبية</w:t>
      </w:r>
    </w:p>
    <w:p w14:paraId="792F93CE" w14:textId="77777777" w:rsidR="00E744F3" w:rsidRDefault="003D5C13" w:rsidP="00AA0252">
      <w:pPr>
        <w:spacing w:after="180" w:line="340" w:lineRule="auto"/>
        <w:rPr>
          <w:rFonts w:cs="Times New Roman"/>
        </w:rPr>
      </w:pPr>
      <w:r>
        <w:rPr>
          <w:color w:val="1A1A1A"/>
        </w:rPr>
        <w:t xml:space="preserve">لم يكن غوفمان قارئاً </w:t>
      </w:r>
      <w:proofErr w:type="spellStart"/>
      <w:r>
        <w:rPr>
          <w:color w:val="1A1A1A"/>
        </w:rPr>
        <w:t>للسوسيولوجيا</w:t>
      </w:r>
      <w:proofErr w:type="spellEnd"/>
      <w:r>
        <w:rPr>
          <w:color w:val="1A1A1A"/>
        </w:rPr>
        <w:t xml:space="preserve"> وحدها، بل قارئاً نهماً يتنقل بين شكسبير </w:t>
      </w:r>
      <w:proofErr w:type="spellStart"/>
      <w:r>
        <w:rPr>
          <w:color w:val="1A1A1A"/>
        </w:rPr>
        <w:t>ودوستويفسكي</w:t>
      </w:r>
      <w:proofErr w:type="spellEnd"/>
      <w:r>
        <w:rPr>
          <w:color w:val="1A1A1A"/>
        </w:rPr>
        <w:t xml:space="preserve"> وسارتر وسيمل وبرغسون. فمن شكسبير استمدّ الاستعارة المسرحية التي ستغدو محور نظريته الدرامية، إذ حوّل مقولة «الكون مسرح كبير» الشكسبيرية إلى أداة تحليلية صارمة، ومن </w:t>
      </w:r>
      <w:proofErr w:type="spellStart"/>
      <w:r>
        <w:rPr>
          <w:color w:val="1A1A1A"/>
        </w:rPr>
        <w:t>دوستويفسكي</w:t>
      </w:r>
      <w:proofErr w:type="spellEnd"/>
      <w:r>
        <w:rPr>
          <w:color w:val="1A1A1A"/>
        </w:rPr>
        <w:t xml:space="preserve"> استلهم حسّ التعقيد النفسي والوعي الحاد بالتوتر بين الظاهر والباطن.</w:t>
      </w:r>
    </w:p>
    <w:p w14:paraId="31463D93" w14:textId="77777777" w:rsidR="00E744F3" w:rsidRDefault="003D5C13" w:rsidP="00AA0252">
      <w:pPr>
        <w:spacing w:after="180" w:line="340" w:lineRule="auto"/>
        <w:rPr>
          <w:rFonts w:cs="Times New Roman"/>
        </w:rPr>
      </w:pPr>
      <w:r>
        <w:rPr>
          <w:color w:val="1A1A1A"/>
        </w:rPr>
        <w:t>أما جورج سيمل، الفيلسوف-عالم الاجتماع الألماني صاحب «</w:t>
      </w:r>
      <w:proofErr w:type="spellStart"/>
      <w:r>
        <w:rPr>
          <w:color w:val="1A1A1A"/>
        </w:rPr>
        <w:t>سوسيولوجيا</w:t>
      </w:r>
      <w:proofErr w:type="spellEnd"/>
      <w:r>
        <w:rPr>
          <w:color w:val="1A1A1A"/>
        </w:rPr>
        <w:t xml:space="preserve"> التفاعل»، فكان الأقرب إلى روح غوفمان؛ إذ درس سيمل التفاعلات العابرة كالمشي في الشارع، واللقاء بين الغرباء، والرقص، والمشاركة في الطعام الجماعي، مؤكداً أن المجتمع يتشكل في هذه اللحظات الدقيقة لا في الدساتير والقوانين وحدها. ومن هذه الزاوية يمكن اعتبار غوفمان، في جانب مهم من مشروعه، وريثاً </w:t>
      </w:r>
      <w:proofErr w:type="spellStart"/>
      <w:r>
        <w:rPr>
          <w:color w:val="1A1A1A"/>
        </w:rPr>
        <w:t>لسيمل</w:t>
      </w:r>
      <w:proofErr w:type="spellEnd"/>
      <w:r>
        <w:rPr>
          <w:color w:val="1A1A1A"/>
        </w:rPr>
        <w:t xml:space="preserve"> في السياق الأمريكي.</w:t>
      </w:r>
    </w:p>
    <w:p w14:paraId="6EB4EDEA" w14:textId="77777777" w:rsidR="00E744F3" w:rsidRDefault="003D5C13" w:rsidP="00AA0252">
      <w:pPr>
        <w:pageBreakBefore/>
        <w:spacing w:after="60"/>
        <w:rPr>
          <w:rFonts w:cs="Times New Roman"/>
        </w:rPr>
      </w:pPr>
      <w:r>
        <w:rPr>
          <w:b/>
          <w:bCs/>
          <w:color w:val="B8912B"/>
          <w:sz w:val="22"/>
          <w:szCs w:val="22"/>
        </w:rPr>
        <w:t>الفصل الثالث</w:t>
      </w:r>
    </w:p>
    <w:p w14:paraId="2E182F15" w14:textId="77777777" w:rsidR="00E744F3" w:rsidRDefault="003D5C13" w:rsidP="00AA0252">
      <w:pPr>
        <w:pStyle w:val="1"/>
        <w:pBdr>
          <w:bottom w:val="single" w:sz="12" w:space="8" w:color="2E7D7B"/>
        </w:pBdr>
        <w:bidi/>
        <w:spacing w:after="320"/>
        <w:rPr>
          <w:rFonts w:cs="Times New Roman"/>
        </w:rPr>
      </w:pPr>
      <w:r>
        <w:rPr>
          <w:b/>
          <w:bCs/>
          <w:color w:val="1F3A5F"/>
          <w:sz w:val="34"/>
          <w:szCs w:val="34"/>
        </w:rPr>
        <w:t>التجارب الميدانية المؤسِّسة</w:t>
      </w:r>
    </w:p>
    <w:p w14:paraId="70D302E1" w14:textId="77777777" w:rsidR="00E744F3" w:rsidRDefault="003D5C13" w:rsidP="00AA0252">
      <w:pPr>
        <w:pStyle w:val="2"/>
        <w:bidi/>
        <w:spacing w:before="300" w:after="140"/>
        <w:rPr>
          <w:rFonts w:cs="Times New Roman"/>
        </w:rPr>
      </w:pPr>
      <w:r>
        <w:rPr>
          <w:b/>
          <w:bCs/>
          <w:color w:val="2E7D7B"/>
        </w:rPr>
        <w:t xml:space="preserve">3.1 جزر </w:t>
      </w:r>
      <w:proofErr w:type="spellStart"/>
      <w:r>
        <w:rPr>
          <w:b/>
          <w:bCs/>
          <w:color w:val="2E7D7B"/>
        </w:rPr>
        <w:t>شيتلاند</w:t>
      </w:r>
      <w:proofErr w:type="spellEnd"/>
      <w:r>
        <w:rPr>
          <w:b/>
          <w:bCs/>
          <w:color w:val="2E7D7B"/>
        </w:rPr>
        <w:t xml:space="preserve"> (1949–1951): مختبر المسرح الاجتماعي</w:t>
      </w:r>
    </w:p>
    <w:p w14:paraId="6A22722A" w14:textId="77777777" w:rsidR="00E744F3" w:rsidRDefault="003D5C13" w:rsidP="00AA0252">
      <w:pPr>
        <w:spacing w:after="180" w:line="340" w:lineRule="auto"/>
        <w:rPr>
          <w:rFonts w:cs="Times New Roman"/>
        </w:rPr>
      </w:pPr>
      <w:r>
        <w:rPr>
          <w:color w:val="1A1A1A"/>
        </w:rPr>
        <w:t xml:space="preserve">في عام 1949، وبتشجيع من </w:t>
      </w:r>
      <w:proofErr w:type="spellStart"/>
      <w:r>
        <w:rPr>
          <w:color w:val="1A1A1A"/>
        </w:rPr>
        <w:t>إيفرت</w:t>
      </w:r>
      <w:proofErr w:type="spellEnd"/>
      <w:r>
        <w:rPr>
          <w:color w:val="1A1A1A"/>
        </w:rPr>
        <w:t xml:space="preserve"> </w:t>
      </w:r>
      <w:proofErr w:type="spellStart"/>
      <w:r>
        <w:rPr>
          <w:color w:val="1A1A1A"/>
        </w:rPr>
        <w:t>هيوز</w:t>
      </w:r>
      <w:proofErr w:type="spellEnd"/>
      <w:r>
        <w:rPr>
          <w:color w:val="1A1A1A"/>
        </w:rPr>
        <w:t xml:space="preserve">، قرر غوفمان مغادرة شيكاغو إلى جزر </w:t>
      </w:r>
      <w:proofErr w:type="spellStart"/>
      <w:r>
        <w:rPr>
          <w:color w:val="1A1A1A"/>
        </w:rPr>
        <w:t>شيتلاند</w:t>
      </w:r>
      <w:proofErr w:type="spellEnd"/>
      <w:r>
        <w:rPr>
          <w:color w:val="1A1A1A"/>
        </w:rPr>
        <w:t xml:space="preserve"> في أقصى شمال اسكتلندا، وتحديداً إلى جزيرة أونست، الأصغر والأكثر عزلة في </w:t>
      </w:r>
      <w:proofErr w:type="spellStart"/>
      <w:r>
        <w:rPr>
          <w:color w:val="1A1A1A"/>
        </w:rPr>
        <w:t>الأرخبيل</w:t>
      </w:r>
      <w:proofErr w:type="spellEnd"/>
      <w:r>
        <w:rPr>
          <w:color w:val="1A1A1A"/>
        </w:rPr>
        <w:t>. تقطن هذه الجزيرة نحو ألفي نسمة يعملون بالزراعة وصيد الأسماك، في مجتمع متراصّ تحكمه علاقات وجاهة وإدارة دقيقة للصور الاجتماعية.</w:t>
      </w:r>
    </w:p>
    <w:p w14:paraId="46829BD6" w14:textId="77777777" w:rsidR="00E744F3" w:rsidRDefault="003D5C13" w:rsidP="00AA0252">
      <w:pPr>
        <w:spacing w:after="180" w:line="340" w:lineRule="auto"/>
        <w:rPr>
          <w:rFonts w:cs="Times New Roman"/>
        </w:rPr>
      </w:pPr>
      <w:r>
        <w:rPr>
          <w:color w:val="1A1A1A"/>
        </w:rPr>
        <w:t>لم يصل غوفمان بصفته الباحث الرسمي، بل متنكراً في هيئة مساعد لمسؤول زراعي، يشارك السكان حياتهم اليومية: يأكل معهم، ويرتاد حاناتهم، ويحضر مناسباتهم، مراقباً بعينٍ حادة كل تفصيل. واستغرقت هذه التجربة ثمانية عشر شهراً من الانغماس الكامل في نسيج مجتمع محلي صغير.</w:t>
      </w:r>
    </w:p>
    <w:p w14:paraId="1BA12DC5" w14:textId="77777777" w:rsidR="00E744F3" w:rsidRDefault="003D5C13" w:rsidP="00AA0252">
      <w:pPr>
        <w:spacing w:after="180" w:line="340" w:lineRule="auto"/>
        <w:rPr>
          <w:rFonts w:cs="Times New Roman"/>
        </w:rPr>
      </w:pPr>
      <w:r>
        <w:rPr>
          <w:color w:val="1A1A1A"/>
        </w:rPr>
        <w:t xml:space="preserve">شكّلت ملاحظاته في </w:t>
      </w:r>
      <w:proofErr w:type="spellStart"/>
      <w:r>
        <w:rPr>
          <w:color w:val="1A1A1A"/>
        </w:rPr>
        <w:t>شيتلاند</w:t>
      </w:r>
      <w:proofErr w:type="spellEnd"/>
      <w:r>
        <w:rPr>
          <w:color w:val="1A1A1A"/>
        </w:rPr>
        <w:t xml:space="preserve"> مادة معرفية بالغة الثراء؛ فقد لاحظ كيف يُغيّر الفلاحون سلوكهم بحسب السياق: في الحقل بين أقرانهم، وفي المقهى أمام الغرباء، وفي بيت وجيه القرية، وفي الكنيسة، وفي السوق. كما لاحظ آليات التضامن الجماعي في تقديم صورة موحّدة أمام القادمين من خارج الجماعة، مستنتجاً أن الأداء الاجتماعي ليس كذباً أو خداعاً، بل هو الصيغة الطبيعية التي يحيا بها البشر حياتهم الجماعية.</w:t>
      </w:r>
    </w:p>
    <w:p w14:paraId="1165ADEB" w14:textId="77777777" w:rsidR="00E744F3" w:rsidRDefault="003D5C13">
      <w:pPr>
        <w:pBdr>
          <w:right w:val="single" w:sz="18" w:space="12" w:color="2E7D7B"/>
        </w:pBdr>
        <w:shd w:val="clear" w:color="auto" w:fill="EAF2F1"/>
        <w:spacing w:before="200" w:after="40"/>
        <w:ind w:left="400" w:right="400"/>
        <w:jc w:val="both"/>
        <w:rPr>
          <w:rFonts w:cs="Times New Roman"/>
        </w:rPr>
      </w:pPr>
      <w:r>
        <w:rPr>
          <w:i/>
          <w:iCs/>
          <w:color w:val="1F3A5F"/>
          <w:sz w:val="23"/>
          <w:szCs w:val="23"/>
        </w:rPr>
        <w:t xml:space="preserve">«لم أكن أدرس الفلاحين في </w:t>
      </w:r>
      <w:proofErr w:type="spellStart"/>
      <w:r>
        <w:rPr>
          <w:i/>
          <w:iCs/>
          <w:color w:val="1F3A5F"/>
          <w:sz w:val="23"/>
          <w:szCs w:val="23"/>
        </w:rPr>
        <w:t>شيتلاند</w:t>
      </w:r>
      <w:proofErr w:type="spellEnd"/>
      <w:r>
        <w:rPr>
          <w:i/>
          <w:iCs/>
          <w:color w:val="1F3A5F"/>
          <w:sz w:val="23"/>
          <w:szCs w:val="23"/>
        </w:rPr>
        <w:t xml:space="preserve">، بل كنت أدرس كيف يقدّم البشر أنفسهم بعضهم لبعض، وكانت </w:t>
      </w:r>
      <w:proofErr w:type="spellStart"/>
      <w:r>
        <w:rPr>
          <w:i/>
          <w:iCs/>
          <w:color w:val="1F3A5F"/>
          <w:sz w:val="23"/>
          <w:szCs w:val="23"/>
        </w:rPr>
        <w:t>شيتلاند</w:t>
      </w:r>
      <w:proofErr w:type="spellEnd"/>
      <w:r>
        <w:rPr>
          <w:i/>
          <w:iCs/>
          <w:color w:val="1F3A5F"/>
          <w:sz w:val="23"/>
          <w:szCs w:val="23"/>
        </w:rPr>
        <w:t xml:space="preserve"> المسرح الأمثل لرؤية ذلك»</w:t>
      </w:r>
    </w:p>
    <w:p w14:paraId="04CDD190" w14:textId="77777777" w:rsidR="00E744F3" w:rsidRDefault="003D5C13">
      <w:pPr>
        <w:pBdr>
          <w:right w:val="single" w:sz="18" w:space="12" w:color="2E7D7B"/>
        </w:pBdr>
        <w:shd w:val="clear" w:color="auto" w:fill="EAF2F1"/>
        <w:spacing w:after="220"/>
        <w:ind w:left="400" w:right="400"/>
        <w:jc w:val="right"/>
        <w:rPr>
          <w:rFonts w:cs="Times New Roman"/>
        </w:rPr>
      </w:pPr>
      <w:r>
        <w:rPr>
          <w:b/>
          <w:bCs/>
          <w:color w:val="2E7D7B"/>
          <w:sz w:val="20"/>
          <w:szCs w:val="20"/>
        </w:rPr>
        <w:t xml:space="preserve">— </w:t>
      </w:r>
      <w:proofErr w:type="spellStart"/>
      <w:r>
        <w:rPr>
          <w:b/>
          <w:bCs/>
          <w:color w:val="2E7D7B"/>
          <w:sz w:val="20"/>
          <w:szCs w:val="20"/>
        </w:rPr>
        <w:t>إرفينغ</w:t>
      </w:r>
      <w:proofErr w:type="spellEnd"/>
      <w:r>
        <w:rPr>
          <w:b/>
          <w:bCs/>
          <w:color w:val="2E7D7B"/>
          <w:sz w:val="20"/>
          <w:szCs w:val="20"/>
        </w:rPr>
        <w:t xml:space="preserve"> غوفمان</w:t>
      </w:r>
    </w:p>
    <w:p w14:paraId="66ED35D6" w14:textId="77777777" w:rsidR="00E744F3" w:rsidRDefault="003D5C13" w:rsidP="00C07F9E">
      <w:pPr>
        <w:spacing w:after="180" w:line="340" w:lineRule="auto"/>
        <w:rPr>
          <w:rFonts w:cs="Times New Roman"/>
        </w:rPr>
      </w:pPr>
      <w:r>
        <w:rPr>
          <w:color w:val="1A1A1A"/>
        </w:rPr>
        <w:t xml:space="preserve">وقد شكّلت أطروحة الدكتوراه المنبثقة عن هذا العمل الميداني، </w:t>
      </w:r>
      <w:proofErr w:type="spellStart"/>
      <w:r>
        <w:rPr>
          <w:color w:val="1A1A1A"/>
        </w:rPr>
        <w:t>والمعنونة</w:t>
      </w:r>
      <w:proofErr w:type="spellEnd"/>
      <w:r>
        <w:rPr>
          <w:color w:val="1A1A1A"/>
        </w:rPr>
        <w:t xml:space="preserve"> «الاتصال والسلوك في مجتمع جزيرة»، المادة الخام التي بُني عليها لاحقاً كتابه الأشهر «تقديم الذات في الحياة اليومية» (1959).</w:t>
      </w:r>
    </w:p>
    <w:p w14:paraId="3537393F" w14:textId="77777777" w:rsidR="00E744F3" w:rsidRDefault="003D5C13" w:rsidP="00C07F9E">
      <w:pPr>
        <w:pStyle w:val="2"/>
        <w:bidi/>
        <w:spacing w:before="300" w:after="140"/>
        <w:rPr>
          <w:rFonts w:cs="Times New Roman"/>
        </w:rPr>
      </w:pPr>
      <w:r>
        <w:rPr>
          <w:b/>
          <w:bCs/>
          <w:color w:val="2E7D7B"/>
        </w:rPr>
        <w:t>3.2 مستشفى سانت إليزابيث (1954–1957): تشريح المؤسسة الشاملة</w:t>
      </w:r>
    </w:p>
    <w:p w14:paraId="229BEBF2" w14:textId="77777777" w:rsidR="00E744F3" w:rsidRDefault="003D5C13" w:rsidP="00C07F9E">
      <w:pPr>
        <w:spacing w:after="180" w:line="340" w:lineRule="auto"/>
        <w:rPr>
          <w:rFonts w:cs="Times New Roman"/>
        </w:rPr>
      </w:pPr>
      <w:r>
        <w:rPr>
          <w:color w:val="1A1A1A"/>
        </w:rPr>
        <w:t>بعد نيله الدكتوراه، حصل غوفمان على زمالة ما بعد الدكتوراه من المعهد الوطني للصحة العقلية في واشنطن، فاختار استثمارها بطريقة غير معتادة، إذ عمل في مستشفى سانت إليزابيث للأمراض العقلية — وهو مستشفى ضخم يضم قرابة سبعة آلاف مريض — بصفة مساعد للمسؤول الترفيهي، وهي صفة أتاحت له حرية التنقل والاحتكاك المباشر بالمرضى والعاملين على حد سواء.</w:t>
      </w:r>
    </w:p>
    <w:p w14:paraId="52B77662" w14:textId="77777777" w:rsidR="00E744F3" w:rsidRDefault="003D5C13" w:rsidP="00C07F9E">
      <w:pPr>
        <w:spacing w:after="180" w:line="340" w:lineRule="auto"/>
        <w:rPr>
          <w:rFonts w:cs="Times New Roman"/>
        </w:rPr>
      </w:pPr>
      <w:r>
        <w:rPr>
          <w:color w:val="1A1A1A"/>
        </w:rPr>
        <w:t xml:space="preserve">وخلال ثلاث سنوات في هذا المستشفى، أدرك غوفمان أنه ليس بصدد مؤسسة طبية فحسب، بل بصدد مجتمع كامل بقيمه </w:t>
      </w:r>
      <w:proofErr w:type="spellStart"/>
      <w:r>
        <w:rPr>
          <w:color w:val="1A1A1A"/>
        </w:rPr>
        <w:t>وتراتبياته</w:t>
      </w:r>
      <w:proofErr w:type="spellEnd"/>
      <w:r>
        <w:rPr>
          <w:color w:val="1A1A1A"/>
        </w:rPr>
        <w:t xml:space="preserve"> وطقوسه وانقساماته وآليات بقائه. لاحظ كيف يطوّر النزلاء استراتيجيات للحفاظ على كرامتهم وهويتهم في مواجهة مؤسسة تعمل بمنهجية على تفكيك هذه الهوية، وكيف يؤدي العاملون أدواراً اجتماعية معقدة تتجاوز وصفهم الوظيفي الرسمي.</w:t>
      </w:r>
    </w:p>
    <w:p w14:paraId="634574C7" w14:textId="77777777" w:rsidR="00E744F3" w:rsidRDefault="003D5C13" w:rsidP="00C07F9E">
      <w:pPr>
        <w:spacing w:after="180" w:line="340" w:lineRule="auto"/>
        <w:rPr>
          <w:rFonts w:cs="Times New Roman"/>
        </w:rPr>
      </w:pPr>
      <w:r>
        <w:rPr>
          <w:color w:val="1A1A1A"/>
        </w:rPr>
        <w:t>وقد أثارت العلاقة بين المريض والمؤسسة اهتمام غوفمان وقلقه في آن واحد: فالمؤسسة تسلب الهوية بمنهجية مدروسة، تبدأ من لحظة الدخول بنزع الملابس الشخصية وأخذ البصمات وفرض الزي الموحد، وتستمر في تنظيم كل ساعة من حياة الفرد؛ وهو ما أطلق عليه لاحقاً مصطلح «إجراءات تفكيك الذات» (</w:t>
      </w:r>
      <w:proofErr w:type="spellStart"/>
      <w:r>
        <w:rPr>
          <w:color w:val="1A1A1A"/>
        </w:rPr>
        <w:t>Mortification</w:t>
      </w:r>
      <w:proofErr w:type="spellEnd"/>
      <w:r>
        <w:rPr>
          <w:color w:val="1A1A1A"/>
        </w:rPr>
        <w:t xml:space="preserve"> </w:t>
      </w:r>
      <w:proofErr w:type="spellStart"/>
      <w:r>
        <w:rPr>
          <w:color w:val="1A1A1A"/>
        </w:rPr>
        <w:t>of</w:t>
      </w:r>
      <w:proofErr w:type="spellEnd"/>
      <w:r>
        <w:rPr>
          <w:color w:val="1A1A1A"/>
        </w:rPr>
        <w:t xml:space="preserve"> </w:t>
      </w:r>
      <w:proofErr w:type="spellStart"/>
      <w:r>
        <w:rPr>
          <w:color w:val="1A1A1A"/>
        </w:rPr>
        <w:t>the</w:t>
      </w:r>
      <w:proofErr w:type="spellEnd"/>
      <w:r>
        <w:rPr>
          <w:color w:val="1A1A1A"/>
        </w:rPr>
        <w:t xml:space="preserve"> </w:t>
      </w:r>
      <w:proofErr w:type="spellStart"/>
      <w:r>
        <w:rPr>
          <w:color w:val="1A1A1A"/>
        </w:rPr>
        <w:t>Self</w:t>
      </w:r>
      <w:proofErr w:type="spellEnd"/>
      <w:r>
        <w:rPr>
          <w:color w:val="1A1A1A"/>
        </w:rPr>
        <w:t>).</w:t>
      </w:r>
    </w:p>
    <w:tbl>
      <w:tblPr>
        <w:tblW w:w="9350" w:type="dxa"/>
        <w:tblInd w:w="1" w:type="dxa"/>
        <w:tblBorders>
          <w:top w:val="single" w:sz="6" w:space="0" w:color="B8912B"/>
          <w:left w:val="single" w:sz="6" w:space="0" w:color="B8912B"/>
          <w:bottom w:val="single" w:sz="6" w:space="0" w:color="B8912B"/>
          <w:right w:val="single" w:sz="6" w:space="0" w:color="B8912B"/>
        </w:tblBorders>
        <w:tblCellMar>
          <w:left w:w="10" w:type="dxa"/>
          <w:right w:w="10" w:type="dxa"/>
        </w:tblCellMar>
        <w:tblLook w:val="0000" w:firstRow="0" w:lastRow="0" w:firstColumn="0" w:lastColumn="0" w:noHBand="0" w:noVBand="0"/>
      </w:tblPr>
      <w:tblGrid>
        <w:gridCol w:w="9350"/>
      </w:tblGrid>
      <w:tr w:rsidR="00E744F3" w14:paraId="72977C3A" w14:textId="77777777">
        <w:tblPrEx>
          <w:tblCellMar>
            <w:top w:w="0" w:type="dxa"/>
            <w:bottom w:w="0" w:type="dxa"/>
          </w:tblCellMar>
        </w:tblPrEx>
        <w:tc>
          <w:tcPr>
            <w:tcW w:w="9350" w:type="dxa"/>
            <w:shd w:val="clear" w:color="auto" w:fill="FBF3E1"/>
            <w:tcMar>
              <w:top w:w="160" w:type="dxa"/>
              <w:left w:w="220" w:type="dxa"/>
              <w:bottom w:w="160" w:type="dxa"/>
              <w:right w:w="220" w:type="dxa"/>
            </w:tcMar>
          </w:tcPr>
          <w:p w14:paraId="7A9DD4B3" w14:textId="77777777" w:rsidR="00E744F3" w:rsidRDefault="003D5C13" w:rsidP="00C07F9E">
            <w:pPr>
              <w:spacing w:after="100"/>
              <w:rPr>
                <w:rFonts w:cs="Times New Roman"/>
              </w:rPr>
            </w:pPr>
            <w:r>
              <w:rPr>
                <w:b/>
                <w:bCs/>
                <w:color w:val="1F3A5F"/>
              </w:rPr>
              <w:t>إجراءات تفكيك الذات في المؤسسات الشاملة</w:t>
            </w:r>
          </w:p>
          <w:p w14:paraId="13F5D223" w14:textId="77777777" w:rsidR="00E744F3" w:rsidRDefault="003D5C13" w:rsidP="00C07F9E">
            <w:pPr>
              <w:pStyle w:val="a4"/>
              <w:numPr>
                <w:ilvl w:val="0"/>
                <w:numId w:val="2"/>
              </w:numPr>
              <w:bidi/>
              <w:spacing w:after="90" w:line="320" w:lineRule="auto"/>
              <w:rPr>
                <w:rFonts w:cs="Times New Roman"/>
              </w:rPr>
            </w:pPr>
            <w:r>
              <w:rPr>
                <w:color w:val="1A1A1A"/>
                <w:sz w:val="22"/>
                <w:szCs w:val="22"/>
              </w:rPr>
              <w:t>التجريد من الممتلكات الشخصية والزي المميز.</w:t>
            </w:r>
          </w:p>
          <w:p w14:paraId="588B4CF9" w14:textId="77777777" w:rsidR="00E744F3" w:rsidRDefault="003D5C13" w:rsidP="00C07F9E">
            <w:pPr>
              <w:pStyle w:val="a4"/>
              <w:numPr>
                <w:ilvl w:val="0"/>
                <w:numId w:val="2"/>
              </w:numPr>
              <w:bidi/>
              <w:spacing w:after="90" w:line="320" w:lineRule="auto"/>
              <w:rPr>
                <w:rFonts w:cs="Times New Roman"/>
              </w:rPr>
            </w:pPr>
            <w:r>
              <w:rPr>
                <w:color w:val="1A1A1A"/>
                <w:sz w:val="22"/>
                <w:szCs w:val="22"/>
              </w:rPr>
              <w:t>فرض اسم أو صفة مؤسسية بديلة عن الهوية الأصلية.</w:t>
            </w:r>
          </w:p>
          <w:p w14:paraId="7314D880" w14:textId="77777777" w:rsidR="00E744F3" w:rsidRDefault="003D5C13" w:rsidP="00C07F9E">
            <w:pPr>
              <w:pStyle w:val="a4"/>
              <w:numPr>
                <w:ilvl w:val="0"/>
                <w:numId w:val="2"/>
              </w:numPr>
              <w:bidi/>
              <w:spacing w:after="90" w:line="320" w:lineRule="auto"/>
              <w:rPr>
                <w:rFonts w:cs="Times New Roman"/>
              </w:rPr>
            </w:pPr>
            <w:r>
              <w:rPr>
                <w:color w:val="1A1A1A"/>
                <w:sz w:val="22"/>
                <w:szCs w:val="22"/>
              </w:rPr>
              <w:t>المراقبة المستمرة لكل نشاط، وإلغاء الخصوصية.</w:t>
            </w:r>
          </w:p>
          <w:p w14:paraId="01C2A3DC" w14:textId="77777777" w:rsidR="00E744F3" w:rsidRDefault="003D5C13" w:rsidP="00C07F9E">
            <w:pPr>
              <w:pStyle w:val="a4"/>
              <w:numPr>
                <w:ilvl w:val="0"/>
                <w:numId w:val="2"/>
              </w:numPr>
              <w:bidi/>
              <w:spacing w:after="90" w:line="320" w:lineRule="auto"/>
              <w:rPr>
                <w:rFonts w:cs="Times New Roman"/>
              </w:rPr>
            </w:pPr>
            <w:r>
              <w:rPr>
                <w:color w:val="1A1A1A"/>
                <w:sz w:val="22"/>
                <w:szCs w:val="22"/>
              </w:rPr>
              <w:t xml:space="preserve">الخضوع للأوامر دون نقاش، وتكرار الطقوس </w:t>
            </w:r>
            <w:proofErr w:type="spellStart"/>
            <w:r>
              <w:rPr>
                <w:color w:val="1A1A1A"/>
                <w:sz w:val="22"/>
                <w:szCs w:val="22"/>
              </w:rPr>
              <w:t>الإذلالية</w:t>
            </w:r>
            <w:proofErr w:type="spellEnd"/>
            <w:r>
              <w:rPr>
                <w:color w:val="1A1A1A"/>
                <w:sz w:val="22"/>
                <w:szCs w:val="22"/>
              </w:rPr>
              <w:t>.</w:t>
            </w:r>
          </w:p>
          <w:p w14:paraId="2314DE0E" w14:textId="77777777" w:rsidR="00E744F3" w:rsidRDefault="003D5C13" w:rsidP="00C07F9E">
            <w:pPr>
              <w:pStyle w:val="a4"/>
              <w:numPr>
                <w:ilvl w:val="0"/>
                <w:numId w:val="2"/>
              </w:numPr>
              <w:bidi/>
              <w:spacing w:after="90" w:line="320" w:lineRule="auto"/>
              <w:rPr>
                <w:rFonts w:cs="Times New Roman"/>
              </w:rPr>
            </w:pPr>
            <w:r>
              <w:rPr>
                <w:color w:val="1A1A1A"/>
                <w:sz w:val="22"/>
                <w:szCs w:val="22"/>
              </w:rPr>
              <w:t>إعادة صياغة تاريخ الفرد الشخصي وفق سردية المؤسسة.</w:t>
            </w:r>
          </w:p>
        </w:tc>
      </w:tr>
    </w:tbl>
    <w:p w14:paraId="3885B64E" w14:textId="77777777" w:rsidR="00E744F3" w:rsidRDefault="003D5C13" w:rsidP="00C07F9E">
      <w:pPr>
        <w:spacing w:after="180" w:line="340" w:lineRule="auto"/>
        <w:rPr>
          <w:rFonts w:cs="Times New Roman"/>
        </w:rPr>
      </w:pPr>
      <w:r>
        <w:rPr>
          <w:color w:val="1A1A1A"/>
        </w:rPr>
        <w:t xml:space="preserve">غير أن غوفمان لم يكتفِ بتوثيق آليات السيطرة المؤسسية، بل اهتم بالجانب المقابل من المعادلة: كيف يقاوم النزلاء؟ وكيف يحافظون على مساحات من ذواتهم رغم الضغوط </w:t>
      </w:r>
      <w:proofErr w:type="spellStart"/>
      <w:r>
        <w:rPr>
          <w:color w:val="1A1A1A"/>
        </w:rPr>
        <w:t>الممنهجة</w:t>
      </w:r>
      <w:proofErr w:type="spellEnd"/>
      <w:r>
        <w:rPr>
          <w:color w:val="1A1A1A"/>
        </w:rPr>
        <w:t>؟ ويُعدّ تحليله لاستراتيجيات البقاء النفسي عند المحرومين من حريتهم من أعمق ما كتب، وأكثره إنسانية.</w:t>
      </w:r>
    </w:p>
    <w:p w14:paraId="7CAFA420" w14:textId="77777777" w:rsidR="00E744F3" w:rsidRDefault="003D5C13" w:rsidP="00C07F9E">
      <w:pPr>
        <w:pageBreakBefore/>
        <w:spacing w:after="60"/>
        <w:rPr>
          <w:rFonts w:cs="Times New Roman"/>
        </w:rPr>
      </w:pPr>
      <w:r>
        <w:rPr>
          <w:b/>
          <w:bCs/>
          <w:color w:val="B8912B"/>
          <w:sz w:val="22"/>
          <w:szCs w:val="22"/>
        </w:rPr>
        <w:t>الفصل الرابع</w:t>
      </w:r>
    </w:p>
    <w:p w14:paraId="79385F00" w14:textId="77777777" w:rsidR="00E744F3" w:rsidRDefault="003D5C13" w:rsidP="00C07F9E">
      <w:pPr>
        <w:pStyle w:val="1"/>
        <w:pBdr>
          <w:bottom w:val="single" w:sz="12" w:space="8" w:color="2E7D7B"/>
        </w:pBdr>
        <w:bidi/>
        <w:spacing w:after="320"/>
        <w:rPr>
          <w:rFonts w:cs="Times New Roman"/>
        </w:rPr>
      </w:pPr>
      <w:r>
        <w:rPr>
          <w:b/>
          <w:bCs/>
          <w:color w:val="1F3A5F"/>
          <w:sz w:val="34"/>
          <w:szCs w:val="34"/>
        </w:rPr>
        <w:t>المسيرة المهنية والإنتاج الفكري</w:t>
      </w:r>
    </w:p>
    <w:p w14:paraId="02A17B1D" w14:textId="77777777" w:rsidR="00E744F3" w:rsidRDefault="003D5C13" w:rsidP="00C07F9E">
      <w:pPr>
        <w:pStyle w:val="2"/>
        <w:bidi/>
        <w:spacing w:before="300" w:after="140"/>
        <w:rPr>
          <w:rFonts w:cs="Times New Roman"/>
        </w:rPr>
      </w:pPr>
      <w:r>
        <w:rPr>
          <w:b/>
          <w:bCs/>
          <w:color w:val="2E7D7B"/>
        </w:rPr>
        <w:t>4.1 بيركلي (1958–1968): ذروة العطاء الفكري</w:t>
      </w:r>
    </w:p>
    <w:p w14:paraId="07FCC19C" w14:textId="77777777" w:rsidR="00E744F3" w:rsidRDefault="003D5C13" w:rsidP="00C07F9E">
      <w:pPr>
        <w:spacing w:after="180" w:line="340" w:lineRule="auto"/>
        <w:rPr>
          <w:rFonts w:cs="Times New Roman"/>
        </w:rPr>
      </w:pPr>
      <w:r>
        <w:rPr>
          <w:color w:val="1A1A1A"/>
        </w:rPr>
        <w:t xml:space="preserve">حين انتقل غوفمان إلى جامعة كاليفورنيا في بيركلي عام 1958، كان يحمل معه مادة بحثية ثرية من </w:t>
      </w:r>
      <w:proofErr w:type="spellStart"/>
      <w:r>
        <w:rPr>
          <w:color w:val="1A1A1A"/>
        </w:rPr>
        <w:t>شيتلاند</w:t>
      </w:r>
      <w:proofErr w:type="spellEnd"/>
      <w:r>
        <w:rPr>
          <w:color w:val="1A1A1A"/>
        </w:rPr>
        <w:t xml:space="preserve"> وسانت إليزابيث، ووجد نفسه في واحدة من أكثر البيئات الفكرية إثارة في أمريكا آنذاك؛ فبيركلي في الستينيات لم تكن جامعة عادية، بل مركزاً للحراك الثقافي، حيث تشابكت وتصادمت حركة الحقوق المدنية وحركة حرية الكلام وجيل الثقافة المضادة.</w:t>
      </w:r>
    </w:p>
    <w:p w14:paraId="069C2863" w14:textId="77777777" w:rsidR="00E744F3" w:rsidRDefault="003D5C13" w:rsidP="00C07F9E">
      <w:pPr>
        <w:spacing w:after="180" w:line="340" w:lineRule="auto"/>
        <w:rPr>
          <w:rFonts w:cs="Times New Roman"/>
        </w:rPr>
      </w:pPr>
      <w:r>
        <w:rPr>
          <w:color w:val="1A1A1A"/>
        </w:rPr>
        <w:t>وفي هذا المناخ المشبع بالتشكيك في المؤسسات والأعراف الاجتماعية، وجد غوفمان أرضية خصبة لنشر أفكاره، فأصدر خلال عشر سنوات سلسلة من الأعمال التي أحدثت أثراً بالغاً في العلوم الاجتماعية.</w:t>
      </w:r>
    </w:p>
    <w:tbl>
      <w:tblPr>
        <w:tblW w:w="9350" w:type="dxa"/>
        <w:tblInd w:w="1" w:type="dxa"/>
        <w:tblBorders>
          <w:top w:val="single" w:sz="6" w:space="0" w:color="B8912B"/>
          <w:left w:val="single" w:sz="6" w:space="0" w:color="B8912B"/>
          <w:bottom w:val="single" w:sz="6" w:space="0" w:color="B8912B"/>
          <w:right w:val="single" w:sz="6" w:space="0" w:color="B8912B"/>
        </w:tblBorders>
        <w:tblCellMar>
          <w:left w:w="10" w:type="dxa"/>
          <w:right w:w="10" w:type="dxa"/>
        </w:tblCellMar>
        <w:tblLook w:val="0000" w:firstRow="0" w:lastRow="0" w:firstColumn="0" w:lastColumn="0" w:noHBand="0" w:noVBand="0"/>
      </w:tblPr>
      <w:tblGrid>
        <w:gridCol w:w="9350"/>
      </w:tblGrid>
      <w:tr w:rsidR="00E744F3" w14:paraId="1E14D9D8" w14:textId="77777777">
        <w:tblPrEx>
          <w:tblCellMar>
            <w:top w:w="0" w:type="dxa"/>
            <w:bottom w:w="0" w:type="dxa"/>
          </w:tblCellMar>
        </w:tblPrEx>
        <w:tc>
          <w:tcPr>
            <w:tcW w:w="9350" w:type="dxa"/>
            <w:shd w:val="clear" w:color="auto" w:fill="FBF3E1"/>
            <w:tcMar>
              <w:top w:w="160" w:type="dxa"/>
              <w:left w:w="220" w:type="dxa"/>
              <w:bottom w:w="160" w:type="dxa"/>
              <w:right w:w="220" w:type="dxa"/>
            </w:tcMar>
          </w:tcPr>
          <w:p w14:paraId="2FC6169A" w14:textId="77777777" w:rsidR="00E744F3" w:rsidRDefault="003D5C13" w:rsidP="00C07F9E">
            <w:pPr>
              <w:spacing w:after="100"/>
              <w:rPr>
                <w:rFonts w:cs="Times New Roman"/>
              </w:rPr>
            </w:pPr>
            <w:r>
              <w:rPr>
                <w:b/>
                <w:bCs/>
                <w:color w:val="1F3A5F"/>
              </w:rPr>
              <w:t>أبرز مؤلفاته في مرحلة بيركلي</w:t>
            </w:r>
          </w:p>
          <w:p w14:paraId="5D5DE8D0" w14:textId="77777777" w:rsidR="00E744F3" w:rsidRDefault="003D5C13" w:rsidP="00C07F9E">
            <w:pPr>
              <w:pStyle w:val="a4"/>
              <w:numPr>
                <w:ilvl w:val="0"/>
                <w:numId w:val="2"/>
              </w:numPr>
              <w:bidi/>
              <w:spacing w:after="90" w:line="320" w:lineRule="auto"/>
              <w:rPr>
                <w:rFonts w:cs="Times New Roman"/>
              </w:rPr>
            </w:pPr>
            <w:r>
              <w:rPr>
                <w:color w:val="1A1A1A"/>
                <w:sz w:val="22"/>
                <w:szCs w:val="22"/>
              </w:rPr>
              <w:t>تقديم الذات في الحياة اليومية (1959): أشهر أعماله وأكثرها تداولاً، ويُؤسس لنظرية المسرح الاجتماعي.</w:t>
            </w:r>
          </w:p>
          <w:p w14:paraId="76B968D2" w14:textId="77777777" w:rsidR="00E744F3" w:rsidRDefault="003D5C13" w:rsidP="00C07F9E">
            <w:pPr>
              <w:pStyle w:val="a4"/>
              <w:numPr>
                <w:ilvl w:val="0"/>
                <w:numId w:val="2"/>
              </w:numPr>
              <w:bidi/>
              <w:spacing w:after="90" w:line="320" w:lineRule="auto"/>
              <w:rPr>
                <w:rFonts w:cs="Times New Roman"/>
              </w:rPr>
            </w:pPr>
            <w:r>
              <w:rPr>
                <w:color w:val="1A1A1A"/>
                <w:sz w:val="22"/>
                <w:szCs w:val="22"/>
              </w:rPr>
              <w:t>المؤسسات الشاملة (1961): تحليل السجون والمصحات والثكنات بوصفها أنظمة لتفكيك الهوية.</w:t>
            </w:r>
          </w:p>
          <w:p w14:paraId="41F74AC2" w14:textId="77777777" w:rsidR="00E744F3" w:rsidRDefault="003D5C13" w:rsidP="00C07F9E">
            <w:pPr>
              <w:pStyle w:val="a4"/>
              <w:numPr>
                <w:ilvl w:val="0"/>
                <w:numId w:val="2"/>
              </w:numPr>
              <w:bidi/>
              <w:spacing w:after="90" w:line="320" w:lineRule="auto"/>
              <w:rPr>
                <w:rFonts w:cs="Times New Roman"/>
              </w:rPr>
            </w:pPr>
            <w:r>
              <w:rPr>
                <w:color w:val="1A1A1A"/>
                <w:sz w:val="22"/>
                <w:szCs w:val="22"/>
              </w:rPr>
              <w:t>الوصمة (1963): دراسة كيفية إدارة هوية «المختلف» داخل المجتمع.</w:t>
            </w:r>
          </w:p>
          <w:p w14:paraId="46FBC1BA" w14:textId="77777777" w:rsidR="00E744F3" w:rsidRDefault="003D5C13" w:rsidP="00C07F9E">
            <w:pPr>
              <w:pStyle w:val="a4"/>
              <w:numPr>
                <w:ilvl w:val="0"/>
                <w:numId w:val="2"/>
              </w:numPr>
              <w:bidi/>
              <w:spacing w:after="90" w:line="320" w:lineRule="auto"/>
              <w:rPr>
                <w:rFonts w:cs="Times New Roman"/>
              </w:rPr>
            </w:pPr>
            <w:r>
              <w:rPr>
                <w:color w:val="1A1A1A"/>
                <w:sz w:val="22"/>
                <w:szCs w:val="22"/>
              </w:rPr>
              <w:t>السلوك في الأماكن العامة (1963): القواعد غير المكتوبة للتفاعل في الفضاء العام.</w:t>
            </w:r>
          </w:p>
          <w:p w14:paraId="4343E0D3" w14:textId="77777777" w:rsidR="00E744F3" w:rsidRDefault="003D5C13" w:rsidP="00C07F9E">
            <w:pPr>
              <w:pStyle w:val="a4"/>
              <w:numPr>
                <w:ilvl w:val="0"/>
                <w:numId w:val="2"/>
              </w:numPr>
              <w:bidi/>
              <w:spacing w:after="90" w:line="320" w:lineRule="auto"/>
              <w:rPr>
                <w:rFonts w:cs="Times New Roman"/>
              </w:rPr>
            </w:pPr>
            <w:r>
              <w:rPr>
                <w:color w:val="1A1A1A"/>
                <w:sz w:val="22"/>
                <w:szCs w:val="22"/>
              </w:rPr>
              <w:t>الترتيبات التفاعلية (1967): طقوس التفاعل اليومي ووظائفها الاجتماعية.</w:t>
            </w:r>
          </w:p>
        </w:tc>
      </w:tr>
    </w:tbl>
    <w:p w14:paraId="20F5E91F" w14:textId="77777777" w:rsidR="00E744F3" w:rsidRDefault="003D5C13" w:rsidP="00C07F9E">
      <w:pPr>
        <w:spacing w:after="180" w:line="340" w:lineRule="auto"/>
        <w:rPr>
          <w:rFonts w:cs="Times New Roman"/>
        </w:rPr>
      </w:pPr>
      <w:r>
        <w:rPr>
          <w:color w:val="1A1A1A"/>
        </w:rPr>
        <w:t>وكانت محاضراته في بيركلي حدثاً بحد ذاته؛ فقد عُرف غوفمان بأسلوب حاد ومفاجئ ولاذع النقد، يستشهد بمشاهد من الحياة اليومية يُظهرها فجأة غريبة وكاشفة، وامتلأت قاعاته بطلاب يتحدثون عن أستاذهم بمزيج من الذهول والإعجاب.</w:t>
      </w:r>
    </w:p>
    <w:p w14:paraId="14FCFFD7" w14:textId="77777777" w:rsidR="00E744F3" w:rsidRDefault="003D5C13" w:rsidP="00C07F9E">
      <w:pPr>
        <w:pStyle w:val="2"/>
        <w:bidi/>
        <w:spacing w:before="300" w:after="140"/>
        <w:rPr>
          <w:rFonts w:cs="Times New Roman"/>
        </w:rPr>
      </w:pPr>
      <w:r>
        <w:rPr>
          <w:b/>
          <w:bCs/>
          <w:color w:val="2E7D7B"/>
        </w:rPr>
        <w:t>4.2 بنسلفانيا (1968–1982): النضج والتعمق</w:t>
      </w:r>
    </w:p>
    <w:p w14:paraId="48EF89B6" w14:textId="77777777" w:rsidR="00E744F3" w:rsidRDefault="003D5C13" w:rsidP="00C07F9E">
      <w:pPr>
        <w:spacing w:after="180" w:line="340" w:lineRule="auto"/>
        <w:rPr>
          <w:rFonts w:cs="Times New Roman"/>
        </w:rPr>
      </w:pPr>
      <w:r>
        <w:rPr>
          <w:color w:val="1A1A1A"/>
        </w:rPr>
        <w:t>انتقل غوفمان عام 1968 إلى جامعة بنسلفانيا ليتولى كرسي بنجامين فرانكلين المرموق في علم الاجتماع والأنثروبولوجيا، وهو في أوج شهرته، حاملاً رغبة حقيقية في تعميق مشروعه الفكري نحو تحليل أكثر دقة للغة والخطاب والمحادثة.</w:t>
      </w:r>
    </w:p>
    <w:p w14:paraId="2882E435" w14:textId="77777777" w:rsidR="00E744F3" w:rsidRDefault="003D5C13" w:rsidP="00C07F9E">
      <w:pPr>
        <w:spacing w:after="180" w:line="340" w:lineRule="auto"/>
        <w:rPr>
          <w:rFonts w:cs="Times New Roman"/>
        </w:rPr>
      </w:pPr>
      <w:r>
        <w:rPr>
          <w:color w:val="1A1A1A"/>
        </w:rPr>
        <w:t xml:space="preserve">ونشر في هذه المرحلة كتاب «تحليل الإطار» (1974)، الذي طوّر فيه مفهوم «الإطار المرجعي» لفهم كيفية تأويل الناس لما يرونه ويسمعونه، إضافة إلى «المحادثات» و«أشكال الكلام» (1981)، اللذين دخل من خلالهما عالم تحليل الخطاب واللغويات الاجتماعية. وقد تعاون في هذه الفترة مع زوجته الثانية جيليان </w:t>
      </w:r>
      <w:proofErr w:type="spellStart"/>
      <w:r>
        <w:rPr>
          <w:color w:val="1A1A1A"/>
        </w:rPr>
        <w:t>سانكوف</w:t>
      </w:r>
      <w:proofErr w:type="spellEnd"/>
      <w:r>
        <w:rPr>
          <w:color w:val="1A1A1A"/>
        </w:rPr>
        <w:t>، عالمة اللغويات الاجتماعية المرموقة، وهو تعاون أثرى مشروعه الفكري وأضاف إليه بعداً لغوياً جديداً.</w:t>
      </w:r>
    </w:p>
    <w:p w14:paraId="40799DF8" w14:textId="77777777" w:rsidR="00E744F3" w:rsidRDefault="003D5C13" w:rsidP="00C07F9E">
      <w:pPr>
        <w:spacing w:after="180" w:line="340" w:lineRule="auto"/>
        <w:rPr>
          <w:rFonts w:cs="Times New Roman"/>
        </w:rPr>
      </w:pPr>
      <w:r>
        <w:rPr>
          <w:color w:val="1A1A1A"/>
        </w:rPr>
        <w:t xml:space="preserve">وفي نوفمبر 1982، وقبل أن يُلقي خطابه بصفته رئيساً للجمعية الأمريكية لعلم الاجتماع بفترة وجيزة، توفي </w:t>
      </w:r>
      <w:proofErr w:type="spellStart"/>
      <w:r>
        <w:rPr>
          <w:color w:val="1A1A1A"/>
        </w:rPr>
        <w:t>إرفينغ</w:t>
      </w:r>
      <w:proofErr w:type="spellEnd"/>
      <w:r>
        <w:rPr>
          <w:color w:val="1A1A1A"/>
        </w:rPr>
        <w:t xml:space="preserve"> غوفمان إثر إصابته بسرطان المعدة، عن عمر ناهز الستين عاماً. ونُشر خطابه الرئاسي، المعنون «نظام التفاعل»، بعد وفاته في مجلة الدراسات الاجتماعية، وعُدّ تتويجاً لمشروعه الفكري بأكمله.</w:t>
      </w:r>
    </w:p>
    <w:p w14:paraId="14AE0F55" w14:textId="77777777" w:rsidR="00E744F3" w:rsidRDefault="003D5C13" w:rsidP="00C07F9E">
      <w:pPr>
        <w:pageBreakBefore/>
        <w:spacing w:after="60"/>
        <w:rPr>
          <w:rFonts w:cs="Times New Roman"/>
        </w:rPr>
      </w:pPr>
      <w:r>
        <w:rPr>
          <w:b/>
          <w:bCs/>
          <w:color w:val="B8912B"/>
          <w:sz w:val="22"/>
          <w:szCs w:val="22"/>
        </w:rPr>
        <w:t>الفصل الخامس</w:t>
      </w:r>
    </w:p>
    <w:p w14:paraId="748EFA5B" w14:textId="77777777" w:rsidR="00E744F3" w:rsidRDefault="003D5C13" w:rsidP="00C07F9E">
      <w:pPr>
        <w:pStyle w:val="1"/>
        <w:pBdr>
          <w:bottom w:val="single" w:sz="12" w:space="8" w:color="2E7D7B"/>
        </w:pBdr>
        <w:bidi/>
        <w:spacing w:after="320"/>
        <w:rPr>
          <w:rFonts w:cs="Times New Roman"/>
        </w:rPr>
      </w:pPr>
      <w:r>
        <w:rPr>
          <w:b/>
          <w:bCs/>
          <w:color w:val="1F3A5F"/>
          <w:sz w:val="34"/>
          <w:szCs w:val="34"/>
        </w:rPr>
        <w:t>المنظور الدرامي: الحياة بوصفها مسرحاً</w:t>
      </w:r>
    </w:p>
    <w:p w14:paraId="2C276407" w14:textId="77777777" w:rsidR="00E744F3" w:rsidRDefault="003D5C13" w:rsidP="00C07F9E">
      <w:pPr>
        <w:pStyle w:val="2"/>
        <w:bidi/>
        <w:spacing w:before="300" w:after="140"/>
        <w:rPr>
          <w:rFonts w:cs="Times New Roman"/>
        </w:rPr>
      </w:pPr>
      <w:r>
        <w:rPr>
          <w:b/>
          <w:bCs/>
          <w:color w:val="2E7D7B"/>
        </w:rPr>
        <w:t>5.1 الاستعارة المسرحية: أكثر من مجرد تشبيه بلاغي</w:t>
      </w:r>
    </w:p>
    <w:p w14:paraId="7E353AD4" w14:textId="77777777" w:rsidR="00E744F3" w:rsidRDefault="003D5C13" w:rsidP="00C07F9E">
      <w:pPr>
        <w:spacing w:after="180" w:line="340" w:lineRule="auto"/>
        <w:rPr>
          <w:rFonts w:cs="Times New Roman"/>
        </w:rPr>
      </w:pPr>
      <w:r>
        <w:rPr>
          <w:color w:val="1A1A1A"/>
        </w:rPr>
        <w:t>تُعدّ النظرة الدرامية للحياة الاجتماعية أبرز ما عُرف به غوفمان، غير أن كثيراً من القراء يقفون عند السطح دون إدراك عمقها ودقتها المنهجية؛ إذ لا تمثل مقولة «الحياة مسرح» في أعماله مجرد استعارة بلاغية أو طرحاً فلسفياً عاماً، بل أداة تحليلية صارمة تُفكّك الظاهرة الاجتماعية إلى مكوناتها الجوهرية.</w:t>
      </w:r>
    </w:p>
    <w:p w14:paraId="5B1ED27F" w14:textId="77777777" w:rsidR="00E744F3" w:rsidRDefault="003D5C13" w:rsidP="00C07F9E">
      <w:pPr>
        <w:spacing w:after="180" w:line="340" w:lineRule="auto"/>
        <w:rPr>
          <w:rFonts w:cs="Times New Roman"/>
        </w:rPr>
      </w:pPr>
      <w:r>
        <w:rPr>
          <w:color w:val="1A1A1A"/>
        </w:rPr>
        <w:t xml:space="preserve">وقد استمدّ غوفمان هذه الاستعارة من ملاحظاته في </w:t>
      </w:r>
      <w:proofErr w:type="spellStart"/>
      <w:r>
        <w:rPr>
          <w:color w:val="1A1A1A"/>
        </w:rPr>
        <w:t>شيتلاند</w:t>
      </w:r>
      <w:proofErr w:type="spellEnd"/>
      <w:r>
        <w:rPr>
          <w:color w:val="1A1A1A"/>
        </w:rPr>
        <w:t>، حيث لاحظ أن أفراد المجتمع الصغير يتصرفون بطرق مختلفة جوهرياً بحسب من يراقبهم ومن لا يراهم؛ وهو اختلاف لم يقتصر على درجة الرسمية، بل امتد إلى عمق الشخصية المُقدَّمة ذاتها. ومن هنا قرأ غوفمان مقولة شكسبير «الكون مسرح كبير، وكل النساء والرجال مجرد ممثلين لأدوار» بعين السوسيولوجي، مضيفاً أن هذا ليس قدراً محزناً، بل هو طريقة اشتغال الحياة الاجتماعية ذاتها.</w:t>
      </w:r>
    </w:p>
    <w:p w14:paraId="487E392A" w14:textId="77777777" w:rsidR="00E744F3" w:rsidRDefault="003D5C13" w:rsidP="00C07F9E">
      <w:pPr>
        <w:pStyle w:val="2"/>
        <w:bidi/>
        <w:spacing w:before="300" w:after="140"/>
        <w:rPr>
          <w:rFonts w:cs="Times New Roman"/>
        </w:rPr>
      </w:pPr>
      <w:r>
        <w:rPr>
          <w:b/>
          <w:bCs/>
          <w:color w:val="2E7D7B"/>
        </w:rPr>
        <w:t>5.2 المكونات الأساسية للنظرية الدرامية</w:t>
      </w:r>
    </w:p>
    <w:p w14:paraId="2D63D0BB" w14:textId="77777777" w:rsidR="00E744F3" w:rsidRDefault="003D5C13" w:rsidP="00C07F9E">
      <w:pPr>
        <w:spacing w:after="100" w:line="340" w:lineRule="auto"/>
        <w:rPr>
          <w:rFonts w:cs="Times New Roman"/>
        </w:rPr>
      </w:pPr>
      <w:r>
        <w:rPr>
          <w:b/>
          <w:bCs/>
          <w:color w:val="1F3A5F"/>
          <w:sz w:val="23"/>
          <w:szCs w:val="23"/>
        </w:rPr>
        <w:t>الواجهة والكواليس</w:t>
      </w:r>
    </w:p>
    <w:p w14:paraId="694B72EB" w14:textId="77777777" w:rsidR="00E744F3" w:rsidRDefault="003D5C13" w:rsidP="00C07F9E">
      <w:pPr>
        <w:spacing w:after="180" w:line="340" w:lineRule="auto"/>
        <w:rPr>
          <w:rFonts w:cs="Times New Roman"/>
        </w:rPr>
      </w:pPr>
      <w:r>
        <w:rPr>
          <w:color w:val="1A1A1A"/>
        </w:rPr>
        <w:t>يقوم التمييز المحوري في النظرية الدرامية على الفصل بين «الواجهة» (</w:t>
      </w:r>
      <w:proofErr w:type="spellStart"/>
      <w:r>
        <w:rPr>
          <w:color w:val="1A1A1A"/>
        </w:rPr>
        <w:t>Front</w:t>
      </w:r>
      <w:proofErr w:type="spellEnd"/>
      <w:r>
        <w:rPr>
          <w:color w:val="1A1A1A"/>
        </w:rPr>
        <w:t xml:space="preserve"> </w:t>
      </w:r>
      <w:proofErr w:type="spellStart"/>
      <w:r>
        <w:rPr>
          <w:color w:val="1A1A1A"/>
        </w:rPr>
        <w:t>Stage</w:t>
      </w:r>
      <w:proofErr w:type="spellEnd"/>
      <w:r>
        <w:rPr>
          <w:color w:val="1A1A1A"/>
        </w:rPr>
        <w:t>) و«الكواليس» (</w:t>
      </w:r>
      <w:proofErr w:type="spellStart"/>
      <w:r>
        <w:rPr>
          <w:color w:val="1A1A1A"/>
        </w:rPr>
        <w:t>Back</w:t>
      </w:r>
      <w:proofErr w:type="spellEnd"/>
      <w:r>
        <w:rPr>
          <w:color w:val="1A1A1A"/>
        </w:rPr>
        <w:t xml:space="preserve"> </w:t>
      </w:r>
      <w:proofErr w:type="spellStart"/>
      <w:r>
        <w:rPr>
          <w:color w:val="1A1A1A"/>
        </w:rPr>
        <w:t>Stage</w:t>
      </w:r>
      <w:proofErr w:type="spellEnd"/>
      <w:r>
        <w:rPr>
          <w:color w:val="1A1A1A"/>
        </w:rPr>
        <w:t>). فالواجهة هي كل موقف يعلم فيه الفرد أنه يُشاهَد ويُقيَّم، حيث يُبذل جهد واعٍ لتقديم الصورة المرغوبة عبر الملابس والتعبيرات والكلمات والإيماءات. أما الكواليس فهي المساحة الخاصة التي يستريح فيها الفرد من الأداء، ويمكنه فيها أن يتخلى عن «زي» دوره ويتفاعل مع زملائه بعيداً عن الجمهور استعداداً للأداء التالي. ولا تعني الكواليس عند غوفمان «الحقيقة» الأصيلة المجردة من كل سياق اجتماعي — إذ لا وجود لمثل هذه الحقيقة في نظريته — بل تشير إلى مساحة أداء مختلفة، تحكمها قواعد مغايرة لق</w:t>
      </w:r>
      <w:r>
        <w:rPr>
          <w:color w:val="1A1A1A"/>
        </w:rPr>
        <w:t>واعد الواجهة.</w:t>
      </w:r>
    </w:p>
    <w:p w14:paraId="0E848B2C" w14:textId="77777777" w:rsidR="00E744F3" w:rsidRDefault="003D5C13" w:rsidP="00C07F9E">
      <w:pPr>
        <w:pBdr>
          <w:right w:val="single" w:sz="18" w:space="12" w:color="2E7D7B"/>
        </w:pBdr>
        <w:shd w:val="clear" w:color="auto" w:fill="EAF2F1"/>
        <w:spacing w:before="200" w:after="40"/>
        <w:ind w:left="400" w:right="400"/>
        <w:rPr>
          <w:rFonts w:cs="Times New Roman"/>
        </w:rPr>
      </w:pPr>
      <w:r>
        <w:rPr>
          <w:i/>
          <w:iCs/>
          <w:color w:val="1F3A5F"/>
          <w:sz w:val="23"/>
          <w:szCs w:val="23"/>
        </w:rPr>
        <w:t>«الجميع يؤدي أدواراً في كل مكان، طوال الوقت؛ فالسؤال ليس: هل نؤدي؟ بل: ماذا نؤدي، ولماذا، ولمن؟»</w:t>
      </w:r>
    </w:p>
    <w:p w14:paraId="0DDBDCBF" w14:textId="77777777" w:rsidR="00E744F3" w:rsidRDefault="003D5C13" w:rsidP="00C07F9E">
      <w:pPr>
        <w:pBdr>
          <w:right w:val="single" w:sz="18" w:space="12" w:color="2E7D7B"/>
        </w:pBdr>
        <w:shd w:val="clear" w:color="auto" w:fill="EAF2F1"/>
        <w:spacing w:after="220"/>
        <w:ind w:left="400" w:right="400"/>
        <w:rPr>
          <w:rFonts w:cs="Times New Roman"/>
        </w:rPr>
      </w:pPr>
      <w:r>
        <w:rPr>
          <w:b/>
          <w:bCs/>
          <w:color w:val="2E7D7B"/>
          <w:sz w:val="20"/>
          <w:szCs w:val="20"/>
        </w:rPr>
        <w:t xml:space="preserve">— </w:t>
      </w:r>
      <w:proofErr w:type="spellStart"/>
      <w:r>
        <w:rPr>
          <w:b/>
          <w:bCs/>
          <w:color w:val="2E7D7B"/>
          <w:sz w:val="20"/>
          <w:szCs w:val="20"/>
        </w:rPr>
        <w:t>إرفينغ</w:t>
      </w:r>
      <w:proofErr w:type="spellEnd"/>
      <w:r>
        <w:rPr>
          <w:b/>
          <w:bCs/>
          <w:color w:val="2E7D7B"/>
          <w:sz w:val="20"/>
          <w:szCs w:val="20"/>
        </w:rPr>
        <w:t xml:space="preserve"> غوفمان</w:t>
      </w:r>
    </w:p>
    <w:p w14:paraId="46B042FC" w14:textId="77777777" w:rsidR="00E744F3" w:rsidRDefault="003D5C13" w:rsidP="00C07F9E">
      <w:pPr>
        <w:spacing w:after="100" w:line="340" w:lineRule="auto"/>
        <w:rPr>
          <w:rFonts w:cs="Times New Roman"/>
        </w:rPr>
      </w:pPr>
      <w:r>
        <w:rPr>
          <w:b/>
          <w:bCs/>
          <w:color w:val="1F3A5F"/>
          <w:sz w:val="23"/>
          <w:szCs w:val="23"/>
        </w:rPr>
        <w:t>إدارة الانطباع</w:t>
      </w:r>
    </w:p>
    <w:p w14:paraId="73068ED7" w14:textId="77777777" w:rsidR="00E744F3" w:rsidRDefault="003D5C13" w:rsidP="00C07F9E">
      <w:pPr>
        <w:spacing w:after="180" w:line="340" w:lineRule="auto"/>
        <w:rPr>
          <w:rFonts w:cs="Times New Roman"/>
        </w:rPr>
      </w:pPr>
      <w:r>
        <w:rPr>
          <w:color w:val="1A1A1A"/>
        </w:rPr>
        <w:t>يُعدّ مفهوم «إدارة الانطباع» (</w:t>
      </w:r>
      <w:proofErr w:type="spellStart"/>
      <w:r>
        <w:rPr>
          <w:color w:val="1A1A1A"/>
        </w:rPr>
        <w:t>Impression</w:t>
      </w:r>
      <w:proofErr w:type="spellEnd"/>
      <w:r>
        <w:rPr>
          <w:color w:val="1A1A1A"/>
        </w:rPr>
        <w:t xml:space="preserve"> </w:t>
      </w:r>
      <w:proofErr w:type="spellStart"/>
      <w:r>
        <w:rPr>
          <w:color w:val="1A1A1A"/>
        </w:rPr>
        <w:t>Management</w:t>
      </w:r>
      <w:proofErr w:type="spellEnd"/>
      <w:r>
        <w:rPr>
          <w:color w:val="1A1A1A"/>
        </w:rPr>
        <w:t xml:space="preserve">) أكثر مفاهيم غوفمان إثارة للجدل الفلسفي. ولا تعني الإدارة هنا بالضرورة الكذب الواعي أو التلاعب المتعمد، بل تشمل كل جهد — واعياً كان أم غير واعٍ — يبذله الفرد لضبط الصورة التي يقدّمها عن نفسه. ويستعرض غوفمان أمثلة عديدة توضح تعميم هذا السلوك: النادل الذي يحمل الطبق بطريقة مغايرة داخل المطبخ وخارجه، والمرشح الانتخابي الذي يُبدّل أسلوب خطابه بحسب جمهوره، والطالب الذي يختار موضع جلوسه بعناية، والجراح الذي يتقمص هيبة مهنته في غرفة العمليات. وجميع هؤلاء يديرون انطباعهم، لا بالضرورة عن خداع، </w:t>
      </w:r>
      <w:r>
        <w:rPr>
          <w:color w:val="1A1A1A"/>
        </w:rPr>
        <w:t>بل لأن الحياة الاجتماعية تستدعي ذلك بنيوياً.</w:t>
      </w:r>
    </w:p>
    <w:p w14:paraId="5DA2D161" w14:textId="77777777" w:rsidR="00E744F3" w:rsidRDefault="003D5C13" w:rsidP="00C07F9E">
      <w:pPr>
        <w:spacing w:after="100" w:line="340" w:lineRule="auto"/>
        <w:rPr>
          <w:rFonts w:cs="Times New Roman"/>
        </w:rPr>
      </w:pPr>
      <w:r>
        <w:rPr>
          <w:b/>
          <w:bCs/>
          <w:color w:val="1F3A5F"/>
          <w:sz w:val="23"/>
          <w:szCs w:val="23"/>
        </w:rPr>
        <w:t>فريق الأداء</w:t>
      </w:r>
    </w:p>
    <w:p w14:paraId="4A475912" w14:textId="77777777" w:rsidR="00E744F3" w:rsidRDefault="003D5C13" w:rsidP="00C07F9E">
      <w:pPr>
        <w:spacing w:after="180" w:line="340" w:lineRule="auto"/>
        <w:rPr>
          <w:rFonts w:cs="Times New Roman"/>
        </w:rPr>
      </w:pPr>
      <w:r>
        <w:rPr>
          <w:color w:val="1A1A1A"/>
        </w:rPr>
        <w:t>يوسّع غوفمان استعارته المسرحية ليبيّن أن الأداء في كثير من مواقف الحياة ليس فردياً بل جماعياً؛ إذ يمثّل «فريق الأداء» (</w:t>
      </w:r>
      <w:proofErr w:type="spellStart"/>
      <w:r>
        <w:rPr>
          <w:color w:val="1A1A1A"/>
        </w:rPr>
        <w:t>Performance</w:t>
      </w:r>
      <w:proofErr w:type="spellEnd"/>
      <w:r>
        <w:rPr>
          <w:color w:val="1A1A1A"/>
        </w:rPr>
        <w:t xml:space="preserve"> </w:t>
      </w:r>
      <w:proofErr w:type="spellStart"/>
      <w:r>
        <w:rPr>
          <w:color w:val="1A1A1A"/>
        </w:rPr>
        <w:t>Team</w:t>
      </w:r>
      <w:proofErr w:type="spellEnd"/>
      <w:r>
        <w:rPr>
          <w:color w:val="1A1A1A"/>
        </w:rPr>
        <w:t xml:space="preserve">) مجموعة من الأفراد يتعاونون لتقديم صورة متناسقة أمام جمهور مشترك، كالعائلة التي تستقبل ضيوفاً، أو فريق العمل في اجتماع مهم، أو الطاقم الطبي أمام المريض. ويُضمر الفريق في </w:t>
      </w:r>
      <w:proofErr w:type="spellStart"/>
      <w:r>
        <w:rPr>
          <w:color w:val="1A1A1A"/>
        </w:rPr>
        <w:t>كواليسه</w:t>
      </w:r>
      <w:proofErr w:type="spellEnd"/>
      <w:r>
        <w:rPr>
          <w:color w:val="1A1A1A"/>
        </w:rPr>
        <w:t xml:space="preserve"> ما لا يُظهره أمام الجمهور من خلافات وارتباك واستعدادات، مقابل التناغم الظاهر في العلن.</w:t>
      </w:r>
    </w:p>
    <w:tbl>
      <w:tblPr>
        <w:tblW w:w="9350" w:type="dxa"/>
        <w:tblInd w:w="1" w:type="dxa"/>
        <w:tblBorders>
          <w:top w:val="single" w:sz="6" w:space="0" w:color="B8912B"/>
          <w:left w:val="single" w:sz="6" w:space="0" w:color="B8912B"/>
          <w:bottom w:val="single" w:sz="6" w:space="0" w:color="B8912B"/>
          <w:right w:val="single" w:sz="6" w:space="0" w:color="B8912B"/>
        </w:tblBorders>
        <w:tblCellMar>
          <w:left w:w="10" w:type="dxa"/>
          <w:right w:w="10" w:type="dxa"/>
        </w:tblCellMar>
        <w:tblLook w:val="0000" w:firstRow="0" w:lastRow="0" w:firstColumn="0" w:lastColumn="0" w:noHBand="0" w:noVBand="0"/>
      </w:tblPr>
      <w:tblGrid>
        <w:gridCol w:w="9350"/>
      </w:tblGrid>
      <w:tr w:rsidR="00E744F3" w14:paraId="0593B8F5" w14:textId="77777777">
        <w:tblPrEx>
          <w:tblCellMar>
            <w:top w:w="0" w:type="dxa"/>
            <w:bottom w:w="0" w:type="dxa"/>
          </w:tblCellMar>
        </w:tblPrEx>
        <w:tc>
          <w:tcPr>
            <w:tcW w:w="9350" w:type="dxa"/>
            <w:shd w:val="clear" w:color="auto" w:fill="FBF3E1"/>
            <w:tcMar>
              <w:top w:w="160" w:type="dxa"/>
              <w:left w:w="220" w:type="dxa"/>
              <w:bottom w:w="160" w:type="dxa"/>
              <w:right w:w="220" w:type="dxa"/>
            </w:tcMar>
          </w:tcPr>
          <w:p w14:paraId="2E30D16B" w14:textId="77777777" w:rsidR="00E744F3" w:rsidRDefault="003D5C13" w:rsidP="00C07F9E">
            <w:pPr>
              <w:spacing w:after="100"/>
              <w:rPr>
                <w:rFonts w:cs="Times New Roman"/>
              </w:rPr>
            </w:pPr>
            <w:r>
              <w:rPr>
                <w:b/>
                <w:bCs/>
                <w:color w:val="1F3A5F"/>
              </w:rPr>
              <w:t>المكونات الأساسية للمنظور الدرامي</w:t>
            </w:r>
          </w:p>
          <w:p w14:paraId="21DED375" w14:textId="77777777" w:rsidR="00E744F3" w:rsidRDefault="003D5C13" w:rsidP="00C07F9E">
            <w:pPr>
              <w:pStyle w:val="a4"/>
              <w:numPr>
                <w:ilvl w:val="0"/>
                <w:numId w:val="2"/>
              </w:numPr>
              <w:bidi/>
              <w:spacing w:after="90" w:line="320" w:lineRule="auto"/>
              <w:rPr>
                <w:rFonts w:cs="Times New Roman"/>
              </w:rPr>
            </w:pPr>
            <w:r>
              <w:rPr>
                <w:color w:val="1A1A1A"/>
                <w:sz w:val="22"/>
                <w:szCs w:val="22"/>
              </w:rPr>
              <w:t>الممثل (</w:t>
            </w:r>
            <w:proofErr w:type="spellStart"/>
            <w:r>
              <w:rPr>
                <w:color w:val="1A1A1A"/>
                <w:sz w:val="22"/>
                <w:szCs w:val="22"/>
              </w:rPr>
              <w:t>Actor</w:t>
            </w:r>
            <w:proofErr w:type="spellEnd"/>
            <w:r>
              <w:rPr>
                <w:color w:val="1A1A1A"/>
                <w:sz w:val="22"/>
                <w:szCs w:val="22"/>
              </w:rPr>
              <w:t>): كل فرد منخرط في موقف تفاعلي.</w:t>
            </w:r>
          </w:p>
          <w:p w14:paraId="7C630452" w14:textId="77777777" w:rsidR="00E744F3" w:rsidRDefault="003D5C13" w:rsidP="00C07F9E">
            <w:pPr>
              <w:pStyle w:val="a4"/>
              <w:numPr>
                <w:ilvl w:val="0"/>
                <w:numId w:val="2"/>
              </w:numPr>
              <w:bidi/>
              <w:spacing w:after="90" w:line="320" w:lineRule="auto"/>
              <w:rPr>
                <w:rFonts w:cs="Times New Roman"/>
              </w:rPr>
            </w:pPr>
            <w:r>
              <w:rPr>
                <w:color w:val="1A1A1A"/>
                <w:sz w:val="22"/>
                <w:szCs w:val="22"/>
              </w:rPr>
              <w:t>الواجهة (</w:t>
            </w:r>
            <w:proofErr w:type="spellStart"/>
            <w:r>
              <w:rPr>
                <w:color w:val="1A1A1A"/>
                <w:sz w:val="22"/>
                <w:szCs w:val="22"/>
              </w:rPr>
              <w:t>Front</w:t>
            </w:r>
            <w:proofErr w:type="spellEnd"/>
            <w:r>
              <w:rPr>
                <w:color w:val="1A1A1A"/>
                <w:sz w:val="22"/>
                <w:szCs w:val="22"/>
              </w:rPr>
              <w:t xml:space="preserve"> </w:t>
            </w:r>
            <w:proofErr w:type="spellStart"/>
            <w:r>
              <w:rPr>
                <w:color w:val="1A1A1A"/>
                <w:sz w:val="22"/>
                <w:szCs w:val="22"/>
              </w:rPr>
              <w:t>Stage</w:t>
            </w:r>
            <w:proofErr w:type="spellEnd"/>
            <w:r>
              <w:rPr>
                <w:color w:val="1A1A1A"/>
                <w:sz w:val="22"/>
                <w:szCs w:val="22"/>
              </w:rPr>
              <w:t>): الفضاء العام حيث يجري الأداء.</w:t>
            </w:r>
          </w:p>
          <w:p w14:paraId="7DA9AF4D" w14:textId="77777777" w:rsidR="00E744F3" w:rsidRDefault="003D5C13" w:rsidP="00C07F9E">
            <w:pPr>
              <w:pStyle w:val="a4"/>
              <w:numPr>
                <w:ilvl w:val="0"/>
                <w:numId w:val="2"/>
              </w:numPr>
              <w:bidi/>
              <w:spacing w:after="90" w:line="320" w:lineRule="auto"/>
              <w:rPr>
                <w:rFonts w:cs="Times New Roman"/>
              </w:rPr>
            </w:pPr>
            <w:r>
              <w:rPr>
                <w:color w:val="1A1A1A"/>
                <w:sz w:val="22"/>
                <w:szCs w:val="22"/>
              </w:rPr>
              <w:t>الكواليس (</w:t>
            </w:r>
            <w:proofErr w:type="spellStart"/>
            <w:r>
              <w:rPr>
                <w:color w:val="1A1A1A"/>
                <w:sz w:val="22"/>
                <w:szCs w:val="22"/>
              </w:rPr>
              <w:t>Back</w:t>
            </w:r>
            <w:proofErr w:type="spellEnd"/>
            <w:r>
              <w:rPr>
                <w:color w:val="1A1A1A"/>
                <w:sz w:val="22"/>
                <w:szCs w:val="22"/>
              </w:rPr>
              <w:t xml:space="preserve"> </w:t>
            </w:r>
            <w:proofErr w:type="spellStart"/>
            <w:r>
              <w:rPr>
                <w:color w:val="1A1A1A"/>
                <w:sz w:val="22"/>
                <w:szCs w:val="22"/>
              </w:rPr>
              <w:t>Stage</w:t>
            </w:r>
            <w:proofErr w:type="spellEnd"/>
            <w:r>
              <w:rPr>
                <w:color w:val="1A1A1A"/>
                <w:sz w:val="22"/>
                <w:szCs w:val="22"/>
              </w:rPr>
              <w:t>): الفضاء الخاص حيث يرتاح الفرد من دوره.</w:t>
            </w:r>
          </w:p>
          <w:p w14:paraId="71B7245E" w14:textId="77777777" w:rsidR="00E744F3" w:rsidRDefault="003D5C13" w:rsidP="00C07F9E">
            <w:pPr>
              <w:pStyle w:val="a4"/>
              <w:numPr>
                <w:ilvl w:val="0"/>
                <w:numId w:val="2"/>
              </w:numPr>
              <w:bidi/>
              <w:spacing w:after="90" w:line="320" w:lineRule="auto"/>
              <w:rPr>
                <w:rFonts w:cs="Times New Roman"/>
              </w:rPr>
            </w:pPr>
            <w:r>
              <w:rPr>
                <w:color w:val="1A1A1A"/>
                <w:sz w:val="22"/>
                <w:szCs w:val="22"/>
              </w:rPr>
              <w:t>الدعائم (</w:t>
            </w:r>
            <w:proofErr w:type="spellStart"/>
            <w:r>
              <w:rPr>
                <w:color w:val="1A1A1A"/>
                <w:sz w:val="22"/>
                <w:szCs w:val="22"/>
              </w:rPr>
              <w:t>Props</w:t>
            </w:r>
            <w:proofErr w:type="spellEnd"/>
            <w:r>
              <w:rPr>
                <w:color w:val="1A1A1A"/>
                <w:sz w:val="22"/>
                <w:szCs w:val="22"/>
              </w:rPr>
              <w:t>): الملابس والأدوات والمكان المادي التي تُعزز الأداء.</w:t>
            </w:r>
          </w:p>
          <w:p w14:paraId="19FB0CAF" w14:textId="77777777" w:rsidR="00E744F3" w:rsidRDefault="003D5C13" w:rsidP="00C07F9E">
            <w:pPr>
              <w:pStyle w:val="a4"/>
              <w:numPr>
                <w:ilvl w:val="0"/>
                <w:numId w:val="2"/>
              </w:numPr>
              <w:bidi/>
              <w:spacing w:after="90" w:line="320" w:lineRule="auto"/>
              <w:rPr>
                <w:rFonts w:cs="Times New Roman"/>
              </w:rPr>
            </w:pPr>
            <w:r>
              <w:rPr>
                <w:color w:val="1A1A1A"/>
                <w:sz w:val="22"/>
                <w:szCs w:val="22"/>
              </w:rPr>
              <w:t>الجمهور (</w:t>
            </w:r>
            <w:proofErr w:type="spellStart"/>
            <w:r>
              <w:rPr>
                <w:color w:val="1A1A1A"/>
                <w:sz w:val="22"/>
                <w:szCs w:val="22"/>
              </w:rPr>
              <w:t>Audience</w:t>
            </w:r>
            <w:proofErr w:type="spellEnd"/>
            <w:r>
              <w:rPr>
                <w:color w:val="1A1A1A"/>
                <w:sz w:val="22"/>
                <w:szCs w:val="22"/>
              </w:rPr>
              <w:t>): الآخرون الذين يشاهدون ويقيّمون الأداء.</w:t>
            </w:r>
          </w:p>
          <w:p w14:paraId="4F2243A8" w14:textId="77777777" w:rsidR="00E744F3" w:rsidRDefault="003D5C13" w:rsidP="00C07F9E">
            <w:pPr>
              <w:pStyle w:val="a4"/>
              <w:numPr>
                <w:ilvl w:val="0"/>
                <w:numId w:val="2"/>
              </w:numPr>
              <w:bidi/>
              <w:spacing w:after="90" w:line="320" w:lineRule="auto"/>
              <w:rPr>
                <w:rFonts w:cs="Times New Roman"/>
              </w:rPr>
            </w:pPr>
            <w:r>
              <w:rPr>
                <w:color w:val="1A1A1A"/>
                <w:sz w:val="22"/>
                <w:szCs w:val="22"/>
              </w:rPr>
              <w:t>إدارة الانطباع: الجهد المبذول لضبط صورة الذات المُقدَّمة.</w:t>
            </w:r>
          </w:p>
          <w:p w14:paraId="708A52B4" w14:textId="77777777" w:rsidR="00E744F3" w:rsidRDefault="003D5C13" w:rsidP="00C07F9E">
            <w:pPr>
              <w:pStyle w:val="a4"/>
              <w:numPr>
                <w:ilvl w:val="0"/>
                <w:numId w:val="2"/>
              </w:numPr>
              <w:bidi/>
              <w:spacing w:after="90" w:line="320" w:lineRule="auto"/>
              <w:rPr>
                <w:rFonts w:cs="Times New Roman"/>
              </w:rPr>
            </w:pPr>
            <w:r>
              <w:rPr>
                <w:color w:val="1A1A1A"/>
                <w:sz w:val="22"/>
                <w:szCs w:val="22"/>
              </w:rPr>
              <w:t>فريق الأداء: الجماعة التي تتعاون على تقديم أداء مشترك متناسق.</w:t>
            </w:r>
          </w:p>
        </w:tc>
      </w:tr>
    </w:tbl>
    <w:p w14:paraId="0F2B4255" w14:textId="77777777" w:rsidR="00E744F3" w:rsidRDefault="003D5C13" w:rsidP="00C07F9E">
      <w:pPr>
        <w:pStyle w:val="2"/>
        <w:bidi/>
        <w:spacing w:before="300" w:after="140"/>
        <w:rPr>
          <w:rFonts w:cs="Times New Roman"/>
        </w:rPr>
      </w:pPr>
      <w:r>
        <w:rPr>
          <w:b/>
          <w:bCs/>
          <w:color w:val="2E7D7B"/>
        </w:rPr>
        <w:t>5.3 حدود الاستعارة المسرحية</w:t>
      </w:r>
    </w:p>
    <w:p w14:paraId="099C7A9E" w14:textId="77777777" w:rsidR="00E744F3" w:rsidRDefault="003D5C13" w:rsidP="00C07F9E">
      <w:pPr>
        <w:spacing w:after="180" w:line="340" w:lineRule="auto"/>
        <w:rPr>
          <w:rFonts w:cs="Times New Roman"/>
        </w:rPr>
      </w:pPr>
      <w:r>
        <w:rPr>
          <w:color w:val="1A1A1A"/>
        </w:rPr>
        <w:t>لم يكن غوفمان غافلاً عن حدود استعارته؛ فقد كان يدرك أن الإنسان ليس ممثلاً خالصاً، وأن ثمة لحظات يُفاجأ فيها الفرد بموقف لم يستعد له، فيتصدع الأداء ويبرز تحته ارتباك حقيقي. وهذه «الكوارث التمثيلية» — كما يسميها — ظواهر اجتماعية تستحق التحليل بذاتها: كيف يتعامل الفرد مع الإحراج؟ وكيف يُعيد ترميم صورته بعد أن تنكسر؟</w:t>
      </w:r>
    </w:p>
    <w:p w14:paraId="5318BAAA" w14:textId="77777777" w:rsidR="00E744F3" w:rsidRDefault="003D5C13" w:rsidP="00C07F9E">
      <w:pPr>
        <w:spacing w:after="180" w:line="340" w:lineRule="auto"/>
        <w:rPr>
          <w:rFonts w:cs="Times New Roman"/>
        </w:rPr>
      </w:pPr>
      <w:r>
        <w:rPr>
          <w:color w:val="1A1A1A"/>
        </w:rPr>
        <w:t>كما أدرك غوفمان أن الأداء الاجتماعي لا يعني بالضرورة غياب الصدق أو الأصالة؛ فيمكن للفرد أن «يؤدي» دوره بعمق إيماني حقيقي، كأن يكون طبيباً متفانياً وهو في الوقت نفسه يُدير صورة «الطبيب المتفاني». وبهذا فإن الأداء والصدق ليسا نقيضين في نظرية غوفمان، بل وجهان متكاملان للفعل الاجتماعي.</w:t>
      </w:r>
    </w:p>
    <w:p w14:paraId="76BDFF98" w14:textId="77777777" w:rsidR="00E744F3" w:rsidRDefault="003D5C13" w:rsidP="00C07F9E">
      <w:pPr>
        <w:pageBreakBefore/>
        <w:spacing w:after="60"/>
        <w:rPr>
          <w:rFonts w:cs="Times New Roman"/>
        </w:rPr>
      </w:pPr>
      <w:r>
        <w:rPr>
          <w:b/>
          <w:bCs/>
          <w:color w:val="B8912B"/>
          <w:sz w:val="22"/>
          <w:szCs w:val="22"/>
        </w:rPr>
        <w:t>الفصل السادس</w:t>
      </w:r>
    </w:p>
    <w:p w14:paraId="72036360" w14:textId="77777777" w:rsidR="00E744F3" w:rsidRDefault="003D5C13" w:rsidP="00C07F9E">
      <w:pPr>
        <w:pStyle w:val="1"/>
        <w:pBdr>
          <w:bottom w:val="single" w:sz="12" w:space="8" w:color="2E7D7B"/>
        </w:pBdr>
        <w:bidi/>
        <w:spacing w:after="320"/>
        <w:rPr>
          <w:rFonts w:cs="Times New Roman"/>
        </w:rPr>
      </w:pPr>
      <w:r>
        <w:rPr>
          <w:b/>
          <w:bCs/>
          <w:color w:val="1F3A5F"/>
          <w:sz w:val="34"/>
          <w:szCs w:val="34"/>
        </w:rPr>
        <w:t>نظرية الوصمة وتحليل الهوية المجروحة</w:t>
      </w:r>
    </w:p>
    <w:p w14:paraId="07084F24" w14:textId="77777777" w:rsidR="00E744F3" w:rsidRDefault="003D5C13" w:rsidP="00C07F9E">
      <w:pPr>
        <w:pStyle w:val="2"/>
        <w:bidi/>
        <w:spacing w:before="300" w:after="140"/>
        <w:rPr>
          <w:rFonts w:cs="Times New Roman"/>
        </w:rPr>
      </w:pPr>
      <w:r>
        <w:rPr>
          <w:b/>
          <w:bCs/>
          <w:color w:val="2E7D7B"/>
        </w:rPr>
        <w:t>6.1 الوصمة: بين الهوية المتوقَّعة والهوية الفعلية</w:t>
      </w:r>
    </w:p>
    <w:p w14:paraId="64D0D5E4" w14:textId="77777777" w:rsidR="00E744F3" w:rsidRDefault="003D5C13" w:rsidP="00C07F9E">
      <w:pPr>
        <w:spacing w:after="180" w:line="340" w:lineRule="auto"/>
        <w:rPr>
          <w:rFonts w:cs="Times New Roman"/>
        </w:rPr>
      </w:pPr>
      <w:r>
        <w:rPr>
          <w:color w:val="1A1A1A"/>
        </w:rPr>
        <w:t xml:space="preserve">صدر كتاب «الوصمة: ملاحظات في إدارة الهوية </w:t>
      </w:r>
      <w:proofErr w:type="spellStart"/>
      <w:r>
        <w:rPr>
          <w:color w:val="1A1A1A"/>
        </w:rPr>
        <w:t>المُشانة</w:t>
      </w:r>
      <w:proofErr w:type="spellEnd"/>
      <w:r>
        <w:rPr>
          <w:color w:val="1A1A1A"/>
        </w:rPr>
        <w:t>» عام 1963، معبّراً عن أعمق اهتمامات غوفمان وأكثرها إنسانية: كيف يعيش الأفراد الذين يحملون ما يعتبره المجتمع «عيباً» أو «علامة» تمييزية؟</w:t>
      </w:r>
    </w:p>
    <w:p w14:paraId="3AAA8669" w14:textId="77777777" w:rsidR="00E744F3" w:rsidRDefault="003D5C13" w:rsidP="00C07F9E">
      <w:pPr>
        <w:spacing w:after="180" w:line="340" w:lineRule="auto"/>
        <w:rPr>
          <w:rFonts w:cs="Times New Roman"/>
        </w:rPr>
      </w:pPr>
      <w:r>
        <w:rPr>
          <w:color w:val="1A1A1A"/>
        </w:rPr>
        <w:t>وتنشأ الوصمة عند غوفمان من الهوّة الفاصلة بين ما يسميه «الهوية الاجتماعية الافتراضية» (</w:t>
      </w:r>
      <w:proofErr w:type="spellStart"/>
      <w:r>
        <w:rPr>
          <w:color w:val="1A1A1A"/>
        </w:rPr>
        <w:t>Virtual</w:t>
      </w:r>
      <w:proofErr w:type="spellEnd"/>
      <w:r>
        <w:rPr>
          <w:color w:val="1A1A1A"/>
        </w:rPr>
        <w:t xml:space="preserve"> </w:t>
      </w:r>
      <w:proofErr w:type="spellStart"/>
      <w:r>
        <w:rPr>
          <w:color w:val="1A1A1A"/>
        </w:rPr>
        <w:t>Social</w:t>
      </w:r>
      <w:proofErr w:type="spellEnd"/>
      <w:r>
        <w:rPr>
          <w:color w:val="1A1A1A"/>
        </w:rPr>
        <w:t xml:space="preserve"> </w:t>
      </w:r>
      <w:proofErr w:type="spellStart"/>
      <w:r>
        <w:rPr>
          <w:color w:val="1A1A1A"/>
        </w:rPr>
        <w:t>Identity</w:t>
      </w:r>
      <w:proofErr w:type="spellEnd"/>
      <w:r>
        <w:rPr>
          <w:color w:val="1A1A1A"/>
        </w:rPr>
        <w:t>) و«الهوية الاجتماعية الفعلية» (</w:t>
      </w:r>
      <w:proofErr w:type="spellStart"/>
      <w:r>
        <w:rPr>
          <w:color w:val="1A1A1A"/>
        </w:rPr>
        <w:t>Actual</w:t>
      </w:r>
      <w:proofErr w:type="spellEnd"/>
      <w:r>
        <w:rPr>
          <w:color w:val="1A1A1A"/>
        </w:rPr>
        <w:t xml:space="preserve"> </w:t>
      </w:r>
      <w:proofErr w:type="spellStart"/>
      <w:r>
        <w:rPr>
          <w:color w:val="1A1A1A"/>
        </w:rPr>
        <w:t>Social</w:t>
      </w:r>
      <w:proofErr w:type="spellEnd"/>
      <w:r>
        <w:rPr>
          <w:color w:val="1A1A1A"/>
        </w:rPr>
        <w:t xml:space="preserve"> </w:t>
      </w:r>
      <w:proofErr w:type="spellStart"/>
      <w:r>
        <w:rPr>
          <w:color w:val="1A1A1A"/>
        </w:rPr>
        <w:t>Identity</w:t>
      </w:r>
      <w:proofErr w:type="spellEnd"/>
      <w:r>
        <w:rPr>
          <w:color w:val="1A1A1A"/>
        </w:rPr>
        <w:t>)؛ فالهوية الافتراضية هي ما يتوقعه المجتمع من شخص ما استناداً إلى فئته الاجتماعية العريضة (جنسه، عمره، لونه، مهنته)، أما الهوية الفعلية فهي ما يمتلكه هذا الفرد حقيقة. وحين تتسع الهوّة بين الهويتين تنشأ الوصمة.</w:t>
      </w:r>
    </w:p>
    <w:p w14:paraId="3AF34A47" w14:textId="77777777" w:rsidR="00E744F3" w:rsidRDefault="003D5C13" w:rsidP="00C07F9E">
      <w:pPr>
        <w:spacing w:after="180" w:line="340" w:lineRule="auto"/>
        <w:rPr>
          <w:rFonts w:cs="Times New Roman"/>
        </w:rPr>
      </w:pPr>
      <w:r>
        <w:rPr>
          <w:color w:val="1A1A1A"/>
        </w:rPr>
        <w:t>وتعود كلمة «وصمة» (</w:t>
      </w:r>
      <w:proofErr w:type="spellStart"/>
      <w:r>
        <w:rPr>
          <w:color w:val="1A1A1A"/>
        </w:rPr>
        <w:t>Stigma</w:t>
      </w:r>
      <w:proofErr w:type="spellEnd"/>
      <w:r>
        <w:rPr>
          <w:color w:val="1A1A1A"/>
        </w:rPr>
        <w:t>) في أصلها اليوناني إلى الحرق أو النقش على جلد العبيد والمجرمين كعلامة تدل على وضعهم الاجتماعي. وقد وظّف غوفمان هذا الأصل اللغوي تحليلياً، مبيّناً أن الوصمة في العصر الحديث لم تعد تُكتب على الجلد بالنار، بل تُكتب في أنماط التفاعل الاجتماعي وردود الفعل اليومية.</w:t>
      </w:r>
    </w:p>
    <w:p w14:paraId="2275615C" w14:textId="77777777" w:rsidR="00E744F3" w:rsidRDefault="003D5C13" w:rsidP="00C07F9E">
      <w:pPr>
        <w:pStyle w:val="2"/>
        <w:bidi/>
        <w:spacing w:before="300" w:after="140"/>
        <w:rPr>
          <w:rFonts w:cs="Times New Roman"/>
        </w:rPr>
      </w:pPr>
      <w:r>
        <w:rPr>
          <w:b/>
          <w:bCs/>
          <w:color w:val="2E7D7B"/>
        </w:rPr>
        <w:t>6.2 أنواع الوصمة</w:t>
      </w:r>
    </w:p>
    <w:p w14:paraId="0C24B88D" w14:textId="77777777" w:rsidR="00E744F3" w:rsidRDefault="003D5C13" w:rsidP="00C07F9E">
      <w:pPr>
        <w:spacing w:after="180" w:line="340" w:lineRule="auto"/>
        <w:rPr>
          <w:rFonts w:cs="Times New Roman"/>
        </w:rPr>
      </w:pPr>
      <w:r>
        <w:rPr>
          <w:color w:val="1A1A1A"/>
        </w:rPr>
        <w:t>يميّز غوفمان بين ثلاثة أنواع رئيسية من الوصمة، ويستكشف آليات كل منها بعمق:</w:t>
      </w:r>
    </w:p>
    <w:p w14:paraId="77C8C08D" w14:textId="77777777" w:rsidR="00E744F3" w:rsidRDefault="003D5C13" w:rsidP="00C07F9E">
      <w:pPr>
        <w:pStyle w:val="a4"/>
        <w:numPr>
          <w:ilvl w:val="0"/>
          <w:numId w:val="3"/>
        </w:numPr>
        <w:bidi/>
        <w:spacing w:after="100" w:line="320" w:lineRule="auto"/>
        <w:rPr>
          <w:rFonts w:cs="Times New Roman"/>
        </w:rPr>
      </w:pPr>
      <w:r>
        <w:rPr>
          <w:color w:val="1A1A1A"/>
          <w:sz w:val="23"/>
          <w:szCs w:val="23"/>
        </w:rPr>
        <w:t>تشوهات الجسد (</w:t>
      </w:r>
      <w:proofErr w:type="spellStart"/>
      <w:r>
        <w:rPr>
          <w:color w:val="1A1A1A"/>
          <w:sz w:val="23"/>
          <w:szCs w:val="23"/>
        </w:rPr>
        <w:t>Abominations</w:t>
      </w:r>
      <w:proofErr w:type="spellEnd"/>
      <w:r>
        <w:rPr>
          <w:color w:val="1A1A1A"/>
          <w:sz w:val="23"/>
          <w:szCs w:val="23"/>
        </w:rPr>
        <w:t xml:space="preserve"> </w:t>
      </w:r>
      <w:proofErr w:type="spellStart"/>
      <w:r>
        <w:rPr>
          <w:color w:val="1A1A1A"/>
          <w:sz w:val="23"/>
          <w:szCs w:val="23"/>
        </w:rPr>
        <w:t>of</w:t>
      </w:r>
      <w:proofErr w:type="spellEnd"/>
      <w:r>
        <w:rPr>
          <w:color w:val="1A1A1A"/>
          <w:sz w:val="23"/>
          <w:szCs w:val="23"/>
        </w:rPr>
        <w:t xml:space="preserve"> </w:t>
      </w:r>
      <w:proofErr w:type="spellStart"/>
      <w:r>
        <w:rPr>
          <w:color w:val="1A1A1A"/>
          <w:sz w:val="23"/>
          <w:szCs w:val="23"/>
        </w:rPr>
        <w:t>the</w:t>
      </w:r>
      <w:proofErr w:type="spellEnd"/>
      <w:r>
        <w:rPr>
          <w:color w:val="1A1A1A"/>
          <w:sz w:val="23"/>
          <w:szCs w:val="23"/>
        </w:rPr>
        <w:t xml:space="preserve"> </w:t>
      </w:r>
      <w:proofErr w:type="spellStart"/>
      <w:r>
        <w:rPr>
          <w:color w:val="1A1A1A"/>
          <w:sz w:val="23"/>
          <w:szCs w:val="23"/>
        </w:rPr>
        <w:t>Body</w:t>
      </w:r>
      <w:proofErr w:type="spellEnd"/>
      <w:r>
        <w:rPr>
          <w:color w:val="1A1A1A"/>
          <w:sz w:val="23"/>
          <w:szCs w:val="23"/>
        </w:rPr>
        <w:t>): وتشمل الإعاقات الجسدية والأمراض المُشوِّهة، وكل ما يمس سلامة الجسد الاجتماعي المتوقّع، كالشخص على الكرسي المتحرك، أو ذي الندبات الظاهرة، أو ذي الوزن الزائد في مجتمع يُقدِّس الجسد الرشيق.</w:t>
      </w:r>
    </w:p>
    <w:p w14:paraId="6B8FDE6D" w14:textId="77777777" w:rsidR="00E744F3" w:rsidRDefault="003D5C13" w:rsidP="00C07F9E">
      <w:pPr>
        <w:pStyle w:val="a4"/>
        <w:numPr>
          <w:ilvl w:val="0"/>
          <w:numId w:val="3"/>
        </w:numPr>
        <w:bidi/>
        <w:spacing w:after="100" w:line="320" w:lineRule="auto"/>
        <w:rPr>
          <w:rFonts w:cs="Times New Roman"/>
        </w:rPr>
      </w:pPr>
      <w:r>
        <w:rPr>
          <w:color w:val="1A1A1A"/>
          <w:sz w:val="23"/>
          <w:szCs w:val="23"/>
        </w:rPr>
        <w:t>عيوب الشخصية (</w:t>
      </w:r>
      <w:proofErr w:type="spellStart"/>
      <w:r>
        <w:rPr>
          <w:color w:val="1A1A1A"/>
          <w:sz w:val="23"/>
          <w:szCs w:val="23"/>
        </w:rPr>
        <w:t>Blemishes</w:t>
      </w:r>
      <w:proofErr w:type="spellEnd"/>
      <w:r>
        <w:rPr>
          <w:color w:val="1A1A1A"/>
          <w:sz w:val="23"/>
          <w:szCs w:val="23"/>
        </w:rPr>
        <w:t xml:space="preserve"> </w:t>
      </w:r>
      <w:proofErr w:type="spellStart"/>
      <w:r>
        <w:rPr>
          <w:color w:val="1A1A1A"/>
          <w:sz w:val="23"/>
          <w:szCs w:val="23"/>
        </w:rPr>
        <w:t>of</w:t>
      </w:r>
      <w:proofErr w:type="spellEnd"/>
      <w:r>
        <w:rPr>
          <w:color w:val="1A1A1A"/>
          <w:sz w:val="23"/>
          <w:szCs w:val="23"/>
        </w:rPr>
        <w:t xml:space="preserve"> </w:t>
      </w:r>
      <w:proofErr w:type="spellStart"/>
      <w:r>
        <w:rPr>
          <w:color w:val="1A1A1A"/>
          <w:sz w:val="23"/>
          <w:szCs w:val="23"/>
        </w:rPr>
        <w:t>Individual</w:t>
      </w:r>
      <w:proofErr w:type="spellEnd"/>
      <w:r>
        <w:rPr>
          <w:color w:val="1A1A1A"/>
          <w:sz w:val="23"/>
          <w:szCs w:val="23"/>
        </w:rPr>
        <w:t xml:space="preserve"> </w:t>
      </w:r>
      <w:proofErr w:type="spellStart"/>
      <w:r>
        <w:rPr>
          <w:color w:val="1A1A1A"/>
          <w:sz w:val="23"/>
          <w:szCs w:val="23"/>
        </w:rPr>
        <w:t>Character</w:t>
      </w:r>
      <w:proofErr w:type="spellEnd"/>
      <w:r>
        <w:rPr>
          <w:color w:val="1A1A1A"/>
          <w:sz w:val="23"/>
          <w:szCs w:val="23"/>
        </w:rPr>
        <w:t>): وتشمل الاضطرابات النفسية، والإدمان، والسجل الجنائي، والفقر، والبطالة المزمنة، وما يُصنَّف اجتماعياً بوصفه إخفاقاً أخلاقياً أو إرادياً.</w:t>
      </w:r>
    </w:p>
    <w:p w14:paraId="0954E985" w14:textId="77777777" w:rsidR="00E744F3" w:rsidRDefault="003D5C13" w:rsidP="00C07F9E">
      <w:pPr>
        <w:pStyle w:val="a4"/>
        <w:numPr>
          <w:ilvl w:val="0"/>
          <w:numId w:val="3"/>
        </w:numPr>
        <w:bidi/>
        <w:spacing w:after="100" w:line="320" w:lineRule="auto"/>
        <w:rPr>
          <w:rFonts w:cs="Times New Roman"/>
        </w:rPr>
      </w:pPr>
      <w:proofErr w:type="spellStart"/>
      <w:r>
        <w:rPr>
          <w:color w:val="1A1A1A"/>
          <w:sz w:val="23"/>
          <w:szCs w:val="23"/>
        </w:rPr>
        <w:t>الوصمات</w:t>
      </w:r>
      <w:proofErr w:type="spellEnd"/>
      <w:r>
        <w:rPr>
          <w:color w:val="1A1A1A"/>
          <w:sz w:val="23"/>
          <w:szCs w:val="23"/>
        </w:rPr>
        <w:t xml:space="preserve"> القبلية (</w:t>
      </w:r>
      <w:proofErr w:type="spellStart"/>
      <w:r>
        <w:rPr>
          <w:color w:val="1A1A1A"/>
          <w:sz w:val="23"/>
          <w:szCs w:val="23"/>
        </w:rPr>
        <w:t>Tribal</w:t>
      </w:r>
      <w:proofErr w:type="spellEnd"/>
      <w:r>
        <w:rPr>
          <w:color w:val="1A1A1A"/>
          <w:sz w:val="23"/>
          <w:szCs w:val="23"/>
        </w:rPr>
        <w:t xml:space="preserve"> </w:t>
      </w:r>
      <w:proofErr w:type="spellStart"/>
      <w:r>
        <w:rPr>
          <w:color w:val="1A1A1A"/>
          <w:sz w:val="23"/>
          <w:szCs w:val="23"/>
        </w:rPr>
        <w:t>Stigma</w:t>
      </w:r>
      <w:proofErr w:type="spellEnd"/>
      <w:r>
        <w:rPr>
          <w:color w:val="1A1A1A"/>
          <w:sz w:val="23"/>
          <w:szCs w:val="23"/>
        </w:rPr>
        <w:t>): وتشمل العرق والدين والقومية والطبقة الاجتماعية، وهي وصمات تنتقل عبر الأجيال وتُلحق الفرد بجماعة محددة مسبقاً في نظر المجتمع.</w:t>
      </w:r>
    </w:p>
    <w:p w14:paraId="198F58C7" w14:textId="77777777" w:rsidR="00E744F3" w:rsidRDefault="003D5C13" w:rsidP="00C07F9E">
      <w:pPr>
        <w:pStyle w:val="2"/>
        <w:bidi/>
        <w:spacing w:before="300" w:after="140"/>
        <w:rPr>
          <w:rFonts w:cs="Times New Roman"/>
        </w:rPr>
      </w:pPr>
      <w:r>
        <w:rPr>
          <w:b/>
          <w:bCs/>
          <w:color w:val="2E7D7B"/>
        </w:rPr>
        <w:t>6.3 الموصوم ظاهراً والموصوم القابل للإخفاء</w:t>
      </w:r>
    </w:p>
    <w:p w14:paraId="2B4D8C62" w14:textId="77777777" w:rsidR="00E744F3" w:rsidRDefault="003D5C13" w:rsidP="00C07F9E">
      <w:pPr>
        <w:spacing w:after="180" w:line="340" w:lineRule="auto"/>
        <w:rPr>
          <w:rFonts w:cs="Times New Roman"/>
        </w:rPr>
      </w:pPr>
      <w:r>
        <w:rPr>
          <w:color w:val="1A1A1A"/>
        </w:rPr>
        <w:t>من أبرز إسهامات كتاب الوصمة تمييزه بين نوعين من الموصومين وفق درجة ظهور الوصمة: فالموصوم ظاهراً (</w:t>
      </w:r>
      <w:proofErr w:type="spellStart"/>
      <w:r>
        <w:rPr>
          <w:color w:val="1A1A1A"/>
        </w:rPr>
        <w:t>Discredited</w:t>
      </w:r>
      <w:proofErr w:type="spellEnd"/>
      <w:r>
        <w:rPr>
          <w:color w:val="1A1A1A"/>
        </w:rPr>
        <w:t>) هو من تكون وصمته بادية للعيان ولا تحتاج إلى اكتشاف، كالشخص المعاق حركياً أو ذي اللون المختلف في مجتمع عنصري، ولا يملك هذا الشخص إمكانية التظاهر بعدم وجود الوصمة؛ فتحديه الأساسي إدارة التوتر في تفاعلاته مع «الطبيعيين»، أي كيفية التعامل مع نظرات الشفقة أو الاشمئزاز أو الفضول.</w:t>
      </w:r>
    </w:p>
    <w:p w14:paraId="590F4705" w14:textId="77777777" w:rsidR="00E744F3" w:rsidRDefault="003D5C13" w:rsidP="00C07F9E">
      <w:pPr>
        <w:spacing w:after="180" w:line="340" w:lineRule="auto"/>
        <w:rPr>
          <w:rFonts w:cs="Times New Roman"/>
        </w:rPr>
      </w:pPr>
      <w:r>
        <w:rPr>
          <w:color w:val="1A1A1A"/>
        </w:rPr>
        <w:t>أما الموصوم القابل للإخفاء (</w:t>
      </w:r>
      <w:proofErr w:type="spellStart"/>
      <w:r>
        <w:rPr>
          <w:color w:val="1A1A1A"/>
        </w:rPr>
        <w:t>Discreditable</w:t>
      </w:r>
      <w:proofErr w:type="spellEnd"/>
      <w:r>
        <w:rPr>
          <w:color w:val="1A1A1A"/>
        </w:rPr>
        <w:t>) فهو من يحمل وصمة غير ظاهرة، كالمثلي الجنسي في مجتمع محافظ، أو المصاب بالاكتئاب في بيئة عمل، أو صاحب السجل الجنائي في وظيفة جديدة؛ وتحديه هنا مختلف، إذ لا يتعلق بإدارة التوتر بل بإدارة المعلومة: هل يُفصح أم يُخفي؟ ولمن يُفصح؟ ومتى وكيف؟ ويسمي غوفمان هذه العملية بـ«التمرير» (</w:t>
      </w:r>
      <w:proofErr w:type="spellStart"/>
      <w:r>
        <w:rPr>
          <w:color w:val="1A1A1A"/>
        </w:rPr>
        <w:t>Passing</w:t>
      </w:r>
      <w:proofErr w:type="spellEnd"/>
      <w:r>
        <w:rPr>
          <w:color w:val="1A1A1A"/>
        </w:rPr>
        <w:t>)، وهي عملية مضنية نفسياً تستهلك طاقة كبيرة من الفرد.</w:t>
      </w:r>
    </w:p>
    <w:p w14:paraId="3A24663B" w14:textId="77777777" w:rsidR="00E744F3" w:rsidRDefault="003D5C13" w:rsidP="00C07F9E">
      <w:pPr>
        <w:pBdr>
          <w:right w:val="single" w:sz="18" w:space="12" w:color="2E7D7B"/>
        </w:pBdr>
        <w:shd w:val="clear" w:color="auto" w:fill="EAF2F1"/>
        <w:spacing w:before="200" w:after="40"/>
        <w:ind w:left="400" w:right="400"/>
        <w:rPr>
          <w:rFonts w:cs="Times New Roman"/>
        </w:rPr>
      </w:pPr>
      <w:r>
        <w:rPr>
          <w:i/>
          <w:iCs/>
          <w:color w:val="1F3A5F"/>
          <w:sz w:val="23"/>
          <w:szCs w:val="23"/>
        </w:rPr>
        <w:t>«يعيش الموصوم في حالة من التأهب المستمر، إذ يطرح كل موقف جديد السؤال ذاته: كيف يُرى؟ وكيف يريد أن يُرى؟»</w:t>
      </w:r>
    </w:p>
    <w:p w14:paraId="2172AFFD" w14:textId="77777777" w:rsidR="00E744F3" w:rsidRDefault="003D5C13" w:rsidP="00C07F9E">
      <w:pPr>
        <w:pBdr>
          <w:right w:val="single" w:sz="18" w:space="12" w:color="2E7D7B"/>
        </w:pBdr>
        <w:shd w:val="clear" w:color="auto" w:fill="EAF2F1"/>
        <w:spacing w:after="220"/>
        <w:ind w:left="400" w:right="400"/>
        <w:rPr>
          <w:rFonts w:cs="Times New Roman"/>
        </w:rPr>
      </w:pPr>
      <w:r>
        <w:rPr>
          <w:b/>
          <w:bCs/>
          <w:color w:val="2E7D7B"/>
          <w:sz w:val="20"/>
          <w:szCs w:val="20"/>
        </w:rPr>
        <w:t xml:space="preserve">— </w:t>
      </w:r>
      <w:proofErr w:type="spellStart"/>
      <w:r>
        <w:rPr>
          <w:b/>
          <w:bCs/>
          <w:color w:val="2E7D7B"/>
          <w:sz w:val="20"/>
          <w:szCs w:val="20"/>
        </w:rPr>
        <w:t>إرفينغ</w:t>
      </w:r>
      <w:proofErr w:type="spellEnd"/>
      <w:r>
        <w:rPr>
          <w:b/>
          <w:bCs/>
          <w:color w:val="2E7D7B"/>
          <w:sz w:val="20"/>
          <w:szCs w:val="20"/>
        </w:rPr>
        <w:t xml:space="preserve"> غوفمان</w:t>
      </w:r>
    </w:p>
    <w:p w14:paraId="47D64C7C" w14:textId="77777777" w:rsidR="00E744F3" w:rsidRDefault="003D5C13" w:rsidP="00C07F9E">
      <w:pPr>
        <w:pStyle w:val="2"/>
        <w:bidi/>
        <w:spacing w:before="300" w:after="140"/>
        <w:rPr>
          <w:rFonts w:cs="Times New Roman"/>
        </w:rPr>
      </w:pPr>
      <w:r>
        <w:rPr>
          <w:b/>
          <w:bCs/>
          <w:color w:val="2E7D7B"/>
        </w:rPr>
        <w:t>6.4 استراتيجيات مواجهة الوصمة</w:t>
      </w:r>
    </w:p>
    <w:p w14:paraId="03410725" w14:textId="77777777" w:rsidR="00E744F3" w:rsidRDefault="003D5C13" w:rsidP="00C07F9E">
      <w:pPr>
        <w:spacing w:after="180" w:line="340" w:lineRule="auto"/>
        <w:rPr>
          <w:rFonts w:cs="Times New Roman"/>
        </w:rPr>
      </w:pPr>
      <w:r>
        <w:rPr>
          <w:color w:val="1A1A1A"/>
        </w:rPr>
        <w:t>لم يقتصر غوفمان على وصف الوصمة، بل تتبّع باهتمام استجابات الأفراد الموصومين، موثِّقاً مجموعة من الاستراتيجيات التي طوروها لمواجهة وضعهم:</w:t>
      </w:r>
    </w:p>
    <w:p w14:paraId="70BBBE9A" w14:textId="77777777" w:rsidR="00E744F3" w:rsidRDefault="003D5C13" w:rsidP="00C07F9E">
      <w:pPr>
        <w:pStyle w:val="a4"/>
        <w:numPr>
          <w:ilvl w:val="0"/>
          <w:numId w:val="3"/>
        </w:numPr>
        <w:bidi/>
        <w:spacing w:after="100" w:line="320" w:lineRule="auto"/>
        <w:rPr>
          <w:rFonts w:cs="Times New Roman"/>
        </w:rPr>
      </w:pPr>
      <w:r>
        <w:rPr>
          <w:color w:val="1A1A1A"/>
          <w:sz w:val="23"/>
          <w:szCs w:val="23"/>
        </w:rPr>
        <w:t>تصحيح الوصمة: محاولة تغيير سببها عبر التدخل الجراحي أو العلاج النفسي أو الانتقال الاجتماعي.</w:t>
      </w:r>
    </w:p>
    <w:p w14:paraId="6D8C0192" w14:textId="77777777" w:rsidR="00E744F3" w:rsidRDefault="003D5C13" w:rsidP="00C07F9E">
      <w:pPr>
        <w:pStyle w:val="a4"/>
        <w:numPr>
          <w:ilvl w:val="0"/>
          <w:numId w:val="3"/>
        </w:numPr>
        <w:bidi/>
        <w:spacing w:after="100" w:line="320" w:lineRule="auto"/>
        <w:rPr>
          <w:rFonts w:cs="Times New Roman"/>
        </w:rPr>
      </w:pPr>
      <w:r>
        <w:rPr>
          <w:color w:val="1A1A1A"/>
          <w:sz w:val="23"/>
          <w:szCs w:val="23"/>
        </w:rPr>
        <w:t>إتقان مهارات تتجاوز الوصمة: إظهار التفوق في مجالات أخرى بغرض تعديل الصورة العامة.</w:t>
      </w:r>
    </w:p>
    <w:p w14:paraId="2F2536E6" w14:textId="77777777" w:rsidR="00E744F3" w:rsidRDefault="003D5C13" w:rsidP="00C07F9E">
      <w:pPr>
        <w:pStyle w:val="a4"/>
        <w:numPr>
          <w:ilvl w:val="0"/>
          <w:numId w:val="3"/>
        </w:numPr>
        <w:bidi/>
        <w:spacing w:after="100" w:line="320" w:lineRule="auto"/>
        <w:rPr>
          <w:rFonts w:cs="Times New Roman"/>
        </w:rPr>
      </w:pPr>
      <w:r>
        <w:rPr>
          <w:color w:val="1A1A1A"/>
          <w:sz w:val="23"/>
          <w:szCs w:val="23"/>
        </w:rPr>
        <w:t>إعادة تعريف الوصمة نفسها: تحويلها إلى مصدر هوية إيجابية، كما فعلت حركة الحقوق المدنية بمصطلح «أسود»، أو حركات الإعاقة بهوياتها الخاصة.</w:t>
      </w:r>
    </w:p>
    <w:p w14:paraId="41B7EEF2" w14:textId="77777777" w:rsidR="00E744F3" w:rsidRDefault="003D5C13" w:rsidP="00C07F9E">
      <w:pPr>
        <w:pStyle w:val="a4"/>
        <w:numPr>
          <w:ilvl w:val="0"/>
          <w:numId w:val="3"/>
        </w:numPr>
        <w:bidi/>
        <w:spacing w:after="100" w:line="320" w:lineRule="auto"/>
        <w:rPr>
          <w:rFonts w:cs="Times New Roman"/>
        </w:rPr>
      </w:pPr>
      <w:r>
        <w:rPr>
          <w:color w:val="1A1A1A"/>
          <w:sz w:val="23"/>
          <w:szCs w:val="23"/>
        </w:rPr>
        <w:t>بناء مجتمع الموصومين: التضامن مع من يشاركون الوصمة ذاتها لتكوين هوية مضادة داعمة.</w:t>
      </w:r>
    </w:p>
    <w:p w14:paraId="48568824" w14:textId="77777777" w:rsidR="00E744F3" w:rsidRDefault="003D5C13" w:rsidP="00C07F9E">
      <w:pPr>
        <w:pStyle w:val="a4"/>
        <w:numPr>
          <w:ilvl w:val="0"/>
          <w:numId w:val="3"/>
        </w:numPr>
        <w:bidi/>
        <w:spacing w:after="100" w:line="320" w:lineRule="auto"/>
        <w:rPr>
          <w:rFonts w:cs="Times New Roman"/>
        </w:rPr>
      </w:pPr>
      <w:r>
        <w:rPr>
          <w:color w:val="1A1A1A"/>
          <w:sz w:val="23"/>
          <w:szCs w:val="23"/>
        </w:rPr>
        <w:t>التمرير: إخفاء الوصمة والتظاهر بـ«الطبيعية» في المواقف التي تستدعي ذلك.</w:t>
      </w:r>
    </w:p>
    <w:p w14:paraId="3AB198D5" w14:textId="77777777" w:rsidR="00E744F3" w:rsidRDefault="003D5C13" w:rsidP="00C07F9E">
      <w:pPr>
        <w:spacing w:after="180" w:line="340" w:lineRule="auto"/>
        <w:rPr>
          <w:rFonts w:cs="Times New Roman"/>
        </w:rPr>
      </w:pPr>
      <w:r>
        <w:rPr>
          <w:color w:val="1A1A1A"/>
        </w:rPr>
        <w:t>ويكمن الإرث الأهم لكتاب الوصمة في أنه لم يُدِن المجتمع ولم يُبرِّئ الموصوم، بل كشف الآليات الاجتماعية التي تُنتج الوصمة وتُبقيها وتُعيد إنتاجها، وهي آليات غالباً ما تكون مضمرة في أنماط الكلام والنظر والمسافة الجسدية، لا في الخطابات الصريحة.</w:t>
      </w:r>
    </w:p>
    <w:p w14:paraId="4A40EF5B" w14:textId="77777777" w:rsidR="00E744F3" w:rsidRDefault="003D5C13" w:rsidP="00C07F9E">
      <w:pPr>
        <w:pageBreakBefore/>
        <w:spacing w:after="60"/>
        <w:rPr>
          <w:rFonts w:cs="Times New Roman"/>
        </w:rPr>
      </w:pPr>
      <w:r>
        <w:rPr>
          <w:b/>
          <w:bCs/>
          <w:color w:val="B8912B"/>
          <w:sz w:val="22"/>
          <w:szCs w:val="22"/>
        </w:rPr>
        <w:t>الفصل السابع</w:t>
      </w:r>
    </w:p>
    <w:p w14:paraId="382B56F1" w14:textId="77777777" w:rsidR="00E744F3" w:rsidRDefault="003D5C13" w:rsidP="00C07F9E">
      <w:pPr>
        <w:pStyle w:val="1"/>
        <w:pBdr>
          <w:bottom w:val="single" w:sz="12" w:space="8" w:color="2E7D7B"/>
        </w:pBdr>
        <w:bidi/>
        <w:spacing w:after="320"/>
        <w:rPr>
          <w:rFonts w:cs="Times New Roman"/>
        </w:rPr>
      </w:pPr>
      <w:r>
        <w:rPr>
          <w:b/>
          <w:bCs/>
          <w:color w:val="1F3A5F"/>
          <w:sz w:val="34"/>
          <w:szCs w:val="34"/>
        </w:rPr>
        <w:t>المؤسسات الشاملة ونقد السلطة</w:t>
      </w:r>
    </w:p>
    <w:p w14:paraId="71B33011" w14:textId="77777777" w:rsidR="00E744F3" w:rsidRDefault="003D5C13" w:rsidP="00C07F9E">
      <w:pPr>
        <w:pStyle w:val="2"/>
        <w:bidi/>
        <w:spacing w:before="300" w:after="140"/>
        <w:rPr>
          <w:rFonts w:cs="Times New Roman"/>
        </w:rPr>
      </w:pPr>
      <w:r>
        <w:rPr>
          <w:b/>
          <w:bCs/>
          <w:color w:val="2E7D7B"/>
        </w:rPr>
        <w:t>7.1 المؤسسة الشاملة: التعريف والأمثلة</w:t>
      </w:r>
    </w:p>
    <w:p w14:paraId="0247F830" w14:textId="77777777" w:rsidR="00E744F3" w:rsidRDefault="003D5C13" w:rsidP="00C07F9E">
      <w:pPr>
        <w:spacing w:after="180" w:line="340" w:lineRule="auto"/>
        <w:rPr>
          <w:rFonts w:cs="Times New Roman"/>
        </w:rPr>
      </w:pPr>
      <w:r>
        <w:rPr>
          <w:color w:val="1A1A1A"/>
        </w:rPr>
        <w:t>قدّم غوفمان في كتاب «المؤسسات الشاملة» (</w:t>
      </w:r>
      <w:proofErr w:type="spellStart"/>
      <w:r>
        <w:rPr>
          <w:color w:val="1A1A1A"/>
        </w:rPr>
        <w:t>Asylums</w:t>
      </w:r>
      <w:proofErr w:type="spellEnd"/>
      <w:r>
        <w:rPr>
          <w:color w:val="1A1A1A"/>
        </w:rPr>
        <w:t>، 1961) تحليلاً تأسيسياً للأماكن التي يُحتجز فيها عدد كبير من الأفراد معاً في عزلة عن العالم الخارجي، تحت سلطة مركزية مهيمنة. وأبرز مثال على ذلك المصحات العقلية، غير أن المفهوم أشمل بكثير من هذا المثال الواحد.</w:t>
      </w:r>
    </w:p>
    <w:p w14:paraId="1E08EE3B" w14:textId="77777777" w:rsidR="00E744F3" w:rsidRDefault="003D5C13" w:rsidP="00C07F9E">
      <w:pPr>
        <w:spacing w:after="180" w:line="340" w:lineRule="auto"/>
        <w:rPr>
          <w:rFonts w:cs="Times New Roman"/>
        </w:rPr>
      </w:pPr>
      <w:r>
        <w:rPr>
          <w:color w:val="1A1A1A"/>
        </w:rPr>
        <w:t>ويُعرِّف غوفمان المؤسسة الشاملة بأنها «مكان سكن وعمل يقطن فيه عدد كبير من الأفراد في الوضع ذاته، منفصلين عن المجتمع الأشمل لفترة معتد بها من الزمن، ويعيشون حياة مغلقة ومدارة رسمياً»، وهذه الخصائص المشتركة هي ما يعنيه غوفمان بالتحليل، رغم الاختلاف الظاهري بين هذه المؤسسات.</w:t>
      </w:r>
    </w:p>
    <w:tbl>
      <w:tblPr>
        <w:tblW w:w="935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left w:w="10" w:type="dxa"/>
          <w:right w:w="10" w:type="dxa"/>
        </w:tblCellMar>
        <w:tblLook w:val="0000" w:firstRow="0" w:lastRow="0" w:firstColumn="0" w:lastColumn="0" w:noHBand="0" w:noVBand="0"/>
      </w:tblPr>
      <w:tblGrid>
        <w:gridCol w:w="3100"/>
        <w:gridCol w:w="6250"/>
      </w:tblGrid>
      <w:tr w:rsidR="00E744F3" w14:paraId="5BD40CB9" w14:textId="77777777">
        <w:tblPrEx>
          <w:tblCellMar>
            <w:top w:w="0" w:type="dxa"/>
            <w:bottom w:w="0" w:type="dxa"/>
          </w:tblCellMar>
        </w:tblPrEx>
        <w:trPr>
          <w:tblHeader/>
        </w:trPr>
        <w:tc>
          <w:tcPr>
            <w:tcW w:w="3100" w:type="dxa"/>
            <w:shd w:val="clear" w:color="auto" w:fill="1F3A5F"/>
            <w:tcMar>
              <w:top w:w="100" w:type="dxa"/>
              <w:left w:w="120" w:type="dxa"/>
              <w:bottom w:w="100" w:type="dxa"/>
              <w:right w:w="120" w:type="dxa"/>
            </w:tcMar>
            <w:vAlign w:val="center"/>
          </w:tcPr>
          <w:p w14:paraId="57A80807" w14:textId="77777777" w:rsidR="00E744F3" w:rsidRDefault="003D5C13" w:rsidP="00C07F9E">
            <w:pPr>
              <w:rPr>
                <w:rFonts w:cs="Times New Roman"/>
              </w:rPr>
            </w:pPr>
            <w:r>
              <w:rPr>
                <w:b/>
                <w:bCs/>
                <w:color w:val="FFFFFF"/>
                <w:sz w:val="22"/>
                <w:szCs w:val="22"/>
              </w:rPr>
              <w:t>نوع المؤسسة</w:t>
            </w:r>
          </w:p>
        </w:tc>
        <w:tc>
          <w:tcPr>
            <w:tcW w:w="6250" w:type="dxa"/>
            <w:shd w:val="clear" w:color="auto" w:fill="1F3A5F"/>
            <w:tcMar>
              <w:top w:w="100" w:type="dxa"/>
              <w:left w:w="120" w:type="dxa"/>
              <w:bottom w:w="100" w:type="dxa"/>
              <w:right w:w="120" w:type="dxa"/>
            </w:tcMar>
            <w:vAlign w:val="center"/>
          </w:tcPr>
          <w:p w14:paraId="6448E708" w14:textId="77777777" w:rsidR="00E744F3" w:rsidRDefault="003D5C13" w:rsidP="00C07F9E">
            <w:pPr>
              <w:rPr>
                <w:rFonts w:cs="Times New Roman"/>
              </w:rPr>
            </w:pPr>
            <w:r>
              <w:rPr>
                <w:b/>
                <w:bCs/>
                <w:color w:val="FFFFFF"/>
                <w:sz w:val="22"/>
                <w:szCs w:val="22"/>
              </w:rPr>
              <w:t>الهدف المُعلَن</w:t>
            </w:r>
          </w:p>
        </w:tc>
      </w:tr>
      <w:tr w:rsidR="00E744F3" w14:paraId="7CC3032D" w14:textId="77777777">
        <w:tblPrEx>
          <w:tblCellMar>
            <w:top w:w="0" w:type="dxa"/>
            <w:bottom w:w="0" w:type="dxa"/>
          </w:tblCellMar>
        </w:tblPrEx>
        <w:tc>
          <w:tcPr>
            <w:tcW w:w="3100" w:type="dxa"/>
            <w:shd w:val="clear" w:color="auto" w:fill="FFFFFF"/>
            <w:tcMar>
              <w:top w:w="90" w:type="dxa"/>
              <w:left w:w="120" w:type="dxa"/>
              <w:bottom w:w="90" w:type="dxa"/>
              <w:right w:w="120" w:type="dxa"/>
            </w:tcMar>
            <w:vAlign w:val="center"/>
          </w:tcPr>
          <w:p w14:paraId="70F907D8" w14:textId="77777777" w:rsidR="00E744F3" w:rsidRDefault="003D5C13" w:rsidP="00C07F9E">
            <w:pPr>
              <w:rPr>
                <w:rFonts w:cs="Times New Roman"/>
              </w:rPr>
            </w:pPr>
            <w:r>
              <w:rPr>
                <w:b/>
                <w:bCs/>
                <w:color w:val="2E7D7B"/>
                <w:sz w:val="21"/>
                <w:szCs w:val="21"/>
              </w:rPr>
              <w:t>المصحة العقلية</w:t>
            </w:r>
          </w:p>
        </w:tc>
        <w:tc>
          <w:tcPr>
            <w:tcW w:w="6250" w:type="dxa"/>
            <w:shd w:val="clear" w:color="auto" w:fill="FFFFFF"/>
            <w:tcMar>
              <w:top w:w="90" w:type="dxa"/>
              <w:left w:w="120" w:type="dxa"/>
              <w:bottom w:w="90" w:type="dxa"/>
              <w:right w:w="120" w:type="dxa"/>
            </w:tcMar>
            <w:vAlign w:val="center"/>
          </w:tcPr>
          <w:p w14:paraId="1CAEE63A" w14:textId="77777777" w:rsidR="00E744F3" w:rsidRDefault="003D5C13" w:rsidP="00C07F9E">
            <w:pPr>
              <w:rPr>
                <w:rFonts w:cs="Times New Roman"/>
              </w:rPr>
            </w:pPr>
            <w:r>
              <w:rPr>
                <w:color w:val="1A1A1A"/>
                <w:sz w:val="21"/>
                <w:szCs w:val="21"/>
              </w:rPr>
              <w:t>العلاج والشفاء النفسي.</w:t>
            </w:r>
          </w:p>
        </w:tc>
      </w:tr>
      <w:tr w:rsidR="00E744F3" w14:paraId="690AE559" w14:textId="77777777">
        <w:tblPrEx>
          <w:tblCellMar>
            <w:top w:w="0" w:type="dxa"/>
            <w:bottom w:w="0" w:type="dxa"/>
          </w:tblCellMar>
        </w:tblPrEx>
        <w:tc>
          <w:tcPr>
            <w:tcW w:w="3100" w:type="dxa"/>
            <w:shd w:val="clear" w:color="auto" w:fill="EAF2F1"/>
            <w:tcMar>
              <w:top w:w="90" w:type="dxa"/>
              <w:left w:w="120" w:type="dxa"/>
              <w:bottom w:w="90" w:type="dxa"/>
              <w:right w:w="120" w:type="dxa"/>
            </w:tcMar>
            <w:vAlign w:val="center"/>
          </w:tcPr>
          <w:p w14:paraId="605DD9D2" w14:textId="77777777" w:rsidR="00E744F3" w:rsidRDefault="003D5C13" w:rsidP="00C07F9E">
            <w:pPr>
              <w:rPr>
                <w:rFonts w:cs="Times New Roman"/>
              </w:rPr>
            </w:pPr>
            <w:r>
              <w:rPr>
                <w:b/>
                <w:bCs/>
                <w:color w:val="2E7D7B"/>
                <w:sz w:val="21"/>
                <w:szCs w:val="21"/>
              </w:rPr>
              <w:t>السجن</w:t>
            </w:r>
          </w:p>
        </w:tc>
        <w:tc>
          <w:tcPr>
            <w:tcW w:w="6250" w:type="dxa"/>
            <w:shd w:val="clear" w:color="auto" w:fill="EAF2F1"/>
            <w:tcMar>
              <w:top w:w="90" w:type="dxa"/>
              <w:left w:w="120" w:type="dxa"/>
              <w:bottom w:w="90" w:type="dxa"/>
              <w:right w:w="120" w:type="dxa"/>
            </w:tcMar>
            <w:vAlign w:val="center"/>
          </w:tcPr>
          <w:p w14:paraId="0B7A2C87" w14:textId="77777777" w:rsidR="00E744F3" w:rsidRDefault="003D5C13" w:rsidP="00C07F9E">
            <w:pPr>
              <w:rPr>
                <w:rFonts w:cs="Times New Roman"/>
              </w:rPr>
            </w:pPr>
            <w:r>
              <w:rPr>
                <w:color w:val="1A1A1A"/>
                <w:sz w:val="21"/>
                <w:szCs w:val="21"/>
              </w:rPr>
              <w:t>العقاب وإصلاح السلوك.</w:t>
            </w:r>
          </w:p>
        </w:tc>
      </w:tr>
      <w:tr w:rsidR="00E744F3" w14:paraId="0EA91A36" w14:textId="77777777">
        <w:tblPrEx>
          <w:tblCellMar>
            <w:top w:w="0" w:type="dxa"/>
            <w:bottom w:w="0" w:type="dxa"/>
          </w:tblCellMar>
        </w:tblPrEx>
        <w:tc>
          <w:tcPr>
            <w:tcW w:w="3100" w:type="dxa"/>
            <w:shd w:val="clear" w:color="auto" w:fill="FFFFFF"/>
            <w:tcMar>
              <w:top w:w="90" w:type="dxa"/>
              <w:left w:w="120" w:type="dxa"/>
              <w:bottom w:w="90" w:type="dxa"/>
              <w:right w:w="120" w:type="dxa"/>
            </w:tcMar>
            <w:vAlign w:val="center"/>
          </w:tcPr>
          <w:p w14:paraId="620D6AE9" w14:textId="77777777" w:rsidR="00E744F3" w:rsidRDefault="003D5C13" w:rsidP="00C07F9E">
            <w:pPr>
              <w:rPr>
                <w:rFonts w:cs="Times New Roman"/>
              </w:rPr>
            </w:pPr>
            <w:r>
              <w:rPr>
                <w:b/>
                <w:bCs/>
                <w:color w:val="2E7D7B"/>
                <w:sz w:val="21"/>
                <w:szCs w:val="21"/>
              </w:rPr>
              <w:t>الثكنة العسكرية</w:t>
            </w:r>
          </w:p>
        </w:tc>
        <w:tc>
          <w:tcPr>
            <w:tcW w:w="6250" w:type="dxa"/>
            <w:shd w:val="clear" w:color="auto" w:fill="FFFFFF"/>
            <w:tcMar>
              <w:top w:w="90" w:type="dxa"/>
              <w:left w:w="120" w:type="dxa"/>
              <w:bottom w:w="90" w:type="dxa"/>
              <w:right w:w="120" w:type="dxa"/>
            </w:tcMar>
            <w:vAlign w:val="center"/>
          </w:tcPr>
          <w:p w14:paraId="37CB55D8" w14:textId="77777777" w:rsidR="00E744F3" w:rsidRDefault="003D5C13" w:rsidP="00C07F9E">
            <w:pPr>
              <w:rPr>
                <w:rFonts w:cs="Times New Roman"/>
              </w:rPr>
            </w:pPr>
            <w:r>
              <w:rPr>
                <w:color w:val="1A1A1A"/>
                <w:sz w:val="21"/>
                <w:szCs w:val="21"/>
              </w:rPr>
              <w:t>التدريب والتنظيم العسكري.</w:t>
            </w:r>
          </w:p>
        </w:tc>
      </w:tr>
      <w:tr w:rsidR="00E744F3" w14:paraId="72F13493" w14:textId="77777777">
        <w:tblPrEx>
          <w:tblCellMar>
            <w:top w:w="0" w:type="dxa"/>
            <w:bottom w:w="0" w:type="dxa"/>
          </w:tblCellMar>
        </w:tblPrEx>
        <w:tc>
          <w:tcPr>
            <w:tcW w:w="3100" w:type="dxa"/>
            <w:shd w:val="clear" w:color="auto" w:fill="EAF2F1"/>
            <w:tcMar>
              <w:top w:w="90" w:type="dxa"/>
              <w:left w:w="120" w:type="dxa"/>
              <w:bottom w:w="90" w:type="dxa"/>
              <w:right w:w="120" w:type="dxa"/>
            </w:tcMar>
            <w:vAlign w:val="center"/>
          </w:tcPr>
          <w:p w14:paraId="085F3BD3" w14:textId="77777777" w:rsidR="00E744F3" w:rsidRDefault="003D5C13" w:rsidP="00C07F9E">
            <w:pPr>
              <w:rPr>
                <w:rFonts w:cs="Times New Roman"/>
              </w:rPr>
            </w:pPr>
            <w:r>
              <w:rPr>
                <w:b/>
                <w:bCs/>
                <w:color w:val="2E7D7B"/>
                <w:sz w:val="21"/>
                <w:szCs w:val="21"/>
              </w:rPr>
              <w:t>الدير والرهبنة</w:t>
            </w:r>
          </w:p>
        </w:tc>
        <w:tc>
          <w:tcPr>
            <w:tcW w:w="6250" w:type="dxa"/>
            <w:shd w:val="clear" w:color="auto" w:fill="EAF2F1"/>
            <w:tcMar>
              <w:top w:w="90" w:type="dxa"/>
              <w:left w:w="120" w:type="dxa"/>
              <w:bottom w:w="90" w:type="dxa"/>
              <w:right w:w="120" w:type="dxa"/>
            </w:tcMar>
            <w:vAlign w:val="center"/>
          </w:tcPr>
          <w:p w14:paraId="4886B597" w14:textId="77777777" w:rsidR="00E744F3" w:rsidRDefault="003D5C13" w:rsidP="00C07F9E">
            <w:pPr>
              <w:rPr>
                <w:rFonts w:cs="Times New Roman"/>
              </w:rPr>
            </w:pPr>
            <w:r>
              <w:rPr>
                <w:color w:val="1A1A1A"/>
                <w:sz w:val="21"/>
                <w:szCs w:val="21"/>
              </w:rPr>
              <w:t>التفرغ للعبادة والحياة الروحية.</w:t>
            </w:r>
          </w:p>
        </w:tc>
      </w:tr>
      <w:tr w:rsidR="00E744F3" w14:paraId="5DED92AF" w14:textId="77777777">
        <w:tblPrEx>
          <w:tblCellMar>
            <w:top w:w="0" w:type="dxa"/>
            <w:bottom w:w="0" w:type="dxa"/>
          </w:tblCellMar>
        </w:tblPrEx>
        <w:tc>
          <w:tcPr>
            <w:tcW w:w="3100" w:type="dxa"/>
            <w:shd w:val="clear" w:color="auto" w:fill="FFFFFF"/>
            <w:tcMar>
              <w:top w:w="90" w:type="dxa"/>
              <w:left w:w="120" w:type="dxa"/>
              <w:bottom w:w="90" w:type="dxa"/>
              <w:right w:w="120" w:type="dxa"/>
            </w:tcMar>
            <w:vAlign w:val="center"/>
          </w:tcPr>
          <w:p w14:paraId="2A7AD9A0" w14:textId="77777777" w:rsidR="00E744F3" w:rsidRDefault="003D5C13" w:rsidP="00C07F9E">
            <w:pPr>
              <w:rPr>
                <w:rFonts w:cs="Times New Roman"/>
              </w:rPr>
            </w:pPr>
            <w:r>
              <w:rPr>
                <w:b/>
                <w:bCs/>
                <w:color w:val="2E7D7B"/>
                <w:sz w:val="21"/>
                <w:szCs w:val="21"/>
              </w:rPr>
              <w:t>المدرسة الداخلية</w:t>
            </w:r>
          </w:p>
        </w:tc>
        <w:tc>
          <w:tcPr>
            <w:tcW w:w="6250" w:type="dxa"/>
            <w:shd w:val="clear" w:color="auto" w:fill="FFFFFF"/>
            <w:tcMar>
              <w:top w:w="90" w:type="dxa"/>
              <w:left w:w="120" w:type="dxa"/>
              <w:bottom w:w="90" w:type="dxa"/>
              <w:right w:w="120" w:type="dxa"/>
            </w:tcMar>
            <w:vAlign w:val="center"/>
          </w:tcPr>
          <w:p w14:paraId="45FB8A18" w14:textId="77777777" w:rsidR="00E744F3" w:rsidRDefault="003D5C13" w:rsidP="00C07F9E">
            <w:pPr>
              <w:rPr>
                <w:rFonts w:cs="Times New Roman"/>
              </w:rPr>
            </w:pPr>
            <w:r>
              <w:rPr>
                <w:color w:val="1A1A1A"/>
                <w:sz w:val="21"/>
                <w:szCs w:val="21"/>
              </w:rPr>
              <w:t>التعليم والتنشئة الاجتماعية.</w:t>
            </w:r>
          </w:p>
        </w:tc>
      </w:tr>
      <w:tr w:rsidR="00E744F3" w14:paraId="1B4A0554" w14:textId="77777777">
        <w:tblPrEx>
          <w:tblCellMar>
            <w:top w:w="0" w:type="dxa"/>
            <w:bottom w:w="0" w:type="dxa"/>
          </w:tblCellMar>
        </w:tblPrEx>
        <w:tc>
          <w:tcPr>
            <w:tcW w:w="3100" w:type="dxa"/>
            <w:shd w:val="clear" w:color="auto" w:fill="EAF2F1"/>
            <w:tcMar>
              <w:top w:w="90" w:type="dxa"/>
              <w:left w:w="120" w:type="dxa"/>
              <w:bottom w:w="90" w:type="dxa"/>
              <w:right w:w="120" w:type="dxa"/>
            </w:tcMar>
            <w:vAlign w:val="center"/>
          </w:tcPr>
          <w:p w14:paraId="7E2126DA" w14:textId="77777777" w:rsidR="00E744F3" w:rsidRDefault="003D5C13" w:rsidP="00C07F9E">
            <w:pPr>
              <w:rPr>
                <w:rFonts w:cs="Times New Roman"/>
              </w:rPr>
            </w:pPr>
            <w:r>
              <w:rPr>
                <w:b/>
                <w:bCs/>
                <w:color w:val="2E7D7B"/>
                <w:sz w:val="21"/>
                <w:szCs w:val="21"/>
              </w:rPr>
              <w:t>السفينة الكبيرة</w:t>
            </w:r>
          </w:p>
        </w:tc>
        <w:tc>
          <w:tcPr>
            <w:tcW w:w="6250" w:type="dxa"/>
            <w:shd w:val="clear" w:color="auto" w:fill="EAF2F1"/>
            <w:tcMar>
              <w:top w:w="90" w:type="dxa"/>
              <w:left w:w="120" w:type="dxa"/>
              <w:bottom w:w="90" w:type="dxa"/>
              <w:right w:w="120" w:type="dxa"/>
            </w:tcMar>
            <w:vAlign w:val="center"/>
          </w:tcPr>
          <w:p w14:paraId="58DC6CE2" w14:textId="77777777" w:rsidR="00E744F3" w:rsidRDefault="003D5C13" w:rsidP="00C07F9E">
            <w:pPr>
              <w:rPr>
                <w:rFonts w:cs="Times New Roman"/>
              </w:rPr>
            </w:pPr>
            <w:r>
              <w:rPr>
                <w:color w:val="1A1A1A"/>
                <w:sz w:val="21"/>
                <w:szCs w:val="21"/>
              </w:rPr>
              <w:t>تشغيل واسع في بيئة مغلقة.</w:t>
            </w:r>
          </w:p>
        </w:tc>
      </w:tr>
    </w:tbl>
    <w:p w14:paraId="01BB1839" w14:textId="77777777" w:rsidR="00E744F3" w:rsidRDefault="003D5C13" w:rsidP="00C07F9E">
      <w:pPr>
        <w:pStyle w:val="2"/>
        <w:bidi/>
        <w:spacing w:before="300" w:after="140"/>
        <w:rPr>
          <w:rFonts w:cs="Times New Roman"/>
        </w:rPr>
      </w:pPr>
      <w:r>
        <w:rPr>
          <w:b/>
          <w:bCs/>
          <w:color w:val="2E7D7B"/>
        </w:rPr>
        <w:t>7.2 آلية تفكيك الذات</w:t>
      </w:r>
    </w:p>
    <w:p w14:paraId="019CF8BC" w14:textId="77777777" w:rsidR="00E744F3" w:rsidRDefault="003D5C13" w:rsidP="00C07F9E">
      <w:pPr>
        <w:spacing w:after="180" w:line="340" w:lineRule="auto"/>
        <w:rPr>
          <w:rFonts w:cs="Times New Roman"/>
        </w:rPr>
      </w:pPr>
      <w:r>
        <w:rPr>
          <w:color w:val="1A1A1A"/>
        </w:rPr>
        <w:t>لا يتمثل الإسهام الأهم للكتاب في قائمة الأمثلة، بل في عمق تحليله للعملية الداخلية التي تنتهجها هذه المؤسسات؛ إذ يطوّر غوفمان مفهوم «مسار التفكيك الذاتي» (</w:t>
      </w:r>
      <w:proofErr w:type="spellStart"/>
      <w:r>
        <w:rPr>
          <w:color w:val="1A1A1A"/>
        </w:rPr>
        <w:t>Mortification</w:t>
      </w:r>
      <w:proofErr w:type="spellEnd"/>
      <w:r>
        <w:rPr>
          <w:color w:val="1A1A1A"/>
        </w:rPr>
        <w:t xml:space="preserve"> </w:t>
      </w:r>
      <w:proofErr w:type="spellStart"/>
      <w:r>
        <w:rPr>
          <w:color w:val="1A1A1A"/>
        </w:rPr>
        <w:t>of</w:t>
      </w:r>
      <w:proofErr w:type="spellEnd"/>
      <w:r>
        <w:rPr>
          <w:color w:val="1A1A1A"/>
        </w:rPr>
        <w:t xml:space="preserve"> </w:t>
      </w:r>
      <w:proofErr w:type="spellStart"/>
      <w:r>
        <w:rPr>
          <w:color w:val="1A1A1A"/>
        </w:rPr>
        <w:t>the</w:t>
      </w:r>
      <w:proofErr w:type="spellEnd"/>
      <w:r>
        <w:rPr>
          <w:color w:val="1A1A1A"/>
        </w:rPr>
        <w:t xml:space="preserve"> </w:t>
      </w:r>
      <w:proofErr w:type="spellStart"/>
      <w:r>
        <w:rPr>
          <w:color w:val="1A1A1A"/>
        </w:rPr>
        <w:t>Self</w:t>
      </w:r>
      <w:proofErr w:type="spellEnd"/>
      <w:r>
        <w:rPr>
          <w:color w:val="1A1A1A"/>
        </w:rPr>
        <w:t>)، وهو عملية منهجية تتبعها المؤسسة الشاملة لتفتيت هوية الفرد السابقة وإعادة بنائها وفق معاييرها الخاصة.</w:t>
      </w:r>
    </w:p>
    <w:p w14:paraId="7DFEF659" w14:textId="77777777" w:rsidR="00E744F3" w:rsidRDefault="003D5C13" w:rsidP="00C07F9E">
      <w:pPr>
        <w:spacing w:after="180" w:line="340" w:lineRule="auto"/>
        <w:rPr>
          <w:rFonts w:cs="Times New Roman"/>
        </w:rPr>
      </w:pPr>
      <w:r>
        <w:rPr>
          <w:color w:val="1A1A1A"/>
        </w:rPr>
        <w:t>ويبدأ مسار التفكيك من لحظة الدخول، إذ تشمل إجراءات الاستقبال في مستشفى سانت إليزابيث مثلاً نزع الملابس الشخصية وارتداء الزي الموحد، وأخذ البصمات، وتسجيل التاريخ الشخصي بصيغة «المريض»، والتخلي عن الممتلكات الشخصية. وهذه الإجراءات ليست عشوائية، بل طقوس تحوّل يتخلى فيها الفرد عن هويته الخارجية السابقة ويرتدي هوية المؤسسة الجديدة.</w:t>
      </w:r>
    </w:p>
    <w:tbl>
      <w:tblPr>
        <w:tblW w:w="9350" w:type="dxa"/>
        <w:tblInd w:w="1" w:type="dxa"/>
        <w:tblBorders>
          <w:top w:val="single" w:sz="6" w:space="0" w:color="B8912B"/>
          <w:left w:val="single" w:sz="6" w:space="0" w:color="B8912B"/>
          <w:bottom w:val="single" w:sz="6" w:space="0" w:color="B8912B"/>
          <w:right w:val="single" w:sz="6" w:space="0" w:color="B8912B"/>
        </w:tblBorders>
        <w:tblCellMar>
          <w:left w:w="10" w:type="dxa"/>
          <w:right w:w="10" w:type="dxa"/>
        </w:tblCellMar>
        <w:tblLook w:val="0000" w:firstRow="0" w:lastRow="0" w:firstColumn="0" w:lastColumn="0" w:noHBand="0" w:noVBand="0"/>
      </w:tblPr>
      <w:tblGrid>
        <w:gridCol w:w="9350"/>
      </w:tblGrid>
      <w:tr w:rsidR="00E744F3" w14:paraId="0C71398E" w14:textId="77777777">
        <w:tblPrEx>
          <w:tblCellMar>
            <w:top w:w="0" w:type="dxa"/>
            <w:bottom w:w="0" w:type="dxa"/>
          </w:tblCellMar>
        </w:tblPrEx>
        <w:tc>
          <w:tcPr>
            <w:tcW w:w="9350" w:type="dxa"/>
            <w:shd w:val="clear" w:color="auto" w:fill="FBF3E1"/>
            <w:tcMar>
              <w:top w:w="160" w:type="dxa"/>
              <w:left w:w="220" w:type="dxa"/>
              <w:bottom w:w="160" w:type="dxa"/>
              <w:right w:w="220" w:type="dxa"/>
            </w:tcMar>
          </w:tcPr>
          <w:p w14:paraId="393DB20E" w14:textId="77777777" w:rsidR="00E744F3" w:rsidRDefault="003D5C13" w:rsidP="00C07F9E">
            <w:pPr>
              <w:spacing w:after="100"/>
              <w:rPr>
                <w:rFonts w:cs="Times New Roman"/>
              </w:rPr>
            </w:pPr>
            <w:r>
              <w:rPr>
                <w:b/>
                <w:bCs/>
                <w:color w:val="1F3A5F"/>
              </w:rPr>
              <w:t>آليات تفكيك الذات في المؤسسات الشاملة</w:t>
            </w:r>
          </w:p>
          <w:p w14:paraId="0EE4A82B" w14:textId="77777777" w:rsidR="00E744F3" w:rsidRDefault="003D5C13" w:rsidP="00C07F9E">
            <w:pPr>
              <w:pStyle w:val="a4"/>
              <w:numPr>
                <w:ilvl w:val="0"/>
                <w:numId w:val="2"/>
              </w:numPr>
              <w:bidi/>
              <w:spacing w:after="90" w:line="320" w:lineRule="auto"/>
              <w:rPr>
                <w:rFonts w:cs="Times New Roman"/>
              </w:rPr>
            </w:pPr>
            <w:r>
              <w:rPr>
                <w:color w:val="1A1A1A"/>
                <w:sz w:val="22"/>
                <w:szCs w:val="22"/>
              </w:rPr>
              <w:t>طقوس الدخول: نزع الملابس، وأخذ البصمات، وتسجيل الاسم المؤسسي.</w:t>
            </w:r>
          </w:p>
          <w:p w14:paraId="75142E5E" w14:textId="77777777" w:rsidR="00E744F3" w:rsidRDefault="003D5C13" w:rsidP="00C07F9E">
            <w:pPr>
              <w:pStyle w:val="a4"/>
              <w:numPr>
                <w:ilvl w:val="0"/>
                <w:numId w:val="2"/>
              </w:numPr>
              <w:bidi/>
              <w:spacing w:after="90" w:line="320" w:lineRule="auto"/>
              <w:rPr>
                <w:rFonts w:cs="Times New Roman"/>
              </w:rPr>
            </w:pPr>
            <w:r>
              <w:rPr>
                <w:color w:val="1A1A1A"/>
                <w:sz w:val="22"/>
                <w:szCs w:val="22"/>
              </w:rPr>
              <w:t>التجريد من الخصوصية: المراقبة المستمرة وغياب المساحة الشخصية.</w:t>
            </w:r>
          </w:p>
          <w:p w14:paraId="2243C78F" w14:textId="77777777" w:rsidR="00E744F3" w:rsidRDefault="003D5C13" w:rsidP="00C07F9E">
            <w:pPr>
              <w:pStyle w:val="a4"/>
              <w:numPr>
                <w:ilvl w:val="0"/>
                <w:numId w:val="2"/>
              </w:numPr>
              <w:bidi/>
              <w:spacing w:after="90" w:line="320" w:lineRule="auto"/>
              <w:rPr>
                <w:rFonts w:cs="Times New Roman"/>
              </w:rPr>
            </w:pPr>
            <w:r>
              <w:rPr>
                <w:color w:val="1A1A1A"/>
                <w:sz w:val="22"/>
                <w:szCs w:val="22"/>
              </w:rPr>
              <w:t>التحكم في الحاجات الأساسية: الطعام والنوم والتواصل.</w:t>
            </w:r>
          </w:p>
          <w:p w14:paraId="1D4B72B9" w14:textId="77777777" w:rsidR="00E744F3" w:rsidRDefault="003D5C13" w:rsidP="00C07F9E">
            <w:pPr>
              <w:pStyle w:val="a4"/>
              <w:numPr>
                <w:ilvl w:val="0"/>
                <w:numId w:val="2"/>
              </w:numPr>
              <w:bidi/>
              <w:spacing w:after="90" w:line="320" w:lineRule="auto"/>
              <w:rPr>
                <w:rFonts w:cs="Times New Roman"/>
              </w:rPr>
            </w:pPr>
            <w:r>
              <w:rPr>
                <w:color w:val="1A1A1A"/>
                <w:sz w:val="22"/>
                <w:szCs w:val="22"/>
              </w:rPr>
              <w:t>الإذلال المنهجي: الخضوع للأوامر والنقد العلني.</w:t>
            </w:r>
          </w:p>
          <w:p w14:paraId="727CD867" w14:textId="77777777" w:rsidR="00E744F3" w:rsidRDefault="003D5C13" w:rsidP="00C07F9E">
            <w:pPr>
              <w:pStyle w:val="a4"/>
              <w:numPr>
                <w:ilvl w:val="0"/>
                <w:numId w:val="2"/>
              </w:numPr>
              <w:bidi/>
              <w:spacing w:after="90" w:line="320" w:lineRule="auto"/>
              <w:rPr>
                <w:rFonts w:cs="Times New Roman"/>
              </w:rPr>
            </w:pPr>
            <w:r>
              <w:rPr>
                <w:color w:val="1A1A1A"/>
                <w:sz w:val="22"/>
                <w:szCs w:val="22"/>
              </w:rPr>
              <w:t>إعادة كتابة التاريخ الشخصي وفق سردية المؤسسة.</w:t>
            </w:r>
          </w:p>
          <w:p w14:paraId="3A86E646" w14:textId="77777777" w:rsidR="00E744F3" w:rsidRDefault="003D5C13" w:rsidP="00C07F9E">
            <w:pPr>
              <w:pStyle w:val="a4"/>
              <w:numPr>
                <w:ilvl w:val="0"/>
                <w:numId w:val="2"/>
              </w:numPr>
              <w:bidi/>
              <w:spacing w:after="90" w:line="320" w:lineRule="auto"/>
              <w:rPr>
                <w:rFonts w:cs="Times New Roman"/>
              </w:rPr>
            </w:pPr>
            <w:r>
              <w:rPr>
                <w:color w:val="1A1A1A"/>
                <w:sz w:val="22"/>
                <w:szCs w:val="22"/>
              </w:rPr>
              <w:t>بناء نظام درجات يحكم امتيازات النزلاء.</w:t>
            </w:r>
          </w:p>
          <w:p w14:paraId="643CD2D6" w14:textId="77777777" w:rsidR="00E744F3" w:rsidRDefault="003D5C13" w:rsidP="00C07F9E">
            <w:pPr>
              <w:pStyle w:val="a4"/>
              <w:numPr>
                <w:ilvl w:val="0"/>
                <w:numId w:val="2"/>
              </w:numPr>
              <w:bidi/>
              <w:spacing w:after="90" w:line="320" w:lineRule="auto"/>
              <w:rPr>
                <w:rFonts w:cs="Times New Roman"/>
              </w:rPr>
            </w:pPr>
            <w:r>
              <w:rPr>
                <w:color w:val="1A1A1A"/>
                <w:sz w:val="22"/>
                <w:szCs w:val="22"/>
              </w:rPr>
              <w:t>احتكار الوقت ومنع أي نشاط غير مُجدول.</w:t>
            </w:r>
          </w:p>
        </w:tc>
      </w:tr>
    </w:tbl>
    <w:p w14:paraId="6EB9BFF2" w14:textId="77777777" w:rsidR="00E744F3" w:rsidRDefault="003D5C13" w:rsidP="00C07F9E">
      <w:pPr>
        <w:pStyle w:val="2"/>
        <w:bidi/>
        <w:spacing w:before="300" w:after="140"/>
        <w:rPr>
          <w:rFonts w:cs="Times New Roman"/>
        </w:rPr>
      </w:pPr>
      <w:r>
        <w:rPr>
          <w:b/>
          <w:bCs/>
          <w:color w:val="2E7D7B"/>
        </w:rPr>
        <w:t>7.3 مقاومة النزلاء: الإنسان لا يُهزم</w:t>
      </w:r>
    </w:p>
    <w:p w14:paraId="67058C11" w14:textId="77777777" w:rsidR="00E744F3" w:rsidRDefault="003D5C13" w:rsidP="00C07F9E">
      <w:pPr>
        <w:spacing w:after="180" w:line="340" w:lineRule="auto"/>
        <w:rPr>
          <w:rFonts w:cs="Times New Roman"/>
        </w:rPr>
      </w:pPr>
      <w:r>
        <w:rPr>
          <w:color w:val="1A1A1A"/>
        </w:rPr>
        <w:t>لا يقتصر الكتاب على توثيق آليات السيطرة، بل يُعير غوفمان اهتماماً مساوياً لكيفية مقاومة النزلاء لهذه الآليات، وكيف يحافظون على مساحات من ذاتيتهم في مواجهة مؤسسة تسعى إلى تفكيكها. ويسمي هذه الاستراتيجيات «التكيّفات الثانوية» (</w:t>
      </w:r>
      <w:proofErr w:type="spellStart"/>
      <w:r>
        <w:rPr>
          <w:color w:val="1A1A1A"/>
        </w:rPr>
        <w:t>Secondary</w:t>
      </w:r>
      <w:proofErr w:type="spellEnd"/>
      <w:r>
        <w:rPr>
          <w:color w:val="1A1A1A"/>
        </w:rPr>
        <w:t xml:space="preserve"> </w:t>
      </w:r>
      <w:proofErr w:type="spellStart"/>
      <w:r>
        <w:rPr>
          <w:color w:val="1A1A1A"/>
        </w:rPr>
        <w:t>Adjustments</w:t>
      </w:r>
      <w:proofErr w:type="spellEnd"/>
      <w:r>
        <w:rPr>
          <w:color w:val="1A1A1A"/>
        </w:rPr>
        <w:t xml:space="preserve">): فقد طوّر مرضى سانت إليزابيث شبكات تبادل سرية، واكتسبوا وجهات خاصة داخل الحديقة، وأنشأوا جماعات صغيرة ذات </w:t>
      </w:r>
      <w:proofErr w:type="spellStart"/>
      <w:r>
        <w:rPr>
          <w:color w:val="1A1A1A"/>
        </w:rPr>
        <w:t>هيراركية</w:t>
      </w:r>
      <w:proofErr w:type="spellEnd"/>
      <w:r>
        <w:rPr>
          <w:color w:val="1A1A1A"/>
        </w:rPr>
        <w:t xml:space="preserve"> غير رسمية، وابتكروا طقوساً خاصة بهم؛ وهي تكيّفات تكشف أن الإنسانية لا تُستأصل بسهولة، وأن الهوية تجد دوماً فجوات للبقاء.</w:t>
      </w:r>
    </w:p>
    <w:p w14:paraId="5ADB4A41" w14:textId="77777777" w:rsidR="00E744F3" w:rsidRDefault="003D5C13" w:rsidP="00C07F9E">
      <w:pPr>
        <w:spacing w:after="180" w:line="340" w:lineRule="auto"/>
        <w:rPr>
          <w:rFonts w:cs="Times New Roman"/>
        </w:rPr>
      </w:pPr>
      <w:r>
        <w:rPr>
          <w:color w:val="1A1A1A"/>
        </w:rPr>
        <w:t>ويضع هذا التوازن في التحليل — بين آليات الهيمنة ومقاومة الذات لها — كتاب «المؤسسات الشاملة» في مصاف الأعمال الأكثر اكتمالاً في تحليل العلاقة بين السلطة والإنسان.</w:t>
      </w:r>
    </w:p>
    <w:p w14:paraId="29BC96E7" w14:textId="77777777" w:rsidR="00E744F3" w:rsidRDefault="003D5C13" w:rsidP="00C07F9E">
      <w:pPr>
        <w:pStyle w:val="2"/>
        <w:bidi/>
        <w:spacing w:before="300" w:after="140"/>
        <w:rPr>
          <w:rFonts w:cs="Times New Roman"/>
        </w:rPr>
      </w:pPr>
      <w:r>
        <w:rPr>
          <w:b/>
          <w:bCs/>
          <w:color w:val="2E7D7B"/>
        </w:rPr>
        <w:t>7.4 الأثر النظري: غوفمان وميشيل فوكو</w:t>
      </w:r>
    </w:p>
    <w:p w14:paraId="42F5D5FD" w14:textId="77777777" w:rsidR="00E744F3" w:rsidRDefault="003D5C13" w:rsidP="00C07F9E">
      <w:pPr>
        <w:spacing w:after="180" w:line="340" w:lineRule="auto"/>
        <w:rPr>
          <w:rFonts w:cs="Times New Roman"/>
        </w:rPr>
      </w:pPr>
      <w:r>
        <w:rPr>
          <w:color w:val="1A1A1A"/>
        </w:rPr>
        <w:t>قدّر الفيلسوف الفرنسي ميشيل فوكو عمل غوفمان، وإن لم يُشر إليه إشارة كافية في كتابه «مراقبة ومعاقبة». وثمة تقاطعات موضوعية عميقة بين المشروعين: فكلاهما يدرس المؤسسات المغلقة، وكلاهما يحلل كيفية تشكيل المؤسسات للأفراد، وكلاهما يكشف ما وراء الخطابات المعلنة من آليات ضبط. غير أنهما يختلفان منهجياً اختلافاً جوهرياً: ففوكو مقاربته ماكرو-تاريخية تأويلية، في حين أن غوفمان ميكرو-</w:t>
      </w:r>
      <w:proofErr w:type="spellStart"/>
      <w:r>
        <w:rPr>
          <w:color w:val="1A1A1A"/>
        </w:rPr>
        <w:t>إثنوغرافي</w:t>
      </w:r>
      <w:proofErr w:type="spellEnd"/>
      <w:r>
        <w:rPr>
          <w:color w:val="1A1A1A"/>
        </w:rPr>
        <w:t xml:space="preserve"> تفاعلي.</w:t>
      </w:r>
    </w:p>
    <w:p w14:paraId="6C1F1BFB" w14:textId="77777777" w:rsidR="00E744F3" w:rsidRDefault="003D5C13" w:rsidP="00C07F9E">
      <w:pPr>
        <w:spacing w:after="180" w:line="340" w:lineRule="auto"/>
        <w:rPr>
          <w:rFonts w:cs="Times New Roman"/>
        </w:rPr>
      </w:pPr>
      <w:r>
        <w:rPr>
          <w:color w:val="1A1A1A"/>
        </w:rPr>
        <w:t>ويكمن الفارق الجوهري بينهما في أن غوفمان لا يُلغي صوت الفاعل الإنساني؛ فالإنسان في كتاباته يُقاوم ويتكيّف ويحتال ويبتكر، بينما تبدو السلطة عند فوكو أحياناً نسيجاً لا مفرّ منه. وربما يعود ذلك إلى انخراط غوفمان المباشر في الملاحظة الميدانية، الذي أبقاه دوماً منبهراً بالدهاء الإنساني في إيجاد سبل للحياة.</w:t>
      </w:r>
    </w:p>
    <w:p w14:paraId="00815A8F" w14:textId="77777777" w:rsidR="00E744F3" w:rsidRDefault="003D5C13" w:rsidP="00C07F9E">
      <w:pPr>
        <w:pageBreakBefore/>
        <w:spacing w:after="60"/>
        <w:rPr>
          <w:rFonts w:cs="Times New Roman"/>
        </w:rPr>
      </w:pPr>
      <w:r>
        <w:rPr>
          <w:b/>
          <w:bCs/>
          <w:color w:val="B8912B"/>
          <w:sz w:val="22"/>
          <w:szCs w:val="22"/>
        </w:rPr>
        <w:t>الفصل الثامن</w:t>
      </w:r>
    </w:p>
    <w:p w14:paraId="7D7BC27D" w14:textId="77777777" w:rsidR="00E744F3" w:rsidRDefault="003D5C13" w:rsidP="00C07F9E">
      <w:pPr>
        <w:pStyle w:val="1"/>
        <w:pBdr>
          <w:bottom w:val="single" w:sz="12" w:space="8" w:color="2E7D7B"/>
        </w:pBdr>
        <w:bidi/>
        <w:spacing w:after="320"/>
        <w:rPr>
          <w:rFonts w:cs="Times New Roman"/>
        </w:rPr>
      </w:pPr>
      <w:r>
        <w:rPr>
          <w:b/>
          <w:bCs/>
          <w:color w:val="1F3A5F"/>
          <w:sz w:val="34"/>
          <w:szCs w:val="34"/>
        </w:rPr>
        <w:t>نظام التفاعل والمجال العام</w:t>
      </w:r>
    </w:p>
    <w:p w14:paraId="0FE12B80" w14:textId="77777777" w:rsidR="00E744F3" w:rsidRDefault="003D5C13" w:rsidP="00C07F9E">
      <w:pPr>
        <w:pStyle w:val="2"/>
        <w:bidi/>
        <w:spacing w:before="300" w:after="140"/>
        <w:rPr>
          <w:rFonts w:cs="Times New Roman"/>
        </w:rPr>
      </w:pPr>
      <w:r>
        <w:rPr>
          <w:b/>
          <w:bCs/>
          <w:color w:val="2E7D7B"/>
        </w:rPr>
        <w:t>8.1 نظام التفاعل: ما وراء البنى الكبرى</w:t>
      </w:r>
    </w:p>
    <w:p w14:paraId="4C4E96B4" w14:textId="77777777" w:rsidR="00E744F3" w:rsidRDefault="003D5C13" w:rsidP="00C07F9E">
      <w:pPr>
        <w:spacing w:after="180" w:line="340" w:lineRule="auto"/>
        <w:rPr>
          <w:rFonts w:cs="Times New Roman"/>
        </w:rPr>
      </w:pPr>
      <w:r>
        <w:rPr>
          <w:color w:val="1A1A1A"/>
        </w:rPr>
        <w:t>جادل غوفمان في مقالته الرئاسية «نظام التفاعل» (</w:t>
      </w:r>
      <w:proofErr w:type="spellStart"/>
      <w:r>
        <w:rPr>
          <w:color w:val="1A1A1A"/>
        </w:rPr>
        <w:t>The</w:t>
      </w:r>
      <w:proofErr w:type="spellEnd"/>
      <w:r>
        <w:rPr>
          <w:color w:val="1A1A1A"/>
        </w:rPr>
        <w:t xml:space="preserve"> </w:t>
      </w:r>
      <w:proofErr w:type="spellStart"/>
      <w:r>
        <w:rPr>
          <w:color w:val="1A1A1A"/>
        </w:rPr>
        <w:t>Interaction</w:t>
      </w:r>
      <w:proofErr w:type="spellEnd"/>
      <w:r>
        <w:rPr>
          <w:color w:val="1A1A1A"/>
        </w:rPr>
        <w:t xml:space="preserve"> </w:t>
      </w:r>
      <w:proofErr w:type="spellStart"/>
      <w:r>
        <w:rPr>
          <w:color w:val="1A1A1A"/>
        </w:rPr>
        <w:t>Order</w:t>
      </w:r>
      <w:proofErr w:type="spellEnd"/>
      <w:r>
        <w:rPr>
          <w:color w:val="1A1A1A"/>
        </w:rPr>
        <w:t>)، التي كتبها ولم يُلقها، بأن التفاعلات وجهاً لوجه تشكّل مستوى مستقلاً من الواقع الاجتماعي يستحق الدراسة بذاته، بمعزل عن البنى الاجتماعية الكبرى كالطبقة والدولة والسوق، وبمعزل أيضاً عن علم النفس الفردي.</w:t>
      </w:r>
    </w:p>
    <w:p w14:paraId="7DF862FC" w14:textId="77777777" w:rsidR="00E744F3" w:rsidRDefault="003D5C13" w:rsidP="00C07F9E">
      <w:pPr>
        <w:spacing w:after="180" w:line="340" w:lineRule="auto"/>
        <w:rPr>
          <w:rFonts w:cs="Times New Roman"/>
        </w:rPr>
      </w:pPr>
      <w:r>
        <w:rPr>
          <w:color w:val="1A1A1A"/>
        </w:rPr>
        <w:t>ولهذا المستوى، الذي يسميه «نظام التفاعل»، قواعده وضوابطه وطقوسه الخاصة: قواعد المرور في الشارع، وطقوس التحية، وآليات تنظيم الدور في الحوار، وإدارة مسافة التقارب الجسدي، وهي جميعاً تخضع لمنطق داخلي خاص لا يمكن اختزاله في متغيرات اقتصادية أو نفسية.</w:t>
      </w:r>
    </w:p>
    <w:p w14:paraId="3CFA5775" w14:textId="77777777" w:rsidR="00E744F3" w:rsidRDefault="003D5C13" w:rsidP="00C07F9E">
      <w:pPr>
        <w:pStyle w:val="2"/>
        <w:bidi/>
        <w:spacing w:before="300" w:after="140"/>
        <w:rPr>
          <w:rFonts w:cs="Times New Roman"/>
        </w:rPr>
      </w:pPr>
      <w:r>
        <w:rPr>
          <w:b/>
          <w:bCs/>
          <w:color w:val="2E7D7B"/>
        </w:rPr>
        <w:t>8.2 السلوك في الأماكن العامة</w:t>
      </w:r>
    </w:p>
    <w:p w14:paraId="6AF9EB5C" w14:textId="77777777" w:rsidR="00E744F3" w:rsidRDefault="003D5C13" w:rsidP="00C07F9E">
      <w:pPr>
        <w:spacing w:after="180" w:line="340" w:lineRule="auto"/>
        <w:rPr>
          <w:rFonts w:cs="Times New Roman"/>
        </w:rPr>
      </w:pPr>
      <w:r>
        <w:rPr>
          <w:color w:val="1A1A1A"/>
        </w:rPr>
        <w:t>يُعدّ كتاب «السلوك في الأماكن العامة» (1963) من أكثر أعماله دقة في رصد الحياة اليومية، إذ يحلل فيه كيفية تنظيم الأفراد لحضورهم الجسدي والبصري في الفضاء العام: الشارع، والمتجر، والمطعم، والمسرح.</w:t>
      </w:r>
    </w:p>
    <w:p w14:paraId="10C709AF" w14:textId="77777777" w:rsidR="00E744F3" w:rsidRDefault="003D5C13" w:rsidP="00C07F9E">
      <w:pPr>
        <w:spacing w:after="180" w:line="340" w:lineRule="auto"/>
        <w:rPr>
          <w:rFonts w:cs="Times New Roman"/>
        </w:rPr>
      </w:pPr>
      <w:r>
        <w:rPr>
          <w:color w:val="1A1A1A"/>
        </w:rPr>
        <w:t>ومن أشهر مفاهيمه في هذا السياق «اللامبالاة المدنية» (</w:t>
      </w:r>
      <w:proofErr w:type="spellStart"/>
      <w:r>
        <w:rPr>
          <w:color w:val="1A1A1A"/>
        </w:rPr>
        <w:t>Civil</w:t>
      </w:r>
      <w:proofErr w:type="spellEnd"/>
      <w:r>
        <w:rPr>
          <w:color w:val="1A1A1A"/>
        </w:rPr>
        <w:t xml:space="preserve"> </w:t>
      </w:r>
      <w:proofErr w:type="spellStart"/>
      <w:r>
        <w:rPr>
          <w:color w:val="1A1A1A"/>
        </w:rPr>
        <w:t>Inattention</w:t>
      </w:r>
      <w:proofErr w:type="spellEnd"/>
      <w:r>
        <w:rPr>
          <w:color w:val="1A1A1A"/>
        </w:rPr>
        <w:t xml:space="preserve">)، وهو تعبير دقيق يُشير إلى القاعدة الضمنية السائدة في المجتمعات الحضرية، التي تقتضي الاعتراف بوجود الآخرين دون اختراق خصوصيتهم؛ فحين يعبر المرء شخصاً في الشارع، ينظر إليه لحظة ثم يصرف بصره، ليقول بهذه الإيماءة الصامتة: رأيتك، لكنني لن أحدّق، فلست تهديداً ولا شأن لي بك. وتُعدّ هذه الرقصة البصرية الدقيقة، التي لا </w:t>
      </w:r>
      <w:proofErr w:type="spellStart"/>
      <w:r>
        <w:rPr>
          <w:color w:val="1A1A1A"/>
        </w:rPr>
        <w:t>يلحظها</w:t>
      </w:r>
      <w:proofErr w:type="spellEnd"/>
      <w:r>
        <w:rPr>
          <w:color w:val="1A1A1A"/>
        </w:rPr>
        <w:t xml:space="preserve"> أحد بوعي، الصمغ الاجتماعي الذي يتيح لأعداد هائلة من الغرباء التعايش في المدينة دون احتكاك.</w:t>
      </w:r>
    </w:p>
    <w:p w14:paraId="3ECB2935" w14:textId="77777777" w:rsidR="00E744F3" w:rsidRDefault="003D5C13" w:rsidP="00C07F9E">
      <w:pPr>
        <w:pBdr>
          <w:right w:val="single" w:sz="18" w:space="12" w:color="2E7D7B"/>
        </w:pBdr>
        <w:shd w:val="clear" w:color="auto" w:fill="EAF2F1"/>
        <w:spacing w:before="200" w:after="40"/>
        <w:ind w:left="400" w:right="400"/>
        <w:rPr>
          <w:rFonts w:cs="Times New Roman"/>
        </w:rPr>
      </w:pPr>
      <w:r>
        <w:rPr>
          <w:i/>
          <w:iCs/>
          <w:color w:val="1F3A5F"/>
          <w:sz w:val="23"/>
          <w:szCs w:val="23"/>
        </w:rPr>
        <w:t>«نُولي بعضنا انتباهاً كافياً لنُثبت أننا لاحظنا وجود الآخر، ثم ننسحب من اهتمامنا لنُثبت أننا لن نتدخل؛ وهذه هي اللامبالاة المدنية»</w:t>
      </w:r>
    </w:p>
    <w:p w14:paraId="12F8BDA8" w14:textId="77777777" w:rsidR="00E744F3" w:rsidRDefault="003D5C13" w:rsidP="00C07F9E">
      <w:pPr>
        <w:pBdr>
          <w:right w:val="single" w:sz="18" w:space="12" w:color="2E7D7B"/>
        </w:pBdr>
        <w:shd w:val="clear" w:color="auto" w:fill="EAF2F1"/>
        <w:spacing w:after="220"/>
        <w:ind w:left="400" w:right="400"/>
        <w:rPr>
          <w:rFonts w:cs="Times New Roman"/>
        </w:rPr>
      </w:pPr>
      <w:r>
        <w:rPr>
          <w:b/>
          <w:bCs/>
          <w:color w:val="2E7D7B"/>
          <w:sz w:val="20"/>
          <w:szCs w:val="20"/>
        </w:rPr>
        <w:t xml:space="preserve">— </w:t>
      </w:r>
      <w:proofErr w:type="spellStart"/>
      <w:r>
        <w:rPr>
          <w:b/>
          <w:bCs/>
          <w:color w:val="2E7D7B"/>
          <w:sz w:val="20"/>
          <w:szCs w:val="20"/>
        </w:rPr>
        <w:t>إرفينغ</w:t>
      </w:r>
      <w:proofErr w:type="spellEnd"/>
      <w:r>
        <w:rPr>
          <w:b/>
          <w:bCs/>
          <w:color w:val="2E7D7B"/>
          <w:sz w:val="20"/>
          <w:szCs w:val="20"/>
        </w:rPr>
        <w:t xml:space="preserve"> غوفمان</w:t>
      </w:r>
    </w:p>
    <w:p w14:paraId="6B90A2FB" w14:textId="77777777" w:rsidR="00E744F3" w:rsidRDefault="003D5C13" w:rsidP="00C07F9E">
      <w:pPr>
        <w:pStyle w:val="2"/>
        <w:bidi/>
        <w:spacing w:before="300" w:after="140"/>
        <w:rPr>
          <w:rFonts w:cs="Times New Roman"/>
        </w:rPr>
      </w:pPr>
      <w:r>
        <w:rPr>
          <w:b/>
          <w:bCs/>
          <w:color w:val="2E7D7B"/>
        </w:rPr>
        <w:t>8.3 الطقوس التفاعلية وحفظ ماء الوجه</w:t>
      </w:r>
    </w:p>
    <w:p w14:paraId="26C965EE" w14:textId="77777777" w:rsidR="00E744F3" w:rsidRDefault="003D5C13">
      <w:pPr>
        <w:spacing w:after="180" w:line="340" w:lineRule="auto"/>
        <w:jc w:val="both"/>
        <w:rPr>
          <w:rFonts w:cs="Times New Roman"/>
        </w:rPr>
      </w:pPr>
      <w:r>
        <w:rPr>
          <w:color w:val="1A1A1A"/>
        </w:rPr>
        <w:t>في كتاب «الترتيبات التفاعلية» (</w:t>
      </w:r>
      <w:proofErr w:type="spellStart"/>
      <w:r>
        <w:rPr>
          <w:color w:val="1A1A1A"/>
        </w:rPr>
        <w:t>Interaction</w:t>
      </w:r>
      <w:proofErr w:type="spellEnd"/>
      <w:r>
        <w:rPr>
          <w:color w:val="1A1A1A"/>
        </w:rPr>
        <w:t xml:space="preserve"> </w:t>
      </w:r>
      <w:proofErr w:type="spellStart"/>
      <w:r>
        <w:rPr>
          <w:color w:val="1A1A1A"/>
        </w:rPr>
        <w:t>Ritual</w:t>
      </w:r>
      <w:proofErr w:type="spellEnd"/>
      <w:r>
        <w:rPr>
          <w:color w:val="1A1A1A"/>
        </w:rPr>
        <w:t xml:space="preserve">، 1967)، يدمج غوفمان منظوره مع المنظور </w:t>
      </w:r>
      <w:proofErr w:type="spellStart"/>
      <w:r>
        <w:rPr>
          <w:color w:val="1A1A1A"/>
        </w:rPr>
        <w:t>الدوركهايمي</w:t>
      </w:r>
      <w:proofErr w:type="spellEnd"/>
      <w:r>
        <w:rPr>
          <w:color w:val="1A1A1A"/>
        </w:rPr>
        <w:t xml:space="preserve"> حول الطقوس الاجتماعية؛ فبينما درس </w:t>
      </w:r>
      <w:proofErr w:type="spellStart"/>
      <w:r>
        <w:rPr>
          <w:color w:val="1A1A1A"/>
        </w:rPr>
        <w:t>دوركهايم</w:t>
      </w:r>
      <w:proofErr w:type="spellEnd"/>
      <w:r>
        <w:rPr>
          <w:color w:val="1A1A1A"/>
        </w:rPr>
        <w:t xml:space="preserve"> الطقوس الدينية بوصفها آليات للتماسك الجمعي، يُجرّد غوفمان هذا المفهوم ويعيد تطبيقه على الطقوس الدنيوية اليومية كالتحية وطلب المعذرة والشكر والإطراء، معتبراً إياها طقوساً صغيرة تُرمّم النسيج الاجتماعي وتُعيد تأكيد القيم المشتركة.</w:t>
      </w:r>
    </w:p>
    <w:p w14:paraId="175820C6" w14:textId="77777777" w:rsidR="00E744F3" w:rsidRDefault="003D5C13">
      <w:pPr>
        <w:spacing w:after="180" w:line="340" w:lineRule="auto"/>
        <w:jc w:val="both"/>
        <w:rPr>
          <w:rFonts w:cs="Times New Roman"/>
        </w:rPr>
      </w:pPr>
      <w:r>
        <w:rPr>
          <w:color w:val="1A1A1A"/>
        </w:rPr>
        <w:t>وفي هذا السياق يظهر مفهوم «حفظ ماء الوجه» (</w:t>
      </w:r>
      <w:proofErr w:type="spellStart"/>
      <w:r>
        <w:rPr>
          <w:color w:val="1A1A1A"/>
        </w:rPr>
        <w:t>Face-Work</w:t>
      </w:r>
      <w:proofErr w:type="spellEnd"/>
      <w:r>
        <w:rPr>
          <w:color w:val="1A1A1A"/>
        </w:rPr>
        <w:t>)، المستوحى من المفهوم الصيني «الوجه» (</w:t>
      </w:r>
      <w:proofErr w:type="spellStart"/>
      <w:r>
        <w:rPr>
          <w:color w:val="1A1A1A"/>
        </w:rPr>
        <w:t>Face</w:t>
      </w:r>
      <w:proofErr w:type="spellEnd"/>
      <w:r>
        <w:rPr>
          <w:color w:val="1A1A1A"/>
        </w:rPr>
        <w:t>/</w:t>
      </w:r>
      <w:proofErr w:type="spellStart"/>
      <w:r>
        <w:rPr>
          <w:color w:val="1A1A1A"/>
        </w:rPr>
        <w:t>Mianzi</w:t>
      </w:r>
      <w:proofErr w:type="spellEnd"/>
      <w:r>
        <w:rPr>
          <w:color w:val="1A1A1A"/>
        </w:rPr>
        <w:t>)؛ إذ يتضمن كل تفاعل تبادلاً لعملة اجتماعية رمزية هي الوجه، بما يثبت مكانة المتحدث ومكانة مخاطبه في آن معاً. ويُعدّ حفظ ماء الوجه — سواء وجه الفرد أو وجه الآخر — من أقوى المحركات في السلوك اليومي، وقد حلله غوفمان بدقة تحليلية بالغة.</w:t>
      </w:r>
    </w:p>
    <w:p w14:paraId="2AEE0015" w14:textId="77777777" w:rsidR="00E744F3" w:rsidRDefault="003D5C13">
      <w:pPr>
        <w:pageBreakBefore/>
        <w:spacing w:after="60"/>
        <w:jc w:val="right"/>
        <w:rPr>
          <w:rFonts w:cs="Times New Roman"/>
        </w:rPr>
      </w:pPr>
      <w:r>
        <w:rPr>
          <w:b/>
          <w:bCs/>
          <w:color w:val="B8912B"/>
          <w:sz w:val="22"/>
          <w:szCs w:val="22"/>
        </w:rPr>
        <w:t>الفصل التاسع</w:t>
      </w:r>
    </w:p>
    <w:p w14:paraId="0785E94B" w14:textId="77777777" w:rsidR="00E744F3" w:rsidRDefault="003D5C13">
      <w:pPr>
        <w:pStyle w:val="1"/>
        <w:pBdr>
          <w:bottom w:val="single" w:sz="12" w:space="8" w:color="2E7D7B"/>
        </w:pBdr>
        <w:bidi/>
        <w:spacing w:after="320"/>
        <w:jc w:val="right"/>
        <w:rPr>
          <w:rFonts w:cs="Times New Roman"/>
        </w:rPr>
      </w:pPr>
      <w:r>
        <w:rPr>
          <w:b/>
          <w:bCs/>
          <w:color w:val="1F3A5F"/>
          <w:sz w:val="34"/>
          <w:szCs w:val="34"/>
        </w:rPr>
        <w:t xml:space="preserve">المنهجية </w:t>
      </w:r>
      <w:proofErr w:type="spellStart"/>
      <w:r>
        <w:rPr>
          <w:b/>
          <w:bCs/>
          <w:color w:val="1F3A5F"/>
          <w:sz w:val="34"/>
          <w:szCs w:val="34"/>
        </w:rPr>
        <w:t>السوسيولوجية</w:t>
      </w:r>
      <w:proofErr w:type="spellEnd"/>
      <w:r>
        <w:rPr>
          <w:b/>
          <w:bCs/>
          <w:color w:val="1F3A5F"/>
          <w:sz w:val="34"/>
          <w:szCs w:val="34"/>
        </w:rPr>
        <w:t xml:space="preserve"> عند غوفمان</w:t>
      </w:r>
    </w:p>
    <w:p w14:paraId="3753968C" w14:textId="77777777" w:rsidR="00E744F3" w:rsidRDefault="003D5C13">
      <w:pPr>
        <w:pStyle w:val="2"/>
        <w:bidi/>
        <w:spacing w:before="300" w:after="140"/>
        <w:jc w:val="right"/>
        <w:rPr>
          <w:rFonts w:cs="Times New Roman"/>
        </w:rPr>
      </w:pPr>
      <w:r>
        <w:rPr>
          <w:b/>
          <w:bCs/>
          <w:color w:val="2E7D7B"/>
        </w:rPr>
        <w:t xml:space="preserve">9.1 </w:t>
      </w:r>
      <w:proofErr w:type="spellStart"/>
      <w:r>
        <w:rPr>
          <w:b/>
          <w:bCs/>
          <w:color w:val="2E7D7B"/>
        </w:rPr>
        <w:t>الإثنوغرافيا</w:t>
      </w:r>
      <w:proofErr w:type="spellEnd"/>
      <w:r>
        <w:rPr>
          <w:b/>
          <w:bCs/>
          <w:color w:val="2E7D7B"/>
        </w:rPr>
        <w:t xml:space="preserve"> أداةً أساسية</w:t>
      </w:r>
    </w:p>
    <w:p w14:paraId="1CC34A75" w14:textId="77777777" w:rsidR="00E744F3" w:rsidRDefault="003D5C13">
      <w:pPr>
        <w:spacing w:after="180" w:line="340" w:lineRule="auto"/>
        <w:jc w:val="both"/>
        <w:rPr>
          <w:rFonts w:cs="Times New Roman"/>
        </w:rPr>
      </w:pPr>
      <w:r>
        <w:rPr>
          <w:color w:val="1A1A1A"/>
        </w:rPr>
        <w:t xml:space="preserve">خلافاً لكثير من علماء الاجتماع في جيله ممن اتجهوا نحو الأساليب الكمية </w:t>
      </w:r>
      <w:proofErr w:type="spellStart"/>
      <w:r>
        <w:rPr>
          <w:color w:val="1A1A1A"/>
        </w:rPr>
        <w:t>والمسوحات</w:t>
      </w:r>
      <w:proofErr w:type="spellEnd"/>
      <w:r>
        <w:rPr>
          <w:color w:val="1A1A1A"/>
        </w:rPr>
        <w:t xml:space="preserve"> الإحصائية، أصرّ غوفمان على الملاحظة المباشرة العميقة بوصفها الأداة الأجدر بفهم التفاعلات الإنسانية؛ فالأرقام تُخبر بمعدلات وتوزيعات إحصائية، في حين تُخبر الملاحظة الميدانية بكيفية اشتغال الحياة اليومية من الداخل.</w:t>
      </w:r>
    </w:p>
    <w:p w14:paraId="0B0C3CEE" w14:textId="77777777" w:rsidR="00E744F3" w:rsidRDefault="003D5C13">
      <w:pPr>
        <w:spacing w:after="180" w:line="340" w:lineRule="auto"/>
        <w:jc w:val="both"/>
        <w:rPr>
          <w:rFonts w:cs="Times New Roman"/>
        </w:rPr>
      </w:pPr>
      <w:r>
        <w:rPr>
          <w:color w:val="1A1A1A"/>
        </w:rPr>
        <w:t xml:space="preserve">وتميّز منهجه </w:t>
      </w:r>
      <w:proofErr w:type="spellStart"/>
      <w:r>
        <w:rPr>
          <w:color w:val="1A1A1A"/>
        </w:rPr>
        <w:t>الإثنوغرافي</w:t>
      </w:r>
      <w:proofErr w:type="spellEnd"/>
      <w:r>
        <w:rPr>
          <w:color w:val="1A1A1A"/>
        </w:rPr>
        <w:t xml:space="preserve"> بخصائص نادرة: الصبر الشديد في انتظار ظهور الظاهرة بشكلها الطبيعي، والحضور الكثيف في الميدان لفترات مطوّلة، والاهتمام بما يبدو تافهاً أو عابراً، والقدرة على تحليل غير متوقع للمواد العادية.</w:t>
      </w:r>
    </w:p>
    <w:p w14:paraId="6F8A2271" w14:textId="77777777" w:rsidR="00E744F3" w:rsidRDefault="003D5C13">
      <w:pPr>
        <w:pStyle w:val="2"/>
        <w:bidi/>
        <w:spacing w:before="300" w:after="140"/>
        <w:jc w:val="right"/>
        <w:rPr>
          <w:rFonts w:cs="Times New Roman"/>
        </w:rPr>
      </w:pPr>
      <w:r>
        <w:rPr>
          <w:b/>
          <w:bCs/>
          <w:color w:val="2E7D7B"/>
        </w:rPr>
        <w:t>9.2 الحجج البلاغية وطريقة تقديم الأدلة</w:t>
      </w:r>
    </w:p>
    <w:p w14:paraId="21583ACB" w14:textId="77777777" w:rsidR="00E744F3" w:rsidRDefault="003D5C13">
      <w:pPr>
        <w:spacing w:after="180" w:line="340" w:lineRule="auto"/>
        <w:jc w:val="both"/>
        <w:rPr>
          <w:rFonts w:cs="Times New Roman"/>
        </w:rPr>
      </w:pPr>
      <w:r>
        <w:rPr>
          <w:color w:val="1A1A1A"/>
        </w:rPr>
        <w:t>يتميز أسلوب غوفمان الكتابي بكونه مركّباً ومثيراً في آن؛ إذ يقدم أفكاره عبر وفرة من الأمثلة المستمدة من مصادر متباينة: الرواية الأدبية، والتقارير الطبية، والسجلات القضائية، والمقالات الصحفية، والملاحظة الشخصية. ولا تقتصر وظيفة هذه الأمثلة على تزيين الفكرة، بل تمثل صميم طريقته في الحجاج: جمع عدد كافٍ من الأمثلة على النمط ذاته من سياقات متباينة كلياً، بما يُقنع القارئ بوجود الظاهرة المفترضة.</w:t>
      </w:r>
    </w:p>
    <w:p w14:paraId="50D44D3F" w14:textId="77777777" w:rsidR="00E744F3" w:rsidRDefault="003D5C13">
      <w:pPr>
        <w:spacing w:after="180" w:line="340" w:lineRule="auto"/>
        <w:jc w:val="both"/>
        <w:rPr>
          <w:rFonts w:cs="Times New Roman"/>
        </w:rPr>
      </w:pPr>
      <w:r>
        <w:rPr>
          <w:color w:val="1A1A1A"/>
        </w:rPr>
        <w:t>ويُعدّ هذا الأسلوب الوفير بالأمثلة (</w:t>
      </w:r>
      <w:proofErr w:type="spellStart"/>
      <w:r>
        <w:rPr>
          <w:color w:val="1A1A1A"/>
        </w:rPr>
        <w:t>Illustrative</w:t>
      </w:r>
      <w:proofErr w:type="spellEnd"/>
      <w:r>
        <w:rPr>
          <w:color w:val="1A1A1A"/>
        </w:rPr>
        <w:t xml:space="preserve"> </w:t>
      </w:r>
      <w:proofErr w:type="spellStart"/>
      <w:r>
        <w:rPr>
          <w:color w:val="1A1A1A"/>
        </w:rPr>
        <w:t>Method</w:t>
      </w:r>
      <w:proofErr w:type="spellEnd"/>
      <w:r>
        <w:rPr>
          <w:color w:val="1A1A1A"/>
        </w:rPr>
        <w:t>) جزءاً من سبب نجاح كتبه لدى جمهور واسع، إذ تبقى الأفكار مترسّخة في الخبرة الحية لا في التجريد المنطقي المحض.</w:t>
      </w:r>
    </w:p>
    <w:p w14:paraId="7BA43902" w14:textId="77777777" w:rsidR="00E744F3" w:rsidRDefault="003D5C13">
      <w:pPr>
        <w:pStyle w:val="2"/>
        <w:bidi/>
        <w:spacing w:before="300" w:after="140"/>
        <w:jc w:val="right"/>
        <w:rPr>
          <w:rFonts w:cs="Times New Roman"/>
        </w:rPr>
      </w:pPr>
      <w:r>
        <w:rPr>
          <w:b/>
          <w:bCs/>
          <w:color w:val="2E7D7B"/>
        </w:rPr>
        <w:t>9.3 انتقادات منهجية</w:t>
      </w:r>
    </w:p>
    <w:p w14:paraId="662BFABC" w14:textId="77777777" w:rsidR="00E744F3" w:rsidRDefault="003D5C13">
      <w:pPr>
        <w:spacing w:after="180" w:line="340" w:lineRule="auto"/>
        <w:jc w:val="both"/>
        <w:rPr>
          <w:rFonts w:cs="Times New Roman"/>
        </w:rPr>
      </w:pPr>
      <w:r>
        <w:rPr>
          <w:color w:val="1A1A1A"/>
        </w:rPr>
        <w:t>يتمثل أهم انتقاد منهجي وُجّه إلى غوفمان فيما يُسمى «الغموض في توثيق المصادر»؛ إذ كثيراً ما يستشهد بأمثلة دون تحديد مصدرها بدقة، أو يستخدم تعميمات واسعة (مثل «الناس يفعلون...») دون الإشارة إلى هوية من جُمعت منهم البيانات ومتى وكيف. وقد أثار هذا الغموض المنهجي تساؤلات جدية حول مدى إمكانية التحقق من مزاعمه، وحول ما إذا كانت النماذج التي يقدمها تعكس ظاهرة اجتماعية عامة، أم أنها اختيارات انتقائية تخدم إثبات نظريته المسبقة.</w:t>
      </w:r>
    </w:p>
    <w:p w14:paraId="403EE5A0" w14:textId="77777777" w:rsidR="00E744F3" w:rsidRDefault="003D5C13">
      <w:pPr>
        <w:spacing w:after="180" w:line="340" w:lineRule="auto"/>
        <w:jc w:val="both"/>
        <w:rPr>
          <w:rFonts w:cs="Times New Roman"/>
        </w:rPr>
      </w:pPr>
      <w:r>
        <w:rPr>
          <w:color w:val="1A1A1A"/>
        </w:rPr>
        <w:t>ولم يُجب غوفمان عن هذه الانتقادات إجابة مباشرة ومقنعة، لكنه كان يُجادل ضمناً بأن الوضوح الأمثل في العلوم الاجتماعية لا يكمن دائماً في الدقة الإحصائية، بل في البصيرة التفسيرية: أي القدرة على إظهار ما يفعله الناس دون أن يدركوا أنهم يفعلونه.</w:t>
      </w:r>
    </w:p>
    <w:p w14:paraId="47FBF11C" w14:textId="77777777" w:rsidR="00E744F3" w:rsidRDefault="003D5C13">
      <w:pPr>
        <w:pageBreakBefore/>
        <w:spacing w:after="60"/>
        <w:jc w:val="right"/>
        <w:rPr>
          <w:rFonts w:cs="Times New Roman"/>
        </w:rPr>
      </w:pPr>
      <w:r>
        <w:rPr>
          <w:b/>
          <w:bCs/>
          <w:color w:val="B8912B"/>
          <w:sz w:val="22"/>
          <w:szCs w:val="22"/>
        </w:rPr>
        <w:t>الفصل العاشر</w:t>
      </w:r>
    </w:p>
    <w:p w14:paraId="275D8BAD" w14:textId="77777777" w:rsidR="00E744F3" w:rsidRDefault="003D5C13">
      <w:pPr>
        <w:pStyle w:val="1"/>
        <w:pBdr>
          <w:bottom w:val="single" w:sz="12" w:space="8" w:color="2E7D7B"/>
        </w:pBdr>
        <w:bidi/>
        <w:spacing w:after="320"/>
        <w:jc w:val="right"/>
        <w:rPr>
          <w:rFonts w:cs="Times New Roman"/>
        </w:rPr>
      </w:pPr>
      <w:r>
        <w:rPr>
          <w:b/>
          <w:bCs/>
          <w:color w:val="1F3A5F"/>
          <w:sz w:val="34"/>
          <w:szCs w:val="34"/>
        </w:rPr>
        <w:t>الحياة الشخصية وتأثيرها في الفكر</w:t>
      </w:r>
    </w:p>
    <w:p w14:paraId="4AC430C8" w14:textId="77777777" w:rsidR="00E744F3" w:rsidRDefault="003D5C13">
      <w:pPr>
        <w:pStyle w:val="2"/>
        <w:bidi/>
        <w:spacing w:before="300" w:after="140"/>
        <w:jc w:val="right"/>
        <w:rPr>
          <w:rFonts w:cs="Times New Roman"/>
        </w:rPr>
      </w:pPr>
      <w:r>
        <w:rPr>
          <w:b/>
          <w:bCs/>
          <w:color w:val="2E7D7B"/>
        </w:rPr>
        <w:t>10.1 الزواج الأول وصدمة الفقدان</w:t>
      </w:r>
    </w:p>
    <w:p w14:paraId="639046B0" w14:textId="77777777" w:rsidR="00E744F3" w:rsidRDefault="003D5C13">
      <w:pPr>
        <w:spacing w:after="180" w:line="340" w:lineRule="auto"/>
        <w:jc w:val="both"/>
        <w:rPr>
          <w:rFonts w:cs="Times New Roman"/>
        </w:rPr>
      </w:pPr>
      <w:r>
        <w:rPr>
          <w:color w:val="1A1A1A"/>
        </w:rPr>
        <w:t xml:space="preserve">تزوج غوفمان عام 1952 من </w:t>
      </w:r>
      <w:proofErr w:type="spellStart"/>
      <w:r>
        <w:rPr>
          <w:color w:val="1A1A1A"/>
        </w:rPr>
        <w:t>أنجلش</w:t>
      </w:r>
      <w:proofErr w:type="spellEnd"/>
      <w:r>
        <w:rPr>
          <w:color w:val="1A1A1A"/>
        </w:rPr>
        <w:t xml:space="preserve"> بيرد غوفمان (</w:t>
      </w:r>
      <w:proofErr w:type="spellStart"/>
      <w:r>
        <w:rPr>
          <w:color w:val="1A1A1A"/>
        </w:rPr>
        <w:t>Angelica</w:t>
      </w:r>
      <w:proofErr w:type="spellEnd"/>
      <w:r>
        <w:rPr>
          <w:color w:val="1A1A1A"/>
        </w:rPr>
        <w:t xml:space="preserve"> </w:t>
      </w:r>
      <w:proofErr w:type="spellStart"/>
      <w:r>
        <w:rPr>
          <w:color w:val="1A1A1A"/>
        </w:rPr>
        <w:t>Choate</w:t>
      </w:r>
      <w:proofErr w:type="spellEnd"/>
      <w:r>
        <w:rPr>
          <w:color w:val="1A1A1A"/>
        </w:rPr>
        <w:t>)، عالمة النفس الاجتماعي، وكان زواجهما اقتراناً بين عقلين متقاربين يناقشان العالم الاجتماعي من زوايا متعددة. أنجبا ابناً واحداً أسمياه توماس.</w:t>
      </w:r>
    </w:p>
    <w:p w14:paraId="30F4CC91" w14:textId="77777777" w:rsidR="00E744F3" w:rsidRDefault="003D5C13">
      <w:pPr>
        <w:spacing w:after="180" w:line="340" w:lineRule="auto"/>
        <w:jc w:val="both"/>
        <w:rPr>
          <w:rFonts w:cs="Times New Roman"/>
        </w:rPr>
      </w:pPr>
      <w:r>
        <w:rPr>
          <w:color w:val="1A1A1A"/>
        </w:rPr>
        <w:t xml:space="preserve">وفي عام 1964، توفيت </w:t>
      </w:r>
      <w:proofErr w:type="spellStart"/>
      <w:r>
        <w:rPr>
          <w:color w:val="1A1A1A"/>
        </w:rPr>
        <w:t>أنجلش</w:t>
      </w:r>
      <w:proofErr w:type="spellEnd"/>
      <w:r>
        <w:rPr>
          <w:color w:val="1A1A1A"/>
        </w:rPr>
        <w:t xml:space="preserve"> منتحرة. ولم يتحدث غوفمان عن هذه الفاجعة علناً إلا نادراً، غير أن الباحثين المتأملين في مساره الفكري يلاحظون أن كتاباته اللاحقة اكتسبت ثقلاً عاطفياً إضافياً في تناول الهوية المجروحة وآليات التعامل مع الانهيار الاجتماعي؛ فسؤال كيف يحيا الإنسان حين تتصدع صورته وصورته عن نفسه في آن واحد، بات يحمل بالنسبة له بعداً وجودياً شخصياً.</w:t>
      </w:r>
    </w:p>
    <w:p w14:paraId="3A58AF77" w14:textId="77777777" w:rsidR="00E744F3" w:rsidRDefault="003D5C13">
      <w:pPr>
        <w:pStyle w:val="2"/>
        <w:bidi/>
        <w:spacing w:before="300" w:after="140"/>
        <w:jc w:val="right"/>
        <w:rPr>
          <w:rFonts w:cs="Times New Roman"/>
        </w:rPr>
      </w:pPr>
      <w:r>
        <w:rPr>
          <w:b/>
          <w:bCs/>
          <w:color w:val="2E7D7B"/>
        </w:rPr>
        <w:t>10.2 الزواج الثاني: شراكة فكرية</w:t>
      </w:r>
    </w:p>
    <w:p w14:paraId="77504B6F" w14:textId="77777777" w:rsidR="00E744F3" w:rsidRDefault="003D5C13">
      <w:pPr>
        <w:spacing w:after="180" w:line="340" w:lineRule="auto"/>
        <w:jc w:val="both"/>
        <w:rPr>
          <w:rFonts w:cs="Times New Roman"/>
        </w:rPr>
      </w:pPr>
      <w:r>
        <w:rPr>
          <w:color w:val="1A1A1A"/>
        </w:rPr>
        <w:t xml:space="preserve">تزوج غوفمان في السبعينيات من جيليان </w:t>
      </w:r>
      <w:proofErr w:type="spellStart"/>
      <w:r>
        <w:rPr>
          <w:color w:val="1A1A1A"/>
        </w:rPr>
        <w:t>سانكوف</w:t>
      </w:r>
      <w:proofErr w:type="spellEnd"/>
      <w:r>
        <w:rPr>
          <w:color w:val="1A1A1A"/>
        </w:rPr>
        <w:t xml:space="preserve"> (</w:t>
      </w:r>
      <w:proofErr w:type="spellStart"/>
      <w:r>
        <w:rPr>
          <w:color w:val="1A1A1A"/>
        </w:rPr>
        <w:t>Gillian</w:t>
      </w:r>
      <w:proofErr w:type="spellEnd"/>
      <w:r>
        <w:rPr>
          <w:color w:val="1A1A1A"/>
        </w:rPr>
        <w:t xml:space="preserve"> </w:t>
      </w:r>
      <w:proofErr w:type="spellStart"/>
      <w:r>
        <w:rPr>
          <w:color w:val="1A1A1A"/>
        </w:rPr>
        <w:t>Sankoff</w:t>
      </w:r>
      <w:proofErr w:type="spellEnd"/>
      <w:r>
        <w:rPr>
          <w:color w:val="1A1A1A"/>
        </w:rPr>
        <w:t>)، عالمة اللغويات الاجتماعية الكندية المرموقة، والمتخصصة في لغويات اللغات الميسّرة (</w:t>
      </w:r>
      <w:proofErr w:type="spellStart"/>
      <w:r>
        <w:rPr>
          <w:color w:val="1A1A1A"/>
        </w:rPr>
        <w:t>Creole</w:t>
      </w:r>
      <w:proofErr w:type="spellEnd"/>
      <w:r>
        <w:rPr>
          <w:color w:val="1A1A1A"/>
        </w:rPr>
        <w:t xml:space="preserve"> </w:t>
      </w:r>
      <w:proofErr w:type="spellStart"/>
      <w:r>
        <w:rPr>
          <w:color w:val="1A1A1A"/>
        </w:rPr>
        <w:t>languages</w:t>
      </w:r>
      <w:proofErr w:type="spellEnd"/>
      <w:r>
        <w:rPr>
          <w:color w:val="1A1A1A"/>
        </w:rPr>
        <w:t>) وتطور اللغة اجتماعياً. وشكّل زواجهما شراكة فكرية حقيقية، إذ غذّت دراسات جيليان حول تشكّل اللغة اجتماعياً اهتمامات غوفمان المتنامية بتحليل الخطاب والمحادثة في المرحلة الأخيرة من حياته.</w:t>
      </w:r>
    </w:p>
    <w:p w14:paraId="5E6ACE0B" w14:textId="77777777" w:rsidR="00E744F3" w:rsidRDefault="003D5C13">
      <w:pPr>
        <w:spacing w:after="180" w:line="340" w:lineRule="auto"/>
        <w:jc w:val="both"/>
        <w:rPr>
          <w:rFonts w:cs="Times New Roman"/>
        </w:rPr>
      </w:pPr>
      <w:r>
        <w:rPr>
          <w:color w:val="1A1A1A"/>
        </w:rPr>
        <w:t>أنجبا ابنة أسمياها أليس، وعاشا في فيلادلفيا قرب جامعة بنسلفانيا حتى وفاته.</w:t>
      </w:r>
    </w:p>
    <w:p w14:paraId="426F6B6A" w14:textId="77777777" w:rsidR="00E744F3" w:rsidRDefault="003D5C13">
      <w:pPr>
        <w:pStyle w:val="2"/>
        <w:bidi/>
        <w:spacing w:before="300" w:after="140"/>
        <w:jc w:val="right"/>
        <w:rPr>
          <w:rFonts w:cs="Times New Roman"/>
        </w:rPr>
      </w:pPr>
      <w:r>
        <w:rPr>
          <w:b/>
          <w:bCs/>
          <w:color w:val="2E7D7B"/>
        </w:rPr>
        <w:t>10.3 الشخصية المتناقضة</w:t>
      </w:r>
    </w:p>
    <w:p w14:paraId="47789F2B" w14:textId="77777777" w:rsidR="00E744F3" w:rsidRDefault="003D5C13">
      <w:pPr>
        <w:spacing w:after="180" w:line="340" w:lineRule="auto"/>
        <w:jc w:val="both"/>
        <w:rPr>
          <w:rFonts w:cs="Times New Roman"/>
        </w:rPr>
      </w:pPr>
      <w:r>
        <w:rPr>
          <w:color w:val="1A1A1A"/>
        </w:rPr>
        <w:t>وصف من عرفوا غوفمان شخصياً رجلاً متناقضاً بشكل لافت: ذكاء خارق وحس فكاهة حاد، ودفء حقيقي مع الأصدقاء المقربين والطلاب المفضلين، وانخراط اجتماعي انتقائي لكنه عميق؛ في مقابل قدرة على البرود التام مع من لا يستوفون توقعاته، وانسحاب مفاجئ من الاهتمام حين يفقد المحاور قيمته في نظره، وتحفظ شديد في الكشف عن مشاعره الخاصة.</w:t>
      </w:r>
    </w:p>
    <w:p w14:paraId="797F1068" w14:textId="77777777" w:rsidR="00E744F3" w:rsidRDefault="003D5C13">
      <w:pPr>
        <w:spacing w:after="180" w:line="340" w:lineRule="auto"/>
        <w:jc w:val="both"/>
        <w:rPr>
          <w:rFonts w:cs="Times New Roman"/>
        </w:rPr>
      </w:pPr>
      <w:r>
        <w:rPr>
          <w:color w:val="1A1A1A"/>
        </w:rPr>
        <w:t>ويرى بعض المقربين منه أن هذا التناقض بالذات هو ما جعل منه مراقباً استثنائياً؛ فقد كان يشارك في التفاعلات الاجتماعية ويراقبها من الخارج في الآن ذاته، حاضراً في المشهد وخارجه معاً — وهذا الوضع المزدوج الذي يُنهك كثيرين كان بالنسبة له مصدر إلهام.</w:t>
      </w:r>
    </w:p>
    <w:p w14:paraId="1AA5532E" w14:textId="77777777" w:rsidR="00E744F3" w:rsidRDefault="003D5C13" w:rsidP="00FA2CB4">
      <w:pPr>
        <w:pageBreakBefore/>
        <w:spacing w:after="60"/>
        <w:rPr>
          <w:rFonts w:cs="Times New Roman"/>
        </w:rPr>
      </w:pPr>
      <w:r>
        <w:rPr>
          <w:b/>
          <w:bCs/>
          <w:color w:val="B8912B"/>
          <w:sz w:val="22"/>
          <w:szCs w:val="22"/>
        </w:rPr>
        <w:t>الفصل الحادي عشر</w:t>
      </w:r>
    </w:p>
    <w:p w14:paraId="5374C6AE" w14:textId="77777777" w:rsidR="00E744F3" w:rsidRDefault="003D5C13" w:rsidP="00FA2CB4">
      <w:pPr>
        <w:pStyle w:val="1"/>
        <w:pBdr>
          <w:bottom w:val="single" w:sz="12" w:space="8" w:color="2E7D7B"/>
        </w:pBdr>
        <w:bidi/>
        <w:spacing w:after="320"/>
        <w:rPr>
          <w:rFonts w:cs="Times New Roman"/>
        </w:rPr>
      </w:pPr>
      <w:r>
        <w:rPr>
          <w:b/>
          <w:bCs/>
          <w:color w:val="1F3A5F"/>
          <w:sz w:val="34"/>
          <w:szCs w:val="34"/>
        </w:rPr>
        <w:t>الإرث والتأثير والنقد</w:t>
      </w:r>
    </w:p>
    <w:p w14:paraId="41F6D92D" w14:textId="77777777" w:rsidR="00E744F3" w:rsidRDefault="003D5C13" w:rsidP="00FA2CB4">
      <w:pPr>
        <w:pStyle w:val="2"/>
        <w:bidi/>
        <w:spacing w:before="300" w:after="140"/>
        <w:rPr>
          <w:rFonts w:cs="Times New Roman"/>
        </w:rPr>
      </w:pPr>
      <w:r>
        <w:rPr>
          <w:b/>
          <w:bCs/>
          <w:color w:val="2E7D7B"/>
        </w:rPr>
        <w:t>11.1 الإرث الفكري: حصاد ستة عقود</w:t>
      </w:r>
    </w:p>
    <w:p w14:paraId="35F676A1" w14:textId="77777777" w:rsidR="00E744F3" w:rsidRDefault="003D5C13" w:rsidP="00FA2CB4">
      <w:pPr>
        <w:spacing w:after="180" w:line="340" w:lineRule="auto"/>
        <w:rPr>
          <w:rFonts w:cs="Times New Roman"/>
        </w:rPr>
      </w:pPr>
      <w:r>
        <w:rPr>
          <w:color w:val="1A1A1A"/>
        </w:rPr>
        <w:t>لم تتوقف قراءة أعمال غوفمان منذ صدورها؛ فكتاب «تقديم الذات في الحياة اليومية»، الذي نُشر عام 1959، ما زال يصدر في طبعات جديدة، وما زال يُدرَّس في الجامعات في مختلف القارات، ويُعدّ من أكثر الأعمال الأكاديمية اقتباساً في مجال العلوم الاجتماعية خلال القرن العشرين وفق بعض التصنيفات.</w:t>
      </w:r>
    </w:p>
    <w:p w14:paraId="4B31CBD0" w14:textId="77777777" w:rsidR="00E744F3" w:rsidRDefault="003D5C13" w:rsidP="00FA2CB4">
      <w:pPr>
        <w:spacing w:after="180" w:line="340" w:lineRule="auto"/>
        <w:rPr>
          <w:rFonts w:cs="Times New Roman"/>
        </w:rPr>
      </w:pPr>
      <w:r>
        <w:rPr>
          <w:color w:val="1A1A1A"/>
        </w:rPr>
        <w:t>غير أن الأهم من أرقام الاقتباس هو الكيفية التي تسرّبت بها مفاهيمه إلى اللغة اليومية والتحليلية على حد سواء؛ فمصطلحات مثل «إدارة الانطباع» و«الكواليس والواجهة» و«الوصمة الاجتماعية» و«اللامبالاة المدنية» و«حفظ ماء الوجه» غدت أدوات تحليلية مألوفة في العلوم الاجتماعية والدراسات الثقافية والتربية وعلم النفس.</w:t>
      </w:r>
    </w:p>
    <w:p w14:paraId="5064D5C9" w14:textId="77777777" w:rsidR="00E744F3" w:rsidRDefault="003D5C13" w:rsidP="00FA2CB4">
      <w:pPr>
        <w:pStyle w:val="2"/>
        <w:bidi/>
        <w:spacing w:before="300" w:after="140"/>
        <w:rPr>
          <w:rFonts w:cs="Times New Roman"/>
        </w:rPr>
      </w:pPr>
      <w:r>
        <w:rPr>
          <w:b/>
          <w:bCs/>
          <w:color w:val="2E7D7B"/>
        </w:rPr>
        <w:t>11.2 التأثير عبر التخصصات</w:t>
      </w:r>
    </w:p>
    <w:p w14:paraId="476A5716" w14:textId="77777777" w:rsidR="00E744F3" w:rsidRDefault="003D5C13" w:rsidP="00FA2CB4">
      <w:pPr>
        <w:spacing w:after="180" w:line="340" w:lineRule="auto"/>
        <w:rPr>
          <w:rFonts w:cs="Times New Roman"/>
        </w:rPr>
      </w:pPr>
      <w:r>
        <w:rPr>
          <w:color w:val="1A1A1A"/>
        </w:rPr>
        <w:t>امتد أثر غوفمان الفكري عبر تخصصات متعددة؛ ففي علم النفس الاجتماعي أثّر في نظريات الهوية الاجتماعية والتحيزات الإدراكية، وفي الاتصال واللغويات أرسى أسس تحليل المحادثة وفهم التفاعل الكلامي، وفي الدراسات الثقافية منح أدوات نقدية لتحليل الإعلام وصناعة الصورة، وفي العلوم السياسية أثّر في فهم الخطاب السياسي والتضليل والعلاقات العامة.</w:t>
      </w:r>
    </w:p>
    <w:p w14:paraId="559BC361" w14:textId="77777777" w:rsidR="00E744F3" w:rsidRDefault="003D5C13" w:rsidP="00FA2CB4">
      <w:pPr>
        <w:spacing w:after="180" w:line="340" w:lineRule="auto"/>
        <w:rPr>
          <w:rFonts w:cs="Times New Roman"/>
        </w:rPr>
      </w:pPr>
      <w:r>
        <w:rPr>
          <w:color w:val="1A1A1A"/>
        </w:rPr>
        <w:t>ولعل الأهم أنه أثّر أيضاً في عدد من الحركات الاجتماعية؛ إذ منحت نظريته في الوصمة لغة نقدية لحركات حقوق الإعاقة والصحة النفسية والمثلية الجنسية، استخدمتها هذه الحركات أداةً لتشخيص المظلومية وبناء استراتيجيات المقاومة.</w:t>
      </w:r>
    </w:p>
    <w:p w14:paraId="53A338A7" w14:textId="77777777" w:rsidR="00E744F3" w:rsidRDefault="003D5C13" w:rsidP="00FA2CB4">
      <w:pPr>
        <w:pStyle w:val="2"/>
        <w:bidi/>
        <w:spacing w:before="300" w:after="140"/>
        <w:rPr>
          <w:rFonts w:cs="Times New Roman"/>
        </w:rPr>
      </w:pPr>
      <w:r>
        <w:rPr>
          <w:b/>
          <w:bCs/>
          <w:color w:val="2E7D7B"/>
        </w:rPr>
        <w:t>11.3 أبرز الانتقادات</w:t>
      </w:r>
    </w:p>
    <w:p w14:paraId="37C14565" w14:textId="77777777" w:rsidR="00E744F3" w:rsidRDefault="003D5C13" w:rsidP="00FA2CB4">
      <w:pPr>
        <w:spacing w:after="180" w:line="340" w:lineRule="auto"/>
        <w:rPr>
          <w:rFonts w:cs="Times New Roman"/>
        </w:rPr>
      </w:pPr>
      <w:r>
        <w:rPr>
          <w:color w:val="1A1A1A"/>
        </w:rPr>
        <w:t xml:space="preserve">لم يخلُ المشروع </w:t>
      </w:r>
      <w:proofErr w:type="spellStart"/>
      <w:r>
        <w:rPr>
          <w:color w:val="1A1A1A"/>
        </w:rPr>
        <w:t>الغوفماني</w:t>
      </w:r>
      <w:proofErr w:type="spellEnd"/>
      <w:r>
        <w:rPr>
          <w:color w:val="1A1A1A"/>
        </w:rPr>
        <w:t xml:space="preserve"> من نقد جوهري، ومن أبرز هذه الانتقادات:</w:t>
      </w:r>
    </w:p>
    <w:p w14:paraId="0C900EA8" w14:textId="77777777" w:rsidR="00E744F3" w:rsidRDefault="003D5C13" w:rsidP="00FA2CB4">
      <w:pPr>
        <w:pStyle w:val="a4"/>
        <w:numPr>
          <w:ilvl w:val="0"/>
          <w:numId w:val="3"/>
        </w:numPr>
        <w:bidi/>
        <w:spacing w:after="100" w:line="320" w:lineRule="auto"/>
        <w:rPr>
          <w:rFonts w:cs="Times New Roman"/>
        </w:rPr>
      </w:pPr>
      <w:r>
        <w:rPr>
          <w:color w:val="1A1A1A"/>
          <w:sz w:val="23"/>
          <w:szCs w:val="23"/>
        </w:rPr>
        <w:t xml:space="preserve">تغييب البنى الكبرى: أكد كثير من المنظّرين الماركسيين والبنيويين أن تركيز غوفمان على التفاعل الميكرو يُغيّب آليات الهيمنة الطبقية والاقتصادية </w:t>
      </w:r>
      <w:proofErr w:type="spellStart"/>
      <w:r>
        <w:rPr>
          <w:color w:val="1A1A1A"/>
          <w:sz w:val="23"/>
          <w:szCs w:val="23"/>
        </w:rPr>
        <w:t>والدولتية</w:t>
      </w:r>
      <w:proofErr w:type="spellEnd"/>
      <w:r>
        <w:rPr>
          <w:color w:val="1A1A1A"/>
          <w:sz w:val="23"/>
          <w:szCs w:val="23"/>
        </w:rPr>
        <w:t>، وأن ظواهر كالوصمة والمؤسسات الشاملة مرتبطة بالسلطة السياسية والاقتصادية ارتباطاً لا يُحلَّل بعمق كافٍ في أعماله.</w:t>
      </w:r>
    </w:p>
    <w:p w14:paraId="0D8F0A24" w14:textId="77777777" w:rsidR="00E744F3" w:rsidRDefault="003D5C13" w:rsidP="00FA2CB4">
      <w:pPr>
        <w:pStyle w:val="a4"/>
        <w:numPr>
          <w:ilvl w:val="0"/>
          <w:numId w:val="3"/>
        </w:numPr>
        <w:bidi/>
        <w:spacing w:after="100" w:line="320" w:lineRule="auto"/>
        <w:rPr>
          <w:rFonts w:cs="Times New Roman"/>
        </w:rPr>
      </w:pPr>
      <w:r>
        <w:rPr>
          <w:color w:val="1A1A1A"/>
          <w:sz w:val="23"/>
          <w:szCs w:val="23"/>
        </w:rPr>
        <w:t>الرؤية التشاؤمية للإنسان: رأى بعض الفلاسفة في صورة الإنسان-الممثل رؤية تشاؤمية تختزل الكائن البشري في مجرد مدير للانطباعات، وتُفرغه من الأصالة والصدق.</w:t>
      </w:r>
    </w:p>
    <w:p w14:paraId="4384C904" w14:textId="77777777" w:rsidR="00E744F3" w:rsidRDefault="003D5C13" w:rsidP="00FA2CB4">
      <w:pPr>
        <w:pStyle w:val="a4"/>
        <w:numPr>
          <w:ilvl w:val="0"/>
          <w:numId w:val="3"/>
        </w:numPr>
        <w:bidi/>
        <w:spacing w:after="100" w:line="320" w:lineRule="auto"/>
        <w:rPr>
          <w:rFonts w:cs="Times New Roman"/>
        </w:rPr>
      </w:pPr>
      <w:r>
        <w:rPr>
          <w:color w:val="1A1A1A"/>
          <w:sz w:val="23"/>
          <w:szCs w:val="23"/>
        </w:rPr>
        <w:t>الغموض المنهجي: أدى غياب الشفافية في توثيق جمع البيانات إلى جعل أعماله قابلة للطعن من ناحية الصرامة العلمية.</w:t>
      </w:r>
    </w:p>
    <w:p w14:paraId="5820724C" w14:textId="77777777" w:rsidR="00E744F3" w:rsidRDefault="003D5C13" w:rsidP="00FA2CB4">
      <w:pPr>
        <w:pStyle w:val="a4"/>
        <w:numPr>
          <w:ilvl w:val="0"/>
          <w:numId w:val="3"/>
        </w:numPr>
        <w:bidi/>
        <w:spacing w:after="100" w:line="320" w:lineRule="auto"/>
        <w:rPr>
          <w:rFonts w:cs="Times New Roman"/>
        </w:rPr>
      </w:pPr>
      <w:r>
        <w:rPr>
          <w:color w:val="1A1A1A"/>
          <w:sz w:val="23"/>
          <w:szCs w:val="23"/>
        </w:rPr>
        <w:t xml:space="preserve">إغفال البعدين </w:t>
      </w:r>
      <w:proofErr w:type="spellStart"/>
      <w:r>
        <w:rPr>
          <w:color w:val="1A1A1A"/>
          <w:sz w:val="23"/>
          <w:szCs w:val="23"/>
        </w:rPr>
        <w:t>الجندري</w:t>
      </w:r>
      <w:proofErr w:type="spellEnd"/>
      <w:r>
        <w:rPr>
          <w:color w:val="1A1A1A"/>
          <w:sz w:val="23"/>
          <w:szCs w:val="23"/>
        </w:rPr>
        <w:t xml:space="preserve"> والعرقي: انتقدت باحثات </w:t>
      </w:r>
      <w:proofErr w:type="spellStart"/>
      <w:r>
        <w:rPr>
          <w:color w:val="1A1A1A"/>
          <w:sz w:val="23"/>
          <w:szCs w:val="23"/>
        </w:rPr>
        <w:t>فيمينيست</w:t>
      </w:r>
      <w:proofErr w:type="spellEnd"/>
      <w:r>
        <w:rPr>
          <w:color w:val="1A1A1A"/>
          <w:sz w:val="23"/>
          <w:szCs w:val="23"/>
        </w:rPr>
        <w:t xml:space="preserve"> إغفال غوفمان لكيفية اختلاف ديناميكيات «تقديم الذات» تبعاً للنوع الاجتماعي والعرق.</w:t>
      </w:r>
    </w:p>
    <w:p w14:paraId="6FCDB143" w14:textId="77777777" w:rsidR="00E744F3" w:rsidRDefault="003D5C13" w:rsidP="00FA2CB4">
      <w:pPr>
        <w:spacing w:after="180" w:line="340" w:lineRule="auto"/>
        <w:rPr>
          <w:rFonts w:cs="Times New Roman"/>
        </w:rPr>
      </w:pPr>
      <w:r>
        <w:rPr>
          <w:color w:val="1A1A1A"/>
        </w:rPr>
        <w:t>ولا تُلغي هذه الانتقادات قيمة المشروع الفكري لغوفمان، بل تشكّل جوانب ضرورية الانتباه إليها عند توظيف أدواته التحليلية في سياقات أشمل.</w:t>
      </w:r>
    </w:p>
    <w:p w14:paraId="41164782" w14:textId="77777777" w:rsidR="00E744F3" w:rsidRDefault="003D5C13" w:rsidP="00FA2CB4">
      <w:pPr>
        <w:pStyle w:val="2"/>
        <w:bidi/>
        <w:spacing w:before="300" w:after="140"/>
        <w:rPr>
          <w:rFonts w:cs="Times New Roman"/>
        </w:rPr>
      </w:pPr>
      <w:r>
        <w:rPr>
          <w:b/>
          <w:bCs/>
          <w:color w:val="2E7D7B"/>
        </w:rPr>
        <w:t>11.4 غوفمان وعلم الاجتماع المعاصر</w:t>
      </w:r>
    </w:p>
    <w:p w14:paraId="0EC21CEC" w14:textId="77777777" w:rsidR="00E744F3" w:rsidRDefault="003D5C13" w:rsidP="00FA2CB4">
      <w:pPr>
        <w:spacing w:after="180" w:line="340" w:lineRule="auto"/>
        <w:rPr>
          <w:rFonts w:cs="Times New Roman"/>
        </w:rPr>
      </w:pPr>
      <w:r>
        <w:rPr>
          <w:color w:val="1A1A1A"/>
        </w:rPr>
        <w:t xml:space="preserve">شهدت العقود الأخيرة ما يمكن تسميته «عودة </w:t>
      </w:r>
      <w:proofErr w:type="spellStart"/>
      <w:r>
        <w:rPr>
          <w:color w:val="1A1A1A"/>
        </w:rPr>
        <w:t>غوفمانية</w:t>
      </w:r>
      <w:proofErr w:type="spellEnd"/>
      <w:r>
        <w:rPr>
          <w:color w:val="1A1A1A"/>
        </w:rPr>
        <w:t>» في العلوم الاجتماعية، لا سيما مع صعود الدراسات الثقافية، والاهتمام المتزايد بالجسد والتجربة المعيشة (</w:t>
      </w:r>
      <w:proofErr w:type="spellStart"/>
      <w:r>
        <w:rPr>
          <w:color w:val="1A1A1A"/>
        </w:rPr>
        <w:t>Phenomenology</w:t>
      </w:r>
      <w:proofErr w:type="spellEnd"/>
      <w:r>
        <w:rPr>
          <w:color w:val="1A1A1A"/>
        </w:rPr>
        <w:t>)، وتحليل المحادثة (</w:t>
      </w:r>
      <w:proofErr w:type="spellStart"/>
      <w:r>
        <w:rPr>
          <w:color w:val="1A1A1A"/>
        </w:rPr>
        <w:t>Conversation</w:t>
      </w:r>
      <w:proofErr w:type="spellEnd"/>
      <w:r>
        <w:rPr>
          <w:color w:val="1A1A1A"/>
        </w:rPr>
        <w:t xml:space="preserve"> </w:t>
      </w:r>
      <w:proofErr w:type="spellStart"/>
      <w:r>
        <w:rPr>
          <w:color w:val="1A1A1A"/>
        </w:rPr>
        <w:t>Analysis</w:t>
      </w:r>
      <w:proofErr w:type="spellEnd"/>
      <w:r>
        <w:rPr>
          <w:color w:val="1A1A1A"/>
        </w:rPr>
        <w:t>). فقد بات أسلوبه في الانتباه إلى الصغير والعابر والمضمر أكثر صلة في عصر يطغى فيه الاهتمام بالهوية والأداء والرقابة الاجتماعية.</w:t>
      </w:r>
    </w:p>
    <w:p w14:paraId="47DC4347" w14:textId="77777777" w:rsidR="00E744F3" w:rsidRDefault="003D5C13" w:rsidP="00FA2CB4">
      <w:pPr>
        <w:spacing w:after="180" w:line="340" w:lineRule="auto"/>
        <w:rPr>
          <w:rFonts w:cs="Times New Roman"/>
        </w:rPr>
      </w:pPr>
      <w:r>
        <w:rPr>
          <w:color w:val="1A1A1A"/>
        </w:rPr>
        <w:t xml:space="preserve">ويُعدّ علماء الاجتماع العاملون في «النظرية التفاعلية» </w:t>
      </w:r>
      <w:proofErr w:type="spellStart"/>
      <w:r>
        <w:rPr>
          <w:color w:val="1A1A1A"/>
        </w:rPr>
        <w:t>و«الإثنوميثودولوجيا</w:t>
      </w:r>
      <w:proofErr w:type="spellEnd"/>
      <w:r>
        <w:rPr>
          <w:color w:val="1A1A1A"/>
        </w:rPr>
        <w:t>» و«تحليل المحادثة» ورثة مباشرين لمشروعه الفكري.</w:t>
      </w:r>
    </w:p>
    <w:p w14:paraId="680DE7D0" w14:textId="77777777" w:rsidR="00E744F3" w:rsidRDefault="003D5C13" w:rsidP="00FA2CB4">
      <w:pPr>
        <w:pageBreakBefore/>
        <w:spacing w:after="60"/>
        <w:rPr>
          <w:rFonts w:cs="Times New Roman"/>
        </w:rPr>
      </w:pPr>
      <w:r>
        <w:rPr>
          <w:b/>
          <w:bCs/>
          <w:color w:val="B8912B"/>
          <w:sz w:val="22"/>
          <w:szCs w:val="22"/>
        </w:rPr>
        <w:t>الخاتمة</w:t>
      </w:r>
    </w:p>
    <w:p w14:paraId="7882FB6A" w14:textId="77777777" w:rsidR="00E744F3" w:rsidRDefault="003D5C13" w:rsidP="00FA2CB4">
      <w:pPr>
        <w:pStyle w:val="1"/>
        <w:pBdr>
          <w:bottom w:val="single" w:sz="12" w:space="8" w:color="2E7D7B"/>
        </w:pBdr>
        <w:bidi/>
        <w:spacing w:after="320"/>
        <w:rPr>
          <w:rFonts w:cs="Times New Roman"/>
        </w:rPr>
      </w:pPr>
      <w:r>
        <w:rPr>
          <w:b/>
          <w:bCs/>
          <w:color w:val="1F3A5F"/>
          <w:sz w:val="34"/>
          <w:szCs w:val="34"/>
        </w:rPr>
        <w:t>غوفمان والعالم الرقمي الراهن</w:t>
      </w:r>
    </w:p>
    <w:p w14:paraId="53F3FE14" w14:textId="77777777" w:rsidR="00E744F3" w:rsidRDefault="003D5C13" w:rsidP="00FA2CB4">
      <w:pPr>
        <w:spacing w:after="180" w:line="340" w:lineRule="auto"/>
        <w:rPr>
          <w:rFonts w:cs="Times New Roman"/>
        </w:rPr>
      </w:pPr>
      <w:r>
        <w:rPr>
          <w:color w:val="1A1A1A"/>
        </w:rPr>
        <w:t>حين يُستحضر مشروع غوفمان الفكري في مواجهة عالمنا الراهن، يتبدّى تقارب مدهش؛ فقد رحل غوفمان قبل ظهور الإنترنت، ومع ذلك تبدو نظريته وكأنها صيغت خصيصاً لتحليل وسائل التواصل الاجتماعي.</w:t>
      </w:r>
    </w:p>
    <w:p w14:paraId="526726BF" w14:textId="77777777" w:rsidR="00E744F3" w:rsidRDefault="003D5C13" w:rsidP="00FA2CB4">
      <w:pPr>
        <w:spacing w:after="180" w:line="340" w:lineRule="auto"/>
        <w:rPr>
          <w:rFonts w:cs="Times New Roman"/>
        </w:rPr>
      </w:pPr>
      <w:r>
        <w:rPr>
          <w:color w:val="1A1A1A"/>
        </w:rPr>
        <w:t xml:space="preserve">فما صفحة </w:t>
      </w:r>
      <w:proofErr w:type="spellStart"/>
      <w:r>
        <w:rPr>
          <w:color w:val="1A1A1A"/>
        </w:rPr>
        <w:t>إنستغرام</w:t>
      </w:r>
      <w:proofErr w:type="spellEnd"/>
      <w:r>
        <w:rPr>
          <w:color w:val="1A1A1A"/>
        </w:rPr>
        <w:t xml:space="preserve"> سوى واجهة (</w:t>
      </w:r>
      <w:proofErr w:type="spellStart"/>
      <w:r>
        <w:rPr>
          <w:color w:val="1A1A1A"/>
        </w:rPr>
        <w:t>Front</w:t>
      </w:r>
      <w:proofErr w:type="spellEnd"/>
      <w:r>
        <w:rPr>
          <w:color w:val="1A1A1A"/>
        </w:rPr>
        <w:t xml:space="preserve"> </w:t>
      </w:r>
      <w:proofErr w:type="spellStart"/>
      <w:r>
        <w:rPr>
          <w:color w:val="1A1A1A"/>
        </w:rPr>
        <w:t>Stage</w:t>
      </w:r>
      <w:proofErr w:type="spellEnd"/>
      <w:r>
        <w:rPr>
          <w:color w:val="1A1A1A"/>
        </w:rPr>
        <w:t>) مصممة بعناية فائقة؟ وما الرسائل الخاصة سوى كواليس؟ وما «المؤثر» سوى فريق أداء يدير انطباعاً واسع النطاق؟ وما الخوارزمية التي تُقرر ما يُرى وما يختفي سوى نظام وصمة اجتماعية رقمية؟ وتجد الوصمة في الفضاء الرقمي أشكالاً جديدة، إذ يمثل التنمر الرقمي (</w:t>
      </w:r>
      <w:proofErr w:type="spellStart"/>
      <w:r>
        <w:rPr>
          <w:color w:val="1A1A1A"/>
        </w:rPr>
        <w:t>Cyberbullying</w:t>
      </w:r>
      <w:proofErr w:type="spellEnd"/>
      <w:r>
        <w:rPr>
          <w:color w:val="1A1A1A"/>
        </w:rPr>
        <w:t>) وثقافة الإلغاء (</w:t>
      </w:r>
      <w:proofErr w:type="spellStart"/>
      <w:r>
        <w:rPr>
          <w:color w:val="1A1A1A"/>
        </w:rPr>
        <w:t>Cancel</w:t>
      </w:r>
      <w:proofErr w:type="spellEnd"/>
      <w:r>
        <w:rPr>
          <w:color w:val="1A1A1A"/>
        </w:rPr>
        <w:t xml:space="preserve"> </w:t>
      </w:r>
      <w:proofErr w:type="spellStart"/>
      <w:r>
        <w:rPr>
          <w:color w:val="1A1A1A"/>
        </w:rPr>
        <w:t>Culture</w:t>
      </w:r>
      <w:proofErr w:type="spellEnd"/>
      <w:r>
        <w:rPr>
          <w:color w:val="1A1A1A"/>
        </w:rPr>
        <w:t>) آليتين جديدتين للإفصاح عن الوصمة أو تضخيمها، فيما تراجعت اللامبالاة المدنية في جزء من الفضاء الرقمي لتحل محلها نظرة متفحصة لا تتوقف، وباتت إدارة الانطباع صناعة قائمة بذاتها.</w:t>
      </w:r>
    </w:p>
    <w:p w14:paraId="5A46534A" w14:textId="77777777" w:rsidR="00E744F3" w:rsidRDefault="003D5C13" w:rsidP="00FA2CB4">
      <w:pPr>
        <w:spacing w:after="180" w:line="340" w:lineRule="auto"/>
        <w:rPr>
          <w:rFonts w:cs="Times New Roman"/>
        </w:rPr>
      </w:pPr>
      <w:r>
        <w:rPr>
          <w:color w:val="1A1A1A"/>
        </w:rPr>
        <w:t xml:space="preserve">لم يمنحنا غوفمان إجابات جاهزة عن هذا العالم الرقمي، لكنه منحنا ما هو أثمن: أدوات التساؤل؛ فحين ننظر إلى منشور على وسائل التواصل ونسأل: ما الواجهة هنا؟ ومن فريق الأداء؟ وما الانطباع المُدار؟ وما الكواليس التي تخفيها هذه الواجهة؟ — فإننا حينذاك نُفكر بمنهجية </w:t>
      </w:r>
      <w:proofErr w:type="spellStart"/>
      <w:r>
        <w:rPr>
          <w:color w:val="1A1A1A"/>
        </w:rPr>
        <w:t>إرفينغ</w:t>
      </w:r>
      <w:proofErr w:type="spellEnd"/>
      <w:r>
        <w:rPr>
          <w:color w:val="1A1A1A"/>
        </w:rPr>
        <w:t xml:space="preserve"> غوفمان.</w:t>
      </w:r>
    </w:p>
    <w:p w14:paraId="56F618EB" w14:textId="77777777" w:rsidR="00E744F3" w:rsidRDefault="003D5C13" w:rsidP="00FA2CB4">
      <w:pPr>
        <w:pBdr>
          <w:right w:val="single" w:sz="18" w:space="12" w:color="2E7D7B"/>
        </w:pBdr>
        <w:shd w:val="clear" w:color="auto" w:fill="EAF2F1"/>
        <w:spacing w:before="200" w:after="40"/>
        <w:ind w:left="400" w:right="400"/>
        <w:rPr>
          <w:rFonts w:cs="Times New Roman"/>
        </w:rPr>
      </w:pPr>
      <w:r>
        <w:rPr>
          <w:i/>
          <w:iCs/>
          <w:color w:val="1F3A5F"/>
          <w:sz w:val="23"/>
          <w:szCs w:val="23"/>
        </w:rPr>
        <w:t>«لقد علّمنا غوفمان أن الحياة الاجتماعية مسرح، والإنسان الواعي بذلك لا يُصبح أقل أصالة، بل يُصبح أقدر على قراءة المسرحية»</w:t>
      </w:r>
    </w:p>
    <w:p w14:paraId="3A26E3CF" w14:textId="77777777" w:rsidR="00E744F3" w:rsidRDefault="003D5C13" w:rsidP="00FA2CB4">
      <w:pPr>
        <w:pBdr>
          <w:right w:val="single" w:sz="18" w:space="12" w:color="2E7D7B"/>
        </w:pBdr>
        <w:shd w:val="clear" w:color="auto" w:fill="EAF2F1"/>
        <w:spacing w:after="220"/>
        <w:ind w:left="400" w:right="400"/>
        <w:rPr>
          <w:rFonts w:cs="Times New Roman"/>
        </w:rPr>
      </w:pPr>
      <w:r>
        <w:rPr>
          <w:b/>
          <w:bCs/>
          <w:color w:val="2E7D7B"/>
          <w:sz w:val="20"/>
          <w:szCs w:val="20"/>
        </w:rPr>
        <w:t xml:space="preserve">— أنتوني </w:t>
      </w:r>
      <w:proofErr w:type="spellStart"/>
      <w:r>
        <w:rPr>
          <w:b/>
          <w:bCs/>
          <w:color w:val="2E7D7B"/>
          <w:sz w:val="20"/>
          <w:szCs w:val="20"/>
        </w:rPr>
        <w:t>غيدنز</w:t>
      </w:r>
      <w:proofErr w:type="spellEnd"/>
    </w:p>
    <w:p w14:paraId="00FE6062" w14:textId="77777777" w:rsidR="00E744F3" w:rsidRDefault="003D5C13" w:rsidP="00FA2CB4">
      <w:pPr>
        <w:spacing w:after="180" w:line="340" w:lineRule="auto"/>
        <w:rPr>
          <w:rFonts w:cs="Times New Roman"/>
        </w:rPr>
      </w:pPr>
      <w:r>
        <w:rPr>
          <w:color w:val="1A1A1A"/>
        </w:rPr>
        <w:t>وفي المرة القادمة التي يدخل فيها المرء غرفة مليئة بالغرباء، أو ينشر صورة على الإنترنت، أو يتلقى نظرة فضولية من مارٍّ في الشارع، أو يشعر بثقل الاختلاف عن محيطه، تجدر الإشارة إلى أنه إنما يعيش في عالم غوفمان؛ وأن هذا الباحث الكندي الهادئ، الذي عاش ستين عاماً وأمضى بعضها يراقب الفلاحين في جزيرة باردة، قد ترك لنا أدوات نادرة لفهم ما يجري من حولنا.</w:t>
      </w:r>
    </w:p>
    <w:p w14:paraId="39C43D75" w14:textId="77777777" w:rsidR="00E744F3" w:rsidRDefault="003D5C13" w:rsidP="00FA2CB4">
      <w:pPr>
        <w:pStyle w:val="1"/>
        <w:pageBreakBefore/>
        <w:pBdr>
          <w:bottom w:val="single" w:sz="12" w:space="8" w:color="2E7D7B"/>
        </w:pBdr>
        <w:bidi/>
        <w:spacing w:after="260"/>
        <w:rPr>
          <w:rFonts w:cs="Times New Roman"/>
        </w:rPr>
      </w:pPr>
      <w:r>
        <w:rPr>
          <w:b/>
          <w:bCs/>
          <w:color w:val="1F3A5F"/>
        </w:rPr>
        <w:t>المراجع: المصادر والمراجع الأساسية</w:t>
      </w:r>
    </w:p>
    <w:p w14:paraId="387691A4" w14:textId="77777777" w:rsidR="00E744F3" w:rsidRDefault="003D5C13" w:rsidP="00FA2CB4">
      <w:pPr>
        <w:pStyle w:val="2"/>
        <w:bidi/>
        <w:spacing w:before="300" w:after="140"/>
        <w:rPr>
          <w:rFonts w:cs="Times New Roman"/>
        </w:rPr>
      </w:pPr>
      <w:r>
        <w:rPr>
          <w:b/>
          <w:bCs/>
          <w:color w:val="2E7D7B"/>
        </w:rPr>
        <w:t>أولاً: أعمال غوفمان الأصلية</w:t>
      </w:r>
    </w:p>
    <w:p w14:paraId="37BE013E" w14:textId="77777777" w:rsidR="00E744F3" w:rsidRDefault="003D5C13" w:rsidP="00FA2CB4">
      <w:pPr>
        <w:bidi w:val="0"/>
        <w:spacing w:after="130" w:line="300" w:lineRule="auto"/>
        <w:ind w:left="400" w:hanging="400"/>
        <w:jc w:val="right"/>
        <w:rPr>
          <w:rFonts w:cs="Times New Roman"/>
        </w:rPr>
      </w:pPr>
      <w:proofErr w:type="spellStart"/>
      <w:r>
        <w:rPr>
          <w:rFonts w:ascii="Calibri" w:eastAsia="Calibri" w:hAnsi="Calibri" w:cs="Calibri"/>
          <w:color w:val="1A1A1A"/>
          <w:sz w:val="21"/>
          <w:szCs w:val="21"/>
        </w:rPr>
        <w:t>Goffman</w:t>
      </w:r>
      <w:proofErr w:type="spellEnd"/>
      <w:r>
        <w:rPr>
          <w:rFonts w:ascii="Calibri" w:eastAsia="Calibri" w:hAnsi="Calibri" w:cs="Calibri"/>
          <w:color w:val="1A1A1A"/>
          <w:sz w:val="21"/>
          <w:szCs w:val="21"/>
        </w:rPr>
        <w:t xml:space="preserve">, E. (1959). </w:t>
      </w:r>
      <w:proofErr w:type="spellStart"/>
      <w:r>
        <w:rPr>
          <w:rFonts w:ascii="Calibri" w:eastAsia="Calibri" w:hAnsi="Calibri" w:cs="Calibri"/>
          <w:color w:val="1A1A1A"/>
          <w:sz w:val="21"/>
          <w:szCs w:val="21"/>
        </w:rPr>
        <w:t>The</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Presentation</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of</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Self</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in</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Everyday</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Life</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Anchor</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Books</w:t>
      </w:r>
      <w:proofErr w:type="spellEnd"/>
      <w:r>
        <w:rPr>
          <w:rFonts w:ascii="Calibri" w:eastAsia="Calibri" w:hAnsi="Calibri" w:cs="Calibri"/>
          <w:color w:val="1A1A1A"/>
          <w:sz w:val="21"/>
          <w:szCs w:val="21"/>
        </w:rPr>
        <w:t>.</w:t>
      </w:r>
    </w:p>
    <w:p w14:paraId="0F427800" w14:textId="77777777" w:rsidR="00E744F3" w:rsidRDefault="003D5C13" w:rsidP="00FA2CB4">
      <w:pPr>
        <w:bidi w:val="0"/>
        <w:spacing w:after="130" w:line="300" w:lineRule="auto"/>
        <w:ind w:left="400" w:hanging="400"/>
        <w:jc w:val="right"/>
        <w:rPr>
          <w:rFonts w:cs="Times New Roman"/>
        </w:rPr>
      </w:pPr>
      <w:proofErr w:type="spellStart"/>
      <w:r>
        <w:rPr>
          <w:rFonts w:ascii="Calibri" w:eastAsia="Calibri" w:hAnsi="Calibri" w:cs="Calibri"/>
          <w:color w:val="1A1A1A"/>
          <w:sz w:val="21"/>
          <w:szCs w:val="21"/>
        </w:rPr>
        <w:t>Goffman</w:t>
      </w:r>
      <w:proofErr w:type="spellEnd"/>
      <w:r>
        <w:rPr>
          <w:rFonts w:ascii="Calibri" w:eastAsia="Calibri" w:hAnsi="Calibri" w:cs="Calibri"/>
          <w:color w:val="1A1A1A"/>
          <w:sz w:val="21"/>
          <w:szCs w:val="21"/>
        </w:rPr>
        <w:t xml:space="preserve">, E. (1961). </w:t>
      </w:r>
      <w:proofErr w:type="spellStart"/>
      <w:r>
        <w:rPr>
          <w:rFonts w:ascii="Calibri" w:eastAsia="Calibri" w:hAnsi="Calibri" w:cs="Calibri"/>
          <w:color w:val="1A1A1A"/>
          <w:sz w:val="21"/>
          <w:szCs w:val="21"/>
        </w:rPr>
        <w:t>Asylums</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Essays</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on</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the</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Social</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Situation</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of</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Mental</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Patients</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and</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Other</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Inmates</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Anchor</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Books</w:t>
      </w:r>
      <w:proofErr w:type="spellEnd"/>
      <w:r>
        <w:rPr>
          <w:rFonts w:ascii="Calibri" w:eastAsia="Calibri" w:hAnsi="Calibri" w:cs="Calibri"/>
          <w:color w:val="1A1A1A"/>
          <w:sz w:val="21"/>
          <w:szCs w:val="21"/>
        </w:rPr>
        <w:t>.</w:t>
      </w:r>
    </w:p>
    <w:p w14:paraId="04024EA0" w14:textId="77777777" w:rsidR="00E744F3" w:rsidRDefault="003D5C13" w:rsidP="00FA2CB4">
      <w:pPr>
        <w:bidi w:val="0"/>
        <w:spacing w:after="130" w:line="300" w:lineRule="auto"/>
        <w:ind w:left="400" w:hanging="400"/>
        <w:jc w:val="right"/>
        <w:rPr>
          <w:rFonts w:cs="Times New Roman"/>
        </w:rPr>
      </w:pPr>
      <w:proofErr w:type="spellStart"/>
      <w:r>
        <w:rPr>
          <w:rFonts w:ascii="Calibri" w:eastAsia="Calibri" w:hAnsi="Calibri" w:cs="Calibri"/>
          <w:color w:val="1A1A1A"/>
          <w:sz w:val="21"/>
          <w:szCs w:val="21"/>
        </w:rPr>
        <w:t>Goffman</w:t>
      </w:r>
      <w:proofErr w:type="spellEnd"/>
      <w:r>
        <w:rPr>
          <w:rFonts w:ascii="Calibri" w:eastAsia="Calibri" w:hAnsi="Calibri" w:cs="Calibri"/>
          <w:color w:val="1A1A1A"/>
          <w:sz w:val="21"/>
          <w:szCs w:val="21"/>
        </w:rPr>
        <w:t xml:space="preserve">, E. (1963). </w:t>
      </w:r>
      <w:proofErr w:type="spellStart"/>
      <w:r>
        <w:rPr>
          <w:rFonts w:ascii="Calibri" w:eastAsia="Calibri" w:hAnsi="Calibri" w:cs="Calibri"/>
          <w:color w:val="1A1A1A"/>
          <w:sz w:val="21"/>
          <w:szCs w:val="21"/>
        </w:rPr>
        <w:t>Stigma</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Notes</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on</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the</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Management</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of</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Spoiled</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Identity</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Prentice</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Hall</w:t>
      </w:r>
      <w:proofErr w:type="spellEnd"/>
      <w:r>
        <w:rPr>
          <w:rFonts w:ascii="Calibri" w:eastAsia="Calibri" w:hAnsi="Calibri" w:cs="Calibri"/>
          <w:color w:val="1A1A1A"/>
          <w:sz w:val="21"/>
          <w:szCs w:val="21"/>
        </w:rPr>
        <w:t>.</w:t>
      </w:r>
    </w:p>
    <w:p w14:paraId="678F138F" w14:textId="77777777" w:rsidR="00E744F3" w:rsidRDefault="003D5C13" w:rsidP="00FA2CB4">
      <w:pPr>
        <w:bidi w:val="0"/>
        <w:spacing w:after="130" w:line="300" w:lineRule="auto"/>
        <w:ind w:left="400" w:hanging="400"/>
        <w:jc w:val="right"/>
        <w:rPr>
          <w:rFonts w:cs="Times New Roman"/>
        </w:rPr>
      </w:pPr>
      <w:proofErr w:type="spellStart"/>
      <w:r>
        <w:rPr>
          <w:rFonts w:ascii="Calibri" w:eastAsia="Calibri" w:hAnsi="Calibri" w:cs="Calibri"/>
          <w:color w:val="1A1A1A"/>
          <w:sz w:val="21"/>
          <w:szCs w:val="21"/>
        </w:rPr>
        <w:t>Goffman</w:t>
      </w:r>
      <w:proofErr w:type="spellEnd"/>
      <w:r>
        <w:rPr>
          <w:rFonts w:ascii="Calibri" w:eastAsia="Calibri" w:hAnsi="Calibri" w:cs="Calibri"/>
          <w:color w:val="1A1A1A"/>
          <w:sz w:val="21"/>
          <w:szCs w:val="21"/>
        </w:rPr>
        <w:t xml:space="preserve">, E. (1963). </w:t>
      </w:r>
      <w:proofErr w:type="spellStart"/>
      <w:r>
        <w:rPr>
          <w:rFonts w:ascii="Calibri" w:eastAsia="Calibri" w:hAnsi="Calibri" w:cs="Calibri"/>
          <w:color w:val="1A1A1A"/>
          <w:sz w:val="21"/>
          <w:szCs w:val="21"/>
        </w:rPr>
        <w:t>Behavior</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in</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Public</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Places</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Free</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Press</w:t>
      </w:r>
      <w:proofErr w:type="spellEnd"/>
      <w:r>
        <w:rPr>
          <w:rFonts w:ascii="Calibri" w:eastAsia="Calibri" w:hAnsi="Calibri" w:cs="Calibri"/>
          <w:color w:val="1A1A1A"/>
          <w:sz w:val="21"/>
          <w:szCs w:val="21"/>
        </w:rPr>
        <w:t>.</w:t>
      </w:r>
    </w:p>
    <w:p w14:paraId="76EE4111" w14:textId="77777777" w:rsidR="00E744F3" w:rsidRDefault="003D5C13" w:rsidP="00FA2CB4">
      <w:pPr>
        <w:bidi w:val="0"/>
        <w:spacing w:after="130" w:line="300" w:lineRule="auto"/>
        <w:ind w:left="400" w:hanging="400"/>
        <w:jc w:val="right"/>
        <w:rPr>
          <w:rFonts w:cs="Times New Roman"/>
        </w:rPr>
      </w:pPr>
      <w:proofErr w:type="spellStart"/>
      <w:r>
        <w:rPr>
          <w:rFonts w:ascii="Calibri" w:eastAsia="Calibri" w:hAnsi="Calibri" w:cs="Calibri"/>
          <w:color w:val="1A1A1A"/>
          <w:sz w:val="21"/>
          <w:szCs w:val="21"/>
        </w:rPr>
        <w:t>Goffman</w:t>
      </w:r>
      <w:proofErr w:type="spellEnd"/>
      <w:r>
        <w:rPr>
          <w:rFonts w:ascii="Calibri" w:eastAsia="Calibri" w:hAnsi="Calibri" w:cs="Calibri"/>
          <w:color w:val="1A1A1A"/>
          <w:sz w:val="21"/>
          <w:szCs w:val="21"/>
        </w:rPr>
        <w:t xml:space="preserve">, E. (1967). </w:t>
      </w:r>
      <w:proofErr w:type="spellStart"/>
      <w:r>
        <w:rPr>
          <w:rFonts w:ascii="Calibri" w:eastAsia="Calibri" w:hAnsi="Calibri" w:cs="Calibri"/>
          <w:color w:val="1A1A1A"/>
          <w:sz w:val="21"/>
          <w:szCs w:val="21"/>
        </w:rPr>
        <w:t>Interaction</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Ritual</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Essays</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on</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Face-to-Face</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Behavior</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Anchor</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Books</w:t>
      </w:r>
      <w:proofErr w:type="spellEnd"/>
      <w:r>
        <w:rPr>
          <w:rFonts w:ascii="Calibri" w:eastAsia="Calibri" w:hAnsi="Calibri" w:cs="Calibri"/>
          <w:color w:val="1A1A1A"/>
          <w:sz w:val="21"/>
          <w:szCs w:val="21"/>
        </w:rPr>
        <w:t>.</w:t>
      </w:r>
    </w:p>
    <w:p w14:paraId="2D432D80" w14:textId="77777777" w:rsidR="00E744F3" w:rsidRDefault="003D5C13" w:rsidP="00FA2CB4">
      <w:pPr>
        <w:bidi w:val="0"/>
        <w:spacing w:after="130" w:line="300" w:lineRule="auto"/>
        <w:ind w:left="400" w:hanging="400"/>
        <w:jc w:val="right"/>
        <w:rPr>
          <w:rFonts w:cs="Times New Roman"/>
        </w:rPr>
      </w:pPr>
      <w:proofErr w:type="spellStart"/>
      <w:r>
        <w:rPr>
          <w:rFonts w:ascii="Calibri" w:eastAsia="Calibri" w:hAnsi="Calibri" w:cs="Calibri"/>
          <w:color w:val="1A1A1A"/>
          <w:sz w:val="21"/>
          <w:szCs w:val="21"/>
        </w:rPr>
        <w:t>Goffman</w:t>
      </w:r>
      <w:proofErr w:type="spellEnd"/>
      <w:r>
        <w:rPr>
          <w:rFonts w:ascii="Calibri" w:eastAsia="Calibri" w:hAnsi="Calibri" w:cs="Calibri"/>
          <w:color w:val="1A1A1A"/>
          <w:sz w:val="21"/>
          <w:szCs w:val="21"/>
        </w:rPr>
        <w:t xml:space="preserve">, E. (1971). </w:t>
      </w:r>
      <w:proofErr w:type="spellStart"/>
      <w:r>
        <w:rPr>
          <w:rFonts w:ascii="Calibri" w:eastAsia="Calibri" w:hAnsi="Calibri" w:cs="Calibri"/>
          <w:color w:val="1A1A1A"/>
          <w:sz w:val="21"/>
          <w:szCs w:val="21"/>
        </w:rPr>
        <w:t>Relations</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in</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Public</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Microstudies</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of</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the</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Public</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Order</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Basic</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Books</w:t>
      </w:r>
      <w:proofErr w:type="spellEnd"/>
      <w:r>
        <w:rPr>
          <w:rFonts w:ascii="Calibri" w:eastAsia="Calibri" w:hAnsi="Calibri" w:cs="Calibri"/>
          <w:color w:val="1A1A1A"/>
          <w:sz w:val="21"/>
          <w:szCs w:val="21"/>
        </w:rPr>
        <w:t>.</w:t>
      </w:r>
    </w:p>
    <w:p w14:paraId="053558CD" w14:textId="77777777" w:rsidR="00E744F3" w:rsidRDefault="003D5C13" w:rsidP="00FA2CB4">
      <w:pPr>
        <w:bidi w:val="0"/>
        <w:spacing w:after="130" w:line="300" w:lineRule="auto"/>
        <w:ind w:left="400" w:hanging="400"/>
        <w:jc w:val="right"/>
        <w:rPr>
          <w:rFonts w:cs="Times New Roman"/>
        </w:rPr>
      </w:pPr>
      <w:proofErr w:type="spellStart"/>
      <w:r>
        <w:rPr>
          <w:rFonts w:ascii="Calibri" w:eastAsia="Calibri" w:hAnsi="Calibri" w:cs="Calibri"/>
          <w:color w:val="1A1A1A"/>
          <w:sz w:val="21"/>
          <w:szCs w:val="21"/>
        </w:rPr>
        <w:t>Goffman</w:t>
      </w:r>
      <w:proofErr w:type="spellEnd"/>
      <w:r>
        <w:rPr>
          <w:rFonts w:ascii="Calibri" w:eastAsia="Calibri" w:hAnsi="Calibri" w:cs="Calibri"/>
          <w:color w:val="1A1A1A"/>
          <w:sz w:val="21"/>
          <w:szCs w:val="21"/>
        </w:rPr>
        <w:t xml:space="preserve">, E. (1974). </w:t>
      </w:r>
      <w:proofErr w:type="spellStart"/>
      <w:r>
        <w:rPr>
          <w:rFonts w:ascii="Calibri" w:eastAsia="Calibri" w:hAnsi="Calibri" w:cs="Calibri"/>
          <w:color w:val="1A1A1A"/>
          <w:sz w:val="21"/>
          <w:szCs w:val="21"/>
        </w:rPr>
        <w:t>Frame</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Analysis</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An</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Essay</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on</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the</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Organization</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of</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Experience</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Harvard</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University</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Press</w:t>
      </w:r>
      <w:proofErr w:type="spellEnd"/>
      <w:r>
        <w:rPr>
          <w:rFonts w:ascii="Calibri" w:eastAsia="Calibri" w:hAnsi="Calibri" w:cs="Calibri"/>
          <w:color w:val="1A1A1A"/>
          <w:sz w:val="21"/>
          <w:szCs w:val="21"/>
        </w:rPr>
        <w:t>.</w:t>
      </w:r>
    </w:p>
    <w:p w14:paraId="6A9C6705" w14:textId="77777777" w:rsidR="00E744F3" w:rsidRDefault="003D5C13" w:rsidP="00FA2CB4">
      <w:pPr>
        <w:bidi w:val="0"/>
        <w:spacing w:after="130" w:line="300" w:lineRule="auto"/>
        <w:ind w:left="400" w:hanging="400"/>
        <w:jc w:val="right"/>
        <w:rPr>
          <w:rFonts w:cs="Times New Roman"/>
        </w:rPr>
      </w:pPr>
      <w:proofErr w:type="spellStart"/>
      <w:r>
        <w:rPr>
          <w:rFonts w:ascii="Calibri" w:eastAsia="Calibri" w:hAnsi="Calibri" w:cs="Calibri"/>
          <w:color w:val="1A1A1A"/>
          <w:sz w:val="21"/>
          <w:szCs w:val="21"/>
        </w:rPr>
        <w:t>Goffman</w:t>
      </w:r>
      <w:proofErr w:type="spellEnd"/>
      <w:r>
        <w:rPr>
          <w:rFonts w:ascii="Calibri" w:eastAsia="Calibri" w:hAnsi="Calibri" w:cs="Calibri"/>
          <w:color w:val="1A1A1A"/>
          <w:sz w:val="21"/>
          <w:szCs w:val="21"/>
        </w:rPr>
        <w:t xml:space="preserve">, E. (1981). </w:t>
      </w:r>
      <w:proofErr w:type="spellStart"/>
      <w:r>
        <w:rPr>
          <w:rFonts w:ascii="Calibri" w:eastAsia="Calibri" w:hAnsi="Calibri" w:cs="Calibri"/>
          <w:color w:val="1A1A1A"/>
          <w:sz w:val="21"/>
          <w:szCs w:val="21"/>
        </w:rPr>
        <w:t>Forms</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of</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Talk</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University</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of</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Pennsylvania</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Press</w:t>
      </w:r>
      <w:proofErr w:type="spellEnd"/>
      <w:r>
        <w:rPr>
          <w:rFonts w:ascii="Calibri" w:eastAsia="Calibri" w:hAnsi="Calibri" w:cs="Calibri"/>
          <w:color w:val="1A1A1A"/>
          <w:sz w:val="21"/>
          <w:szCs w:val="21"/>
        </w:rPr>
        <w:t>.</w:t>
      </w:r>
    </w:p>
    <w:p w14:paraId="0D290DA6" w14:textId="77777777" w:rsidR="00E744F3" w:rsidRDefault="003D5C13" w:rsidP="00FA2CB4">
      <w:pPr>
        <w:bidi w:val="0"/>
        <w:spacing w:after="130" w:line="300" w:lineRule="auto"/>
        <w:ind w:left="400" w:hanging="400"/>
        <w:jc w:val="right"/>
        <w:rPr>
          <w:rFonts w:cs="Times New Roman"/>
        </w:rPr>
      </w:pPr>
      <w:proofErr w:type="spellStart"/>
      <w:r>
        <w:rPr>
          <w:rFonts w:ascii="Calibri" w:eastAsia="Calibri" w:hAnsi="Calibri" w:cs="Calibri"/>
          <w:color w:val="1A1A1A"/>
          <w:sz w:val="21"/>
          <w:szCs w:val="21"/>
        </w:rPr>
        <w:t>Goffman</w:t>
      </w:r>
      <w:proofErr w:type="spellEnd"/>
      <w:r>
        <w:rPr>
          <w:rFonts w:ascii="Calibri" w:eastAsia="Calibri" w:hAnsi="Calibri" w:cs="Calibri"/>
          <w:color w:val="1A1A1A"/>
          <w:sz w:val="21"/>
          <w:szCs w:val="21"/>
        </w:rPr>
        <w:t xml:space="preserve">, E. (1983). </w:t>
      </w:r>
      <w:proofErr w:type="spellStart"/>
      <w:r>
        <w:rPr>
          <w:rFonts w:ascii="Calibri" w:eastAsia="Calibri" w:hAnsi="Calibri" w:cs="Calibri"/>
          <w:color w:val="1A1A1A"/>
          <w:sz w:val="21"/>
          <w:szCs w:val="21"/>
        </w:rPr>
        <w:t>The</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Interaction</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Order</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American</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Sociological</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Review</w:t>
      </w:r>
      <w:proofErr w:type="spellEnd"/>
      <w:r>
        <w:rPr>
          <w:rFonts w:ascii="Calibri" w:eastAsia="Calibri" w:hAnsi="Calibri" w:cs="Calibri"/>
          <w:color w:val="1A1A1A"/>
          <w:sz w:val="21"/>
          <w:szCs w:val="21"/>
        </w:rPr>
        <w:t>, 48(1), 1–17.</w:t>
      </w:r>
    </w:p>
    <w:p w14:paraId="7AFD632E" w14:textId="77777777" w:rsidR="00E744F3" w:rsidRDefault="003D5C13" w:rsidP="00FA2CB4">
      <w:pPr>
        <w:pStyle w:val="2"/>
        <w:bidi/>
        <w:spacing w:before="300" w:after="140"/>
        <w:rPr>
          <w:rFonts w:cs="Times New Roman"/>
        </w:rPr>
      </w:pPr>
      <w:r>
        <w:rPr>
          <w:b/>
          <w:bCs/>
          <w:color w:val="2E7D7B"/>
        </w:rPr>
        <w:t>ثانياً: المراجع الثانوية الأساسية</w:t>
      </w:r>
    </w:p>
    <w:p w14:paraId="65D2DFA8" w14:textId="77777777" w:rsidR="00E744F3" w:rsidRDefault="003D5C13" w:rsidP="00FA2CB4">
      <w:pPr>
        <w:bidi w:val="0"/>
        <w:spacing w:after="130" w:line="300" w:lineRule="auto"/>
        <w:ind w:left="400" w:hanging="400"/>
        <w:jc w:val="right"/>
        <w:rPr>
          <w:rFonts w:cs="Times New Roman"/>
        </w:rPr>
      </w:pPr>
      <w:proofErr w:type="spellStart"/>
      <w:r>
        <w:rPr>
          <w:rFonts w:ascii="Calibri" w:eastAsia="Calibri" w:hAnsi="Calibri" w:cs="Calibri"/>
          <w:color w:val="1A1A1A"/>
          <w:sz w:val="21"/>
          <w:szCs w:val="21"/>
        </w:rPr>
        <w:t>Burns</w:t>
      </w:r>
      <w:proofErr w:type="spellEnd"/>
      <w:r>
        <w:rPr>
          <w:rFonts w:ascii="Calibri" w:eastAsia="Calibri" w:hAnsi="Calibri" w:cs="Calibri"/>
          <w:color w:val="1A1A1A"/>
          <w:sz w:val="21"/>
          <w:szCs w:val="21"/>
        </w:rPr>
        <w:t xml:space="preserve">, T. (1992). </w:t>
      </w:r>
      <w:proofErr w:type="spellStart"/>
      <w:r>
        <w:rPr>
          <w:rFonts w:ascii="Calibri" w:eastAsia="Calibri" w:hAnsi="Calibri" w:cs="Calibri"/>
          <w:color w:val="1A1A1A"/>
          <w:sz w:val="21"/>
          <w:szCs w:val="21"/>
        </w:rPr>
        <w:t>Erving</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Goffman</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Routledge</w:t>
      </w:r>
      <w:proofErr w:type="spellEnd"/>
      <w:r>
        <w:rPr>
          <w:rFonts w:ascii="Calibri" w:eastAsia="Calibri" w:hAnsi="Calibri" w:cs="Calibri"/>
          <w:color w:val="1A1A1A"/>
          <w:sz w:val="21"/>
          <w:szCs w:val="21"/>
        </w:rPr>
        <w:t>.</w:t>
      </w:r>
    </w:p>
    <w:p w14:paraId="65DB2B49" w14:textId="77777777" w:rsidR="00E744F3" w:rsidRDefault="003D5C13" w:rsidP="00FA2CB4">
      <w:pPr>
        <w:bidi w:val="0"/>
        <w:spacing w:after="130" w:line="300" w:lineRule="auto"/>
        <w:ind w:left="400" w:hanging="400"/>
        <w:jc w:val="right"/>
        <w:rPr>
          <w:rFonts w:cs="Times New Roman"/>
        </w:rPr>
      </w:pPr>
      <w:proofErr w:type="spellStart"/>
      <w:r>
        <w:rPr>
          <w:rFonts w:ascii="Calibri" w:eastAsia="Calibri" w:hAnsi="Calibri" w:cs="Calibri"/>
          <w:color w:val="1A1A1A"/>
          <w:sz w:val="21"/>
          <w:szCs w:val="21"/>
        </w:rPr>
        <w:t>Fine</w:t>
      </w:r>
      <w:proofErr w:type="spellEnd"/>
      <w:r>
        <w:rPr>
          <w:rFonts w:ascii="Calibri" w:eastAsia="Calibri" w:hAnsi="Calibri" w:cs="Calibri"/>
          <w:color w:val="1A1A1A"/>
          <w:sz w:val="21"/>
          <w:szCs w:val="21"/>
        </w:rPr>
        <w:t xml:space="preserve">, G.A. &amp; </w:t>
      </w:r>
      <w:proofErr w:type="spellStart"/>
      <w:r>
        <w:rPr>
          <w:rFonts w:ascii="Calibri" w:eastAsia="Calibri" w:hAnsi="Calibri" w:cs="Calibri"/>
          <w:color w:val="1A1A1A"/>
          <w:sz w:val="21"/>
          <w:szCs w:val="21"/>
        </w:rPr>
        <w:t>Manning</w:t>
      </w:r>
      <w:proofErr w:type="spellEnd"/>
      <w:r>
        <w:rPr>
          <w:rFonts w:ascii="Calibri" w:eastAsia="Calibri" w:hAnsi="Calibri" w:cs="Calibri"/>
          <w:color w:val="1A1A1A"/>
          <w:sz w:val="21"/>
          <w:szCs w:val="21"/>
        </w:rPr>
        <w:t xml:space="preserve">, P. (2003). </w:t>
      </w:r>
      <w:proofErr w:type="spellStart"/>
      <w:r>
        <w:rPr>
          <w:rFonts w:ascii="Calibri" w:eastAsia="Calibri" w:hAnsi="Calibri" w:cs="Calibri"/>
          <w:color w:val="1A1A1A"/>
          <w:sz w:val="21"/>
          <w:szCs w:val="21"/>
        </w:rPr>
        <w:t>Erving</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Goffman</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In</w:t>
      </w:r>
      <w:proofErr w:type="spellEnd"/>
      <w:r>
        <w:rPr>
          <w:rFonts w:ascii="Calibri" w:eastAsia="Calibri" w:hAnsi="Calibri" w:cs="Calibri"/>
          <w:color w:val="1A1A1A"/>
          <w:sz w:val="21"/>
          <w:szCs w:val="21"/>
        </w:rPr>
        <w:t xml:space="preserve"> G. </w:t>
      </w:r>
      <w:proofErr w:type="spellStart"/>
      <w:r>
        <w:rPr>
          <w:rFonts w:ascii="Calibri" w:eastAsia="Calibri" w:hAnsi="Calibri" w:cs="Calibri"/>
          <w:color w:val="1A1A1A"/>
          <w:sz w:val="21"/>
          <w:szCs w:val="21"/>
        </w:rPr>
        <w:t>Ritzer</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Ed</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The</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Blackwell</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Companion</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to</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Major</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Social</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Theorists</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Blackwell</w:t>
      </w:r>
      <w:proofErr w:type="spellEnd"/>
      <w:r>
        <w:rPr>
          <w:rFonts w:ascii="Calibri" w:eastAsia="Calibri" w:hAnsi="Calibri" w:cs="Calibri"/>
          <w:color w:val="1A1A1A"/>
          <w:sz w:val="21"/>
          <w:szCs w:val="21"/>
        </w:rPr>
        <w:t>.</w:t>
      </w:r>
    </w:p>
    <w:p w14:paraId="24188802" w14:textId="77777777" w:rsidR="00E744F3" w:rsidRDefault="003D5C13" w:rsidP="00FA2CB4">
      <w:pPr>
        <w:bidi w:val="0"/>
        <w:spacing w:after="130" w:line="300" w:lineRule="auto"/>
        <w:ind w:left="400" w:hanging="400"/>
        <w:jc w:val="right"/>
        <w:rPr>
          <w:rFonts w:cs="Times New Roman"/>
        </w:rPr>
      </w:pPr>
      <w:proofErr w:type="spellStart"/>
      <w:r>
        <w:rPr>
          <w:rFonts w:ascii="Calibri" w:eastAsia="Calibri" w:hAnsi="Calibri" w:cs="Calibri"/>
          <w:color w:val="1A1A1A"/>
          <w:sz w:val="21"/>
          <w:szCs w:val="21"/>
        </w:rPr>
        <w:t>Lemert</w:t>
      </w:r>
      <w:proofErr w:type="spellEnd"/>
      <w:r>
        <w:rPr>
          <w:rFonts w:ascii="Calibri" w:eastAsia="Calibri" w:hAnsi="Calibri" w:cs="Calibri"/>
          <w:color w:val="1A1A1A"/>
          <w:sz w:val="21"/>
          <w:szCs w:val="21"/>
        </w:rPr>
        <w:t xml:space="preserve">, C. &amp; </w:t>
      </w:r>
      <w:proofErr w:type="spellStart"/>
      <w:r>
        <w:rPr>
          <w:rFonts w:ascii="Calibri" w:eastAsia="Calibri" w:hAnsi="Calibri" w:cs="Calibri"/>
          <w:color w:val="1A1A1A"/>
          <w:sz w:val="21"/>
          <w:szCs w:val="21"/>
        </w:rPr>
        <w:t>Branaman</w:t>
      </w:r>
      <w:proofErr w:type="spellEnd"/>
      <w:r>
        <w:rPr>
          <w:rFonts w:ascii="Calibri" w:eastAsia="Calibri" w:hAnsi="Calibri" w:cs="Calibri"/>
          <w:color w:val="1A1A1A"/>
          <w:sz w:val="21"/>
          <w:szCs w:val="21"/>
        </w:rPr>
        <w:t>, A. (</w:t>
      </w:r>
      <w:proofErr w:type="spellStart"/>
      <w:r>
        <w:rPr>
          <w:rFonts w:ascii="Calibri" w:eastAsia="Calibri" w:hAnsi="Calibri" w:cs="Calibri"/>
          <w:color w:val="1A1A1A"/>
          <w:sz w:val="21"/>
          <w:szCs w:val="21"/>
        </w:rPr>
        <w:t>Eds</w:t>
      </w:r>
      <w:proofErr w:type="spellEnd"/>
      <w:r>
        <w:rPr>
          <w:rFonts w:ascii="Calibri" w:eastAsia="Calibri" w:hAnsi="Calibri" w:cs="Calibri"/>
          <w:color w:val="1A1A1A"/>
          <w:sz w:val="21"/>
          <w:szCs w:val="21"/>
        </w:rPr>
        <w:t xml:space="preserve">.) (1997). </w:t>
      </w:r>
      <w:proofErr w:type="spellStart"/>
      <w:r>
        <w:rPr>
          <w:rFonts w:ascii="Calibri" w:eastAsia="Calibri" w:hAnsi="Calibri" w:cs="Calibri"/>
          <w:color w:val="1A1A1A"/>
          <w:sz w:val="21"/>
          <w:szCs w:val="21"/>
        </w:rPr>
        <w:t>The</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Goffman</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Reader</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Blackwell</w:t>
      </w:r>
      <w:proofErr w:type="spellEnd"/>
      <w:r>
        <w:rPr>
          <w:rFonts w:ascii="Calibri" w:eastAsia="Calibri" w:hAnsi="Calibri" w:cs="Calibri"/>
          <w:color w:val="1A1A1A"/>
          <w:sz w:val="21"/>
          <w:szCs w:val="21"/>
        </w:rPr>
        <w:t>.</w:t>
      </w:r>
    </w:p>
    <w:p w14:paraId="5C266B33" w14:textId="77777777" w:rsidR="00E744F3" w:rsidRDefault="003D5C13" w:rsidP="00FA2CB4">
      <w:pPr>
        <w:bidi w:val="0"/>
        <w:spacing w:after="130" w:line="300" w:lineRule="auto"/>
        <w:ind w:left="400" w:hanging="400"/>
        <w:jc w:val="right"/>
        <w:rPr>
          <w:rFonts w:cs="Times New Roman"/>
        </w:rPr>
      </w:pPr>
      <w:proofErr w:type="spellStart"/>
      <w:r>
        <w:rPr>
          <w:rFonts w:ascii="Calibri" w:eastAsia="Calibri" w:hAnsi="Calibri" w:cs="Calibri"/>
          <w:color w:val="1A1A1A"/>
          <w:sz w:val="21"/>
          <w:szCs w:val="21"/>
        </w:rPr>
        <w:t>Manning</w:t>
      </w:r>
      <w:proofErr w:type="spellEnd"/>
      <w:r>
        <w:rPr>
          <w:rFonts w:ascii="Calibri" w:eastAsia="Calibri" w:hAnsi="Calibri" w:cs="Calibri"/>
          <w:color w:val="1A1A1A"/>
          <w:sz w:val="21"/>
          <w:szCs w:val="21"/>
        </w:rPr>
        <w:t xml:space="preserve">, P. (1992). </w:t>
      </w:r>
      <w:proofErr w:type="spellStart"/>
      <w:r>
        <w:rPr>
          <w:rFonts w:ascii="Calibri" w:eastAsia="Calibri" w:hAnsi="Calibri" w:cs="Calibri"/>
          <w:color w:val="1A1A1A"/>
          <w:sz w:val="21"/>
          <w:szCs w:val="21"/>
        </w:rPr>
        <w:t>Erving</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Goffman</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and</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Modern</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Sociology</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Stanford</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University</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Press</w:t>
      </w:r>
      <w:proofErr w:type="spellEnd"/>
      <w:r>
        <w:rPr>
          <w:rFonts w:ascii="Calibri" w:eastAsia="Calibri" w:hAnsi="Calibri" w:cs="Calibri"/>
          <w:color w:val="1A1A1A"/>
          <w:sz w:val="21"/>
          <w:szCs w:val="21"/>
        </w:rPr>
        <w:t>.</w:t>
      </w:r>
    </w:p>
    <w:p w14:paraId="48EB5F64" w14:textId="77777777" w:rsidR="00E744F3" w:rsidRDefault="003D5C13" w:rsidP="00FA2CB4">
      <w:pPr>
        <w:bidi w:val="0"/>
        <w:spacing w:after="130" w:line="300" w:lineRule="auto"/>
        <w:ind w:left="400" w:hanging="400"/>
        <w:jc w:val="right"/>
        <w:rPr>
          <w:rFonts w:cs="Times New Roman"/>
        </w:rPr>
      </w:pPr>
      <w:proofErr w:type="spellStart"/>
      <w:r>
        <w:rPr>
          <w:rFonts w:ascii="Calibri" w:eastAsia="Calibri" w:hAnsi="Calibri" w:cs="Calibri"/>
          <w:color w:val="1A1A1A"/>
          <w:sz w:val="21"/>
          <w:szCs w:val="21"/>
        </w:rPr>
        <w:t>Trevino</w:t>
      </w:r>
      <w:proofErr w:type="spellEnd"/>
      <w:r>
        <w:rPr>
          <w:rFonts w:ascii="Calibri" w:eastAsia="Calibri" w:hAnsi="Calibri" w:cs="Calibri"/>
          <w:color w:val="1A1A1A"/>
          <w:sz w:val="21"/>
          <w:szCs w:val="21"/>
        </w:rPr>
        <w:t>, A.J. (</w:t>
      </w:r>
      <w:proofErr w:type="spellStart"/>
      <w:r>
        <w:rPr>
          <w:rFonts w:ascii="Calibri" w:eastAsia="Calibri" w:hAnsi="Calibri" w:cs="Calibri"/>
          <w:color w:val="1A1A1A"/>
          <w:sz w:val="21"/>
          <w:szCs w:val="21"/>
        </w:rPr>
        <w:t>Ed</w:t>
      </w:r>
      <w:proofErr w:type="spellEnd"/>
      <w:r>
        <w:rPr>
          <w:rFonts w:ascii="Calibri" w:eastAsia="Calibri" w:hAnsi="Calibri" w:cs="Calibri"/>
          <w:color w:val="1A1A1A"/>
          <w:sz w:val="21"/>
          <w:szCs w:val="21"/>
        </w:rPr>
        <w:t xml:space="preserve">.) (2003). </w:t>
      </w:r>
      <w:proofErr w:type="spellStart"/>
      <w:r>
        <w:rPr>
          <w:rFonts w:ascii="Calibri" w:eastAsia="Calibri" w:hAnsi="Calibri" w:cs="Calibri"/>
          <w:color w:val="1A1A1A"/>
          <w:sz w:val="21"/>
          <w:szCs w:val="21"/>
        </w:rPr>
        <w:t>Goffman</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Legacy</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Rowman</w:t>
      </w:r>
      <w:proofErr w:type="spellEnd"/>
      <w:r>
        <w:rPr>
          <w:rFonts w:ascii="Calibri" w:eastAsia="Calibri" w:hAnsi="Calibri" w:cs="Calibri"/>
          <w:color w:val="1A1A1A"/>
          <w:sz w:val="21"/>
          <w:szCs w:val="21"/>
        </w:rPr>
        <w:t xml:space="preserve"> &amp; </w:t>
      </w:r>
      <w:proofErr w:type="spellStart"/>
      <w:r>
        <w:rPr>
          <w:rFonts w:ascii="Calibri" w:eastAsia="Calibri" w:hAnsi="Calibri" w:cs="Calibri"/>
          <w:color w:val="1A1A1A"/>
          <w:sz w:val="21"/>
          <w:szCs w:val="21"/>
        </w:rPr>
        <w:t>Littlefield</w:t>
      </w:r>
      <w:proofErr w:type="spellEnd"/>
      <w:r>
        <w:rPr>
          <w:rFonts w:ascii="Calibri" w:eastAsia="Calibri" w:hAnsi="Calibri" w:cs="Calibri"/>
          <w:color w:val="1A1A1A"/>
          <w:sz w:val="21"/>
          <w:szCs w:val="21"/>
        </w:rPr>
        <w:t>.</w:t>
      </w:r>
    </w:p>
    <w:p w14:paraId="08B74D55" w14:textId="77777777" w:rsidR="00E744F3" w:rsidRDefault="003D5C13" w:rsidP="00FA2CB4">
      <w:pPr>
        <w:bidi w:val="0"/>
        <w:spacing w:after="130" w:line="300" w:lineRule="auto"/>
        <w:ind w:left="400" w:hanging="400"/>
        <w:jc w:val="right"/>
        <w:rPr>
          <w:rFonts w:cs="Times New Roman"/>
        </w:rPr>
      </w:pPr>
      <w:proofErr w:type="spellStart"/>
      <w:r>
        <w:rPr>
          <w:rFonts w:ascii="Calibri" w:eastAsia="Calibri" w:hAnsi="Calibri" w:cs="Calibri"/>
          <w:color w:val="1A1A1A"/>
          <w:sz w:val="21"/>
          <w:szCs w:val="21"/>
        </w:rPr>
        <w:t>Giddens</w:t>
      </w:r>
      <w:proofErr w:type="spellEnd"/>
      <w:r>
        <w:rPr>
          <w:rFonts w:ascii="Calibri" w:eastAsia="Calibri" w:hAnsi="Calibri" w:cs="Calibri"/>
          <w:color w:val="1A1A1A"/>
          <w:sz w:val="21"/>
          <w:szCs w:val="21"/>
        </w:rPr>
        <w:t xml:space="preserve">, A. (1987). </w:t>
      </w:r>
      <w:proofErr w:type="spellStart"/>
      <w:r>
        <w:rPr>
          <w:rFonts w:ascii="Calibri" w:eastAsia="Calibri" w:hAnsi="Calibri" w:cs="Calibri"/>
          <w:color w:val="1A1A1A"/>
          <w:sz w:val="21"/>
          <w:szCs w:val="21"/>
        </w:rPr>
        <w:t>Goffman</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as</w:t>
      </w:r>
      <w:proofErr w:type="spellEnd"/>
      <w:r>
        <w:rPr>
          <w:rFonts w:ascii="Calibri" w:eastAsia="Calibri" w:hAnsi="Calibri" w:cs="Calibri"/>
          <w:color w:val="1A1A1A"/>
          <w:sz w:val="21"/>
          <w:szCs w:val="21"/>
        </w:rPr>
        <w:t xml:space="preserve"> a </w:t>
      </w:r>
      <w:proofErr w:type="spellStart"/>
      <w:r>
        <w:rPr>
          <w:rFonts w:ascii="Calibri" w:eastAsia="Calibri" w:hAnsi="Calibri" w:cs="Calibri"/>
          <w:color w:val="1A1A1A"/>
          <w:sz w:val="21"/>
          <w:szCs w:val="21"/>
        </w:rPr>
        <w:t>Systematic</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Social</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Theorist</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Polity</w:t>
      </w:r>
      <w:proofErr w:type="spellEnd"/>
      <w:r>
        <w:rPr>
          <w:rFonts w:ascii="Calibri" w:eastAsia="Calibri" w:hAnsi="Calibri" w:cs="Calibri"/>
          <w:color w:val="1A1A1A"/>
          <w:sz w:val="21"/>
          <w:szCs w:val="21"/>
        </w:rPr>
        <w:t xml:space="preserve"> </w:t>
      </w:r>
      <w:proofErr w:type="spellStart"/>
      <w:r>
        <w:rPr>
          <w:rFonts w:ascii="Calibri" w:eastAsia="Calibri" w:hAnsi="Calibri" w:cs="Calibri"/>
          <w:color w:val="1A1A1A"/>
          <w:sz w:val="21"/>
          <w:szCs w:val="21"/>
        </w:rPr>
        <w:t>Press</w:t>
      </w:r>
      <w:proofErr w:type="spellEnd"/>
      <w:r>
        <w:rPr>
          <w:rFonts w:ascii="Calibri" w:eastAsia="Calibri" w:hAnsi="Calibri" w:cs="Calibri"/>
          <w:color w:val="1A1A1A"/>
          <w:sz w:val="21"/>
          <w:szCs w:val="21"/>
        </w:rPr>
        <w:t>.</w:t>
      </w:r>
    </w:p>
    <w:p w14:paraId="7B1E6CB9" w14:textId="77777777" w:rsidR="00E744F3" w:rsidRDefault="003D5C13" w:rsidP="00FA2CB4">
      <w:pPr>
        <w:spacing w:before="500"/>
        <w:rPr>
          <w:rFonts w:cs="Times New Roman"/>
        </w:rPr>
      </w:pPr>
      <w:r>
        <w:rPr>
          <w:b/>
          <w:bCs/>
          <w:color w:val="B8912B"/>
          <w:sz w:val="22"/>
          <w:szCs w:val="22"/>
        </w:rPr>
        <w:t>— نهاية الدراسة —</w:t>
      </w:r>
    </w:p>
    <w:p w14:paraId="593DF3E9" w14:textId="77777777" w:rsidR="00E744F3" w:rsidRDefault="003D5C13" w:rsidP="00FA2CB4">
      <w:pPr>
        <w:spacing w:after="200"/>
        <w:rPr>
          <w:rFonts w:cs="Times New Roman"/>
        </w:rPr>
      </w:pPr>
      <w:proofErr w:type="spellStart"/>
      <w:r>
        <w:rPr>
          <w:color w:val="5A5A5A"/>
          <w:sz w:val="20"/>
          <w:szCs w:val="20"/>
        </w:rPr>
        <w:t>إرفينغ</w:t>
      </w:r>
      <w:proofErr w:type="spellEnd"/>
      <w:r>
        <w:rPr>
          <w:color w:val="5A5A5A"/>
          <w:sz w:val="20"/>
          <w:szCs w:val="20"/>
        </w:rPr>
        <w:t xml:space="preserve"> غوفمان (1922–1982)</w:t>
      </w:r>
    </w:p>
    <w:sectPr w:rsidR="00E744F3">
      <w:headerReference w:type="default" r:id="rId7"/>
      <w:footerReference w:type="default" r:id="rId8"/>
      <w:pgSz w:w="12240" w:h="15840"/>
      <w:pgMar w:top="1100" w:right="1100" w:bottom="1100" w:left="110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98F52" w14:textId="77777777" w:rsidR="003D5C13" w:rsidRDefault="003D5C13">
      <w:pPr>
        <w:rPr>
          <w:rFonts w:cs="Times New Roman"/>
        </w:rPr>
      </w:pPr>
      <w:r>
        <w:separator/>
      </w:r>
    </w:p>
  </w:endnote>
  <w:endnote w:type="continuationSeparator" w:id="0">
    <w:p w14:paraId="41616C6D" w14:textId="77777777" w:rsidR="003D5C13" w:rsidRDefault="003D5C13">
      <w:pPr>
        <w:rPr>
          <w:rFonts w:cs="Times New Roman"/>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B2"/>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359A7" w14:textId="77777777" w:rsidR="00E744F3" w:rsidRDefault="003D5C13">
    <w:pPr>
      <w:jc w:val="center"/>
      <w:rPr>
        <w:rFonts w:cs="Times New Roman"/>
      </w:rPr>
    </w:pPr>
    <w:r>
      <w:rPr>
        <w:rFonts w:ascii="Calibri" w:eastAsia="Calibri" w:hAnsi="Calibri" w:cs="Calibri"/>
        <w:color w:val="5A5A5A"/>
        <w:sz w:val="18"/>
        <w:szCs w:val="18"/>
      </w:rPr>
      <w:fldChar w:fldCharType="begin"/>
    </w:r>
    <w:r>
      <w:rPr>
        <w:rFonts w:ascii="Calibri" w:eastAsia="Calibri" w:hAnsi="Calibri" w:cs="Calibri"/>
        <w:color w:val="5A5A5A"/>
        <w:sz w:val="18"/>
        <w:szCs w:val="18"/>
      </w:rPr>
      <w:instrText>PAGE</w:instrText>
    </w:r>
    <w:r>
      <w:rPr>
        <w:rFonts w:ascii="Calibri" w:eastAsia="Calibri" w:hAnsi="Calibri" w:cs="Calibri"/>
        <w:color w:val="5A5A5A"/>
        <w:sz w:val="18"/>
        <w:szCs w:val="18"/>
      </w:rPr>
      <w:fldChar w:fldCharType="separate"/>
    </w:r>
    <w:r>
      <w:rPr>
        <w:rFonts w:ascii="Calibri" w:eastAsia="Calibri" w:hAnsi="Calibri" w:cs="Calibri"/>
        <w:color w:val="5A5A5A"/>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25B60" w14:textId="77777777" w:rsidR="003D5C13" w:rsidRDefault="003D5C13">
      <w:pPr>
        <w:rPr>
          <w:rFonts w:cs="Times New Roman"/>
        </w:rPr>
      </w:pPr>
      <w:r>
        <w:separator/>
      </w:r>
    </w:p>
  </w:footnote>
  <w:footnote w:type="continuationSeparator" w:id="0">
    <w:p w14:paraId="2202653F" w14:textId="77777777" w:rsidR="003D5C13" w:rsidRDefault="003D5C13">
      <w:pPr>
        <w:rPr>
          <w:rFonts w:cs="Times New Roman"/>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07642" w14:textId="77777777" w:rsidR="00E744F3" w:rsidRDefault="003D5C13">
    <w:pPr>
      <w:jc w:val="center"/>
      <w:rPr>
        <w:rFonts w:cs="Times New Roman"/>
      </w:rPr>
    </w:pPr>
    <w:r>
      <w:rPr>
        <w:i/>
        <w:iCs/>
        <w:color w:val="5A5A5A"/>
        <w:sz w:val="16"/>
        <w:szCs w:val="16"/>
      </w:rPr>
      <w:t>إرفينغ غوفمان — دراسة بيوغرافية وفكرية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A1DB1"/>
    <w:multiLevelType w:val="hybridMultilevel"/>
    <w:tmpl w:val="FFFFFFFF"/>
    <w:lvl w:ilvl="0" w:tplc="95F8BAE8">
      <w:start w:val="1"/>
      <w:numFmt w:val="bullet"/>
      <w:lvlText w:val="●"/>
      <w:lvlJc w:val="left"/>
      <w:pPr>
        <w:ind w:left="720" w:hanging="360"/>
      </w:pPr>
    </w:lvl>
    <w:lvl w:ilvl="1" w:tplc="FD820502">
      <w:start w:val="1"/>
      <w:numFmt w:val="bullet"/>
      <w:lvlText w:val="○"/>
      <w:lvlJc w:val="left"/>
      <w:pPr>
        <w:ind w:left="1440" w:hanging="360"/>
      </w:pPr>
    </w:lvl>
    <w:lvl w:ilvl="2" w:tplc="87AC52D4">
      <w:start w:val="1"/>
      <w:numFmt w:val="bullet"/>
      <w:lvlText w:val="■"/>
      <w:lvlJc w:val="left"/>
      <w:pPr>
        <w:ind w:left="2160" w:hanging="360"/>
      </w:pPr>
    </w:lvl>
    <w:lvl w:ilvl="3" w:tplc="FBFC9E36">
      <w:start w:val="1"/>
      <w:numFmt w:val="bullet"/>
      <w:lvlText w:val="●"/>
      <w:lvlJc w:val="left"/>
      <w:pPr>
        <w:ind w:left="2880" w:hanging="360"/>
      </w:pPr>
    </w:lvl>
    <w:lvl w:ilvl="4" w:tplc="0E182264">
      <w:start w:val="1"/>
      <w:numFmt w:val="bullet"/>
      <w:lvlText w:val="○"/>
      <w:lvlJc w:val="left"/>
      <w:pPr>
        <w:ind w:left="3600" w:hanging="360"/>
      </w:pPr>
    </w:lvl>
    <w:lvl w:ilvl="5" w:tplc="AC2E0664">
      <w:start w:val="1"/>
      <w:numFmt w:val="bullet"/>
      <w:lvlText w:val="■"/>
      <w:lvlJc w:val="left"/>
      <w:pPr>
        <w:ind w:left="4320" w:hanging="360"/>
      </w:pPr>
    </w:lvl>
    <w:lvl w:ilvl="6" w:tplc="A6129700">
      <w:start w:val="1"/>
      <w:numFmt w:val="bullet"/>
      <w:lvlText w:val="●"/>
      <w:lvlJc w:val="left"/>
      <w:pPr>
        <w:ind w:left="5040" w:hanging="360"/>
      </w:pPr>
    </w:lvl>
    <w:lvl w:ilvl="7" w:tplc="57E6AD10">
      <w:start w:val="1"/>
      <w:numFmt w:val="bullet"/>
      <w:lvlText w:val="●"/>
      <w:lvlJc w:val="left"/>
      <w:pPr>
        <w:ind w:left="5760" w:hanging="360"/>
      </w:pPr>
    </w:lvl>
    <w:lvl w:ilvl="8" w:tplc="AF2E1254">
      <w:start w:val="1"/>
      <w:numFmt w:val="bullet"/>
      <w:lvlText w:val="●"/>
      <w:lvlJc w:val="left"/>
      <w:pPr>
        <w:ind w:left="6480" w:hanging="360"/>
      </w:pPr>
    </w:lvl>
  </w:abstractNum>
  <w:abstractNum w:abstractNumId="1" w15:restartNumberingAfterBreak="0">
    <w:nsid w:val="67F85C1E"/>
    <w:multiLevelType w:val="hybridMultilevel"/>
    <w:tmpl w:val="FFFFFFFF"/>
    <w:lvl w:ilvl="0" w:tplc="560EE694">
      <w:start w:val="1"/>
      <w:numFmt w:val="bullet"/>
      <w:lvlText w:val="◆"/>
      <w:lvlJc w:val="right"/>
      <w:pPr>
        <w:ind w:right="400" w:hanging="260"/>
      </w:pPr>
      <w:rPr>
        <w:rFonts w:ascii="Traditional Arabic" w:eastAsia="Traditional Arabic" w:hAnsi="Traditional Arabic" w:cs="Traditional Arabic"/>
        <w:color w:val="2E7D7B"/>
      </w:rPr>
    </w:lvl>
    <w:lvl w:ilvl="1" w:tplc="7E341CB8">
      <w:numFmt w:val="decimal"/>
      <w:lvlText w:val=""/>
      <w:lvlJc w:val="left"/>
    </w:lvl>
    <w:lvl w:ilvl="2" w:tplc="2EE8C0AC">
      <w:numFmt w:val="decimal"/>
      <w:lvlText w:val=""/>
      <w:lvlJc w:val="left"/>
    </w:lvl>
    <w:lvl w:ilvl="3" w:tplc="0666C07E">
      <w:numFmt w:val="decimal"/>
      <w:lvlText w:val=""/>
      <w:lvlJc w:val="left"/>
    </w:lvl>
    <w:lvl w:ilvl="4" w:tplc="528C35A2">
      <w:numFmt w:val="decimal"/>
      <w:lvlText w:val=""/>
      <w:lvlJc w:val="left"/>
    </w:lvl>
    <w:lvl w:ilvl="5" w:tplc="186E8EB4">
      <w:numFmt w:val="decimal"/>
      <w:lvlText w:val=""/>
      <w:lvlJc w:val="left"/>
    </w:lvl>
    <w:lvl w:ilvl="6" w:tplc="2836F07E">
      <w:numFmt w:val="decimal"/>
      <w:lvlText w:val=""/>
      <w:lvlJc w:val="left"/>
    </w:lvl>
    <w:lvl w:ilvl="7" w:tplc="AE30E670">
      <w:numFmt w:val="decimal"/>
      <w:lvlText w:val=""/>
      <w:lvlJc w:val="left"/>
    </w:lvl>
    <w:lvl w:ilvl="8" w:tplc="E04A3118">
      <w:numFmt w:val="decimal"/>
      <w:lvlText w:val=""/>
      <w:lvlJc w:val="left"/>
    </w:lvl>
  </w:abstractNum>
  <w:abstractNum w:abstractNumId="2" w15:restartNumberingAfterBreak="0">
    <w:nsid w:val="7D143D79"/>
    <w:multiLevelType w:val="hybridMultilevel"/>
    <w:tmpl w:val="FFFFFFFF"/>
    <w:lvl w:ilvl="0" w:tplc="2D9AD6C6">
      <w:start w:val="1"/>
      <w:numFmt w:val="bullet"/>
      <w:lvlText w:val="•"/>
      <w:lvlJc w:val="right"/>
      <w:pPr>
        <w:ind w:right="300" w:hanging="220"/>
      </w:pPr>
      <w:rPr>
        <w:rFonts w:ascii="Traditional Arabic" w:eastAsia="Traditional Arabic" w:hAnsi="Traditional Arabic" w:cs="Traditional Arabic"/>
        <w:color w:val="B8912B"/>
      </w:rPr>
    </w:lvl>
    <w:lvl w:ilvl="1" w:tplc="EFF07CF8">
      <w:numFmt w:val="decimal"/>
      <w:lvlText w:val=""/>
      <w:lvlJc w:val="left"/>
    </w:lvl>
    <w:lvl w:ilvl="2" w:tplc="BEEA8DC8">
      <w:numFmt w:val="decimal"/>
      <w:lvlText w:val=""/>
      <w:lvlJc w:val="left"/>
    </w:lvl>
    <w:lvl w:ilvl="3" w:tplc="B9CEB1B8">
      <w:numFmt w:val="decimal"/>
      <w:lvlText w:val=""/>
      <w:lvlJc w:val="left"/>
    </w:lvl>
    <w:lvl w:ilvl="4" w:tplc="7F741A92">
      <w:numFmt w:val="decimal"/>
      <w:lvlText w:val=""/>
      <w:lvlJc w:val="left"/>
    </w:lvl>
    <w:lvl w:ilvl="5" w:tplc="94C6D674">
      <w:numFmt w:val="decimal"/>
      <w:lvlText w:val=""/>
      <w:lvlJc w:val="left"/>
    </w:lvl>
    <w:lvl w:ilvl="6" w:tplc="CA940B0C">
      <w:numFmt w:val="decimal"/>
      <w:lvlText w:val=""/>
      <w:lvlJc w:val="left"/>
    </w:lvl>
    <w:lvl w:ilvl="7" w:tplc="4EFEBD60">
      <w:numFmt w:val="decimal"/>
      <w:lvlText w:val=""/>
      <w:lvlJc w:val="left"/>
    </w:lvl>
    <w:lvl w:ilvl="8" w:tplc="8C3A29D6">
      <w:numFmt w:val="decimal"/>
      <w:lvlText w:val=""/>
      <w:lvlJc w:val="left"/>
    </w:lvl>
  </w:abstractNum>
  <w:num w:numId="1" w16cid:durableId="118183441">
    <w:abstractNumId w:val="0"/>
    <w:lvlOverride w:ilvl="0">
      <w:startOverride w:val="1"/>
    </w:lvlOverride>
  </w:num>
  <w:num w:numId="2" w16cid:durableId="516775272">
    <w:abstractNumId w:val="2"/>
    <w:lvlOverride w:ilvl="0">
      <w:startOverride w:val="1"/>
    </w:lvlOverride>
  </w:num>
  <w:num w:numId="3" w16cid:durableId="83148467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isplayBackgroundShape/>
  <w:proofState w:spelling="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4F3"/>
    <w:rsid w:val="003D5C13"/>
    <w:rsid w:val="007B6E1A"/>
    <w:rsid w:val="00AA0252"/>
    <w:rsid w:val="00C07F9E"/>
    <w:rsid w:val="00E744F3"/>
    <w:rsid w:val="00F47FD4"/>
    <w:rsid w:val="00FA2C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23D5C3C0"/>
  <w15:docId w15:val="{B49C5FB7-E6EA-0F4C-9242-46A298045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4"/>
        <w:szCs w:val="24"/>
        <w:rt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sz w:val="26"/>
      <w:szCs w:val="26"/>
    </w:rPr>
  </w:style>
  <w:style w:type="paragraph" w:styleId="3">
    <w:name w:val="heading 3"/>
    <w:uiPriority w:val="9"/>
    <w:semiHidden/>
    <w:unhideWhenUsed/>
    <w:qFormat/>
    <w:pPr>
      <w:outlineLvl w:val="2"/>
    </w:pPr>
    <w:rPr>
      <w:color w:val="1F4D78"/>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5352</Words>
  <Characters>30512</Characters>
  <Application>Microsoft Office Word</Application>
  <DocSecurity>0</DocSecurity>
  <Lines>254</Lines>
  <Paragraphs>71</Paragraphs>
  <ScaleCrop>false</ScaleCrop>
  <Company/>
  <LinksUpToDate>false</LinksUpToDate>
  <CharactersWithSpaces>35793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zaraaabdesslem@gmail.com</cp:lastModifiedBy>
  <cp:revision>2</cp:revision>
  <dcterms:created xsi:type="dcterms:W3CDTF">2026-07-09T21:23:00Z</dcterms:created>
  <dcterms:modified xsi:type="dcterms:W3CDTF">2026-07-09T21:23:00Z</dcterms:modified>
</cp:coreProperties>
</file>