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
      </w:pPr>
      <w:r>
        <w:t xml:space="preserve"/>
      </w:r>
    </w:p>
    <w:p>
      <w:pPr>
        <w:spacing w:after="40" w:before="40"/>
      </w:pPr>
      <w:r>
        <w:t xml:space="preserve"/>
      </w:r>
    </w:p>
    <w:p>
      <w:pPr>
        <w:spacing w:after="40" w:before="40"/>
      </w:pPr>
      <w:r>
        <w:t xml:space="preserve"/>
      </w:r>
    </w:p>
    <w:p>
      <w:pPr>
        <w:spacing w:after="40" w:before="40"/>
      </w:pPr>
      <w:r>
        <w:t xml:space="preserve"/>
      </w:r>
    </w:p>
    <w:p>
      <w:pPr>
        <w:shd w:fill="0D7377" w:val="clear"/>
        <w:bidi/>
        <w:spacing w:after="60" w:before="0"/>
        <w:jc w:val="center"/>
      </w:pPr>
      <w:r>
        <w:rPr>
          <w:rFonts w:ascii="Traditional Arabic" w:cs="Traditional Arabic" w:eastAsia="Traditional Arabic" w:hAnsi="Traditional Arabic"/>
          <w:color w:val="FDF3DC"/>
          <w:sz w:val="24"/>
          <w:szCs w:val="24"/>
        </w:rPr>
        <w:t xml:space="preserve">سلسلة أبحاث علم النفس الاستخلافي</w:t>
      </w:r>
    </w:p>
    <w:p>
      <w:pPr>
        <w:shd w:fill="0D7377" w:val="clear"/>
        <w:bidi/>
        <w:spacing w:after="200" w:before="60"/>
        <w:jc w:val="center"/>
      </w:pPr>
      <w:r>
        <w:rPr>
          <w:rFonts w:ascii="Traditional Arabic" w:cs="Traditional Arabic" w:eastAsia="Traditional Arabic" w:hAnsi="Traditional Arabic"/>
          <w:b/>
          <w:bCs/>
          <w:color w:val="FFFFFF"/>
          <w:sz w:val="28"/>
          <w:szCs w:val="28"/>
        </w:rPr>
        <w:t xml:space="preserve">الفصل الرابع عشر</w:t>
      </w:r>
    </w:p>
    <w:p>
      <w:pPr>
        <w:spacing w:after="40" w:before="40"/>
      </w:pPr>
      <w:r>
        <w:t xml:space="preserve"/>
      </w:r>
    </w:p>
    <w:p>
      <w:pPr>
        <w:bidi/>
        <w:spacing w:after="120" w:before="120"/>
        <w:jc w:val="center"/>
      </w:pPr>
      <w:r>
        <w:rPr>
          <w:rFonts w:ascii="Traditional Arabic" w:cs="Traditional Arabic" w:eastAsia="Traditional Arabic" w:hAnsi="Traditional Arabic"/>
          <w:b/>
          <w:bCs/>
          <w:color w:val="0D7377"/>
          <w:sz w:val="48"/>
          <w:szCs w:val="48"/>
        </w:rPr>
        <w:t xml:space="preserve">وَصْمُ الجُنُونِ في نَظَرِيَّةِ الاسْتِخْلَاف</w:t>
      </w:r>
    </w:p>
    <w:p>
      <w:pPr>
        <w:pBdr>
          <w:bottom w:val="single" w:color="8B6914" w:sz="4" w:space="6"/>
        </w:pBdr>
        <w:bidi/>
        <w:spacing w:after="160" w:before="40"/>
        <w:jc w:val="center"/>
      </w:pPr>
      <w:r>
        <w:rPr>
          <w:rFonts w:ascii="Traditional Arabic" w:cs="Traditional Arabic" w:eastAsia="Traditional Arabic" w:hAnsi="Traditional Arabic"/>
          <w:b w:val="false"/>
          <w:bCs w:val="false"/>
          <w:color w:val="8B6914"/>
          <w:sz w:val="26"/>
          <w:szCs w:val="26"/>
        </w:rPr>
        <w:t xml:space="preserve">نحو إبستمولوجيا استخلافية تحريرية لإعادة تأسيس المعنى في الاضطراب النفسي</w:t>
      </w:r>
    </w:p>
    <w:p>
      <w:pPr>
        <w:spacing w:after="40" w:before="40"/>
      </w:pPr>
      <w:r>
        <w:t xml:space="preserve"/>
      </w:r>
    </w:p>
    <w:p>
      <w:pPr>
        <w:spacing w:after="40" w:before="40"/>
      </w:pPr>
      <w:r>
        <w:t xml:space="preserve"/>
      </w:r>
    </w:p>
    <w:p>
      <w:pPr>
        <w:bidi/>
        <w:spacing w:after="40" w:before="60"/>
        <w:jc w:val="center"/>
      </w:pPr>
      <w:r>
        <w:rPr>
          <w:rFonts w:ascii="Traditional Arabic" w:cs="Traditional Arabic" w:eastAsia="Traditional Arabic" w:hAnsi="Traditional Arabic"/>
          <w:color w:val="888888"/>
          <w:sz w:val="22"/>
          <w:szCs w:val="22"/>
        </w:rPr>
        <w:t xml:space="preserve">تأليف</w:t>
      </w:r>
    </w:p>
    <w:p>
      <w:pPr>
        <w:bidi/>
        <w:spacing w:after="40" w:before="0"/>
        <w:jc w:val="center"/>
      </w:pPr>
      <w:r>
        <w:rPr>
          <w:rFonts w:ascii="Traditional Arabic" w:cs="Traditional Arabic" w:eastAsia="Traditional Arabic" w:hAnsi="Traditional Arabic"/>
          <w:b/>
          <w:bCs/>
          <w:color w:val="1A4A5A"/>
          <w:sz w:val="32"/>
          <w:szCs w:val="32"/>
        </w:rPr>
        <w:t xml:space="preserve">عبد السلام الزراع</w:t>
      </w:r>
    </w:p>
    <w:p>
      <w:pPr>
        <w:bidi/>
        <w:spacing w:after="100" w:before="0"/>
        <w:jc w:val="center"/>
      </w:pPr>
      <w:r>
        <w:rPr>
          <w:rFonts w:ascii="Traditional Arabic" w:cs="Traditional Arabic" w:eastAsia="Traditional Arabic" w:hAnsi="Traditional Arabic"/>
          <w:color w:val="0D7377"/>
          <w:sz w:val="22"/>
          <w:szCs w:val="22"/>
        </w:rPr>
        <w:t xml:space="preserve">مؤسس علم النفس الاستخلافي ونموذج TLRT</w:t>
      </w:r>
    </w:p>
    <w:p>
      <w:pPr>
        <w:spacing w:after="40" w:before="40"/>
      </w:pPr>
      <w:r>
        <w:t xml:space="preserve"/>
      </w:r>
    </w:p>
    <w:p>
      <w:pPr>
        <w:spacing w:after="40" w:before="40"/>
      </w:pPr>
      <w:r>
        <w:t xml:space="preserve"/>
      </w:r>
    </w:p>
    <w:p>
      <w:pPr>
        <w:spacing w:after="40" w:before="40"/>
      </w:pPr>
      <w:r>
        <w:t xml:space="preserve"/>
      </w:r>
    </w:p>
    <w:p>
      <w:pPr>
        <w:bidi/>
        <w:spacing w:after="20" w:before="60"/>
        <w:jc w:val="center"/>
      </w:pPr>
      <w:r>
        <w:rPr>
          <w:rFonts w:ascii="Traditional Arabic" w:cs="Traditional Arabic" w:eastAsia="Traditional Arabic" w:hAnsi="Traditional Arabic"/>
          <w:color w:val="1A1A2E"/>
          <w:sz w:val="23"/>
          <w:szCs w:val="23"/>
        </w:rPr>
        <w:t xml:space="preserve">نسخة موسَّعة ومعمَّقة أكاديمياً</w:t>
      </w:r>
    </w:p>
    <w:p>
      <w:pPr>
        <w:bidi/>
        <w:jc w:val="center"/>
      </w:pPr>
      <w:r>
        <w:rPr>
          <w:rFonts w:ascii="Traditional Arabic" w:cs="Traditional Arabic" w:eastAsia="Traditional Arabic" w:hAnsi="Traditional Arabic"/>
          <w:color w:val="888888"/>
          <w:sz w:val="22"/>
          <w:szCs w:val="22"/>
        </w:rPr>
        <w:t xml:space="preserve">2026م  |  1447هـ</w:t>
      </w:r>
    </w:p>
    <w:p>
      <w:r>
        <w:br w:type="page"/>
      </w:r>
    </w:p>
    <w:p>
      <w:pPr>
        <w:pBdr>
          <w:top w:val="single" w:color="8B6914" w:sz="8" w:space="4"/>
          <w:bottom w:val="single" w:color="8B6914" w:sz="8" w:space="4"/>
        </w:pBdr>
        <w:shd w:fill="0D7377" w:val="clear"/>
        <w:bidi/>
        <w:spacing w:after="200" w:before="320" w:line="340"/>
        <w:jc w:val="center"/>
      </w:pPr>
      <w:r>
        <w:rPr>
          <w:rFonts w:ascii="Traditional Arabic" w:cs="Traditional Arabic" w:eastAsia="Traditional Arabic" w:hAnsi="Traditional Arabic"/>
          <w:b/>
          <w:bCs/>
          <w:color w:val="FFFFFF"/>
          <w:sz w:val="32"/>
          <w:szCs w:val="32"/>
        </w:rPr>
        <w:t xml:space="preserve">الملخص التنفيذي</w:t>
      </w:r>
    </w:p>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يتناول هذا الفصل من سلسلة أبحاث علم النفس الاستخلافي إشكاليةً جوهرية تتقاطع فيها الأبعاد الأنطولوجية والإبستمولوجية والإكلينيكية: إشكالية "وصم الجنون" (Stigmatization of Mental Disorders) في ضوء نظرية الاستخلاف عند الزراع. وتنطلق هذه الدراسة من نقد جذري للنموذجين السائدين —الطبي الحيوي والاجتماعي— ليُقدِّم بديلاً مفاهيمياً متكاملاً يُعيد تأطير الاضطراب النفسي بوصفه "طاقة وجودية محتجزة" لا وصمة مرضية ولا مجرد خلل نيورولوجي.</w:t>
      </w:r>
    </w:p>
    <w:p>
      <w:pPr>
        <w:bidi/>
        <w:spacing w:after="60" w:before="60" w:line="340"/>
        <w:ind/>
        <w:jc w:val="both"/>
      </w:pPr>
      <w:r>
        <w:rPr>
          <w:rFonts w:ascii="Traditional Arabic" w:cs="Traditional Arabic" w:eastAsia="Traditional Arabic" w:hAnsi="Traditional Arabic"/>
          <w:color w:val="1A1A2E"/>
          <w:sz w:val="23"/>
          <w:szCs w:val="23"/>
        </w:rPr>
        <w:t xml:space="preserve">تتمحور الإضافة الأكاديمية الجوهرية لهذا البحث حول خمسة محاور: أولاً، نقد الإبستمولوجيا الوصمية عبر ربطها بالنقد ما بعد الكولونيالي لـ Frantz Fanon ومنظومة الرعاية الاجتماعية اللاهوتية عند Erving Goffman. ثانياً، تأصيل مفهوم "الطاقة الوجودية المحتجزة" قرآنياً ونيوروبيولوجياً، مع استحضار أبحاث Bruce S. McEwen في آليات الإجهاد التراكمي (Allostatic Load). ثالثاً، تعميق نموذج "الجسر السلوكي" بمقارنته مع نظرية التكامل النفسي (Psychological Integration) لـ Vittorio Guidano ونظرية الهوية السردية لـ Paul Ricoeur. رابعاً، استكشاف أنطولوجيا "الخبير الحي" في ضوء نقد Post-Traumatic Growth وحدوده. خامساً، توسيع استعارة الكينتسوغي لتشمل فلسفة الجمال عند ابن القيم الجوزية ومفهوم "الفضيلة المكتسبة بالألم".</w:t>
      </w:r>
    </w:p>
    <w:p>
      <w:pPr>
        <w:bidi/>
        <w:spacing w:after="60" w:before="60" w:line="340"/>
        <w:ind/>
        <w:jc w:val="both"/>
      </w:pPr>
      <w:r>
        <w:rPr>
          <w:rFonts w:ascii="Traditional Arabic" w:cs="Traditional Arabic" w:eastAsia="Traditional Arabic" w:hAnsi="Traditional Arabic"/>
          <w:color w:val="1A1A2E"/>
          <w:sz w:val="23"/>
          <w:szCs w:val="23"/>
        </w:rPr>
        <w:t xml:space="preserve">تخلص الدراسة إلى أن المساهمة الأعمق لعلم النفس الاستخلافي لا تتمثل فقط في رفض الوصم، بل في تقديم معادلة وجودية صارمة تربط بين الاستقبال الروحي للألم، وإعادة توجيه الطاقة عبر الجسر السلوكي، والانتقال إلى الاستخلاف الفعلي —وهو ما يُشكِّل تحدياً حقيقياً للنماذج العلاجية الغربية المعاصرة في صميم افتراضاتها الأنثروبولوجية.</w:t>
      </w:r>
    </w:p>
    <w:p>
      <w:pPr>
        <w:spacing w:after="40" w:before="40"/>
      </w:pPr>
      <w:r>
        <w:t xml:space="preserve"/>
      </w:r>
    </w:p>
    <w:p>
      <w:r>
        <w:br w:type="page"/>
      </w:r>
    </w:p>
    <w:p>
      <w:pPr>
        <w:pBdr>
          <w:top w:val="single" w:color="8B6914" w:sz="8" w:space="4"/>
          <w:bottom w:val="single" w:color="8B6914" w:sz="8" w:space="4"/>
        </w:pBdr>
        <w:shd w:fill="0D7377" w:val="clear"/>
        <w:bidi/>
        <w:spacing w:after="200" w:before="320" w:line="340"/>
        <w:jc w:val="center"/>
      </w:pPr>
      <w:r>
        <w:rPr>
          <w:rFonts w:ascii="Traditional Arabic" w:cs="Traditional Arabic" w:eastAsia="Traditional Arabic" w:hAnsi="Traditional Arabic"/>
          <w:b/>
          <w:bCs/>
          <w:color w:val="FFFFFF"/>
          <w:sz w:val="32"/>
          <w:szCs w:val="32"/>
        </w:rPr>
        <w:t xml:space="preserve">تمهيد: من سوسيولوجيا الوصم إلى أنطولوجيا الاستخلاف</w:t>
      </w:r>
    </w:p>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في عام 1963م، أصدر عالم الاجتماع Erving Goffman عمله الرائد «Stigma: Notes on the Management of Spoiled Identity»، ليُرسي به ما أصبح المرجعية الكلاسيكية لفهم ديناميكيات الوصم الاجتماعي. غير أن ما أغفله Goffman —وما يُشكّل نقطة الانطلاق الفارقة لعلم النفس الاستخلافي— هو البُعد الأنطولوجي لتجربة الوصم: فالوصم ليس مجرد "ضرر اجتماعي" يمكن إدارته بالتكتم والدراما الأدائية (Impression Management)، بل هو تشويه وجودي يضرب في صميم علاقة الإنسان بغايته الكونية.</w:t>
      </w:r>
    </w:p>
    <w:p>
      <w:pPr>
        <w:bidi/>
        <w:spacing w:after="60" w:before="60" w:line="340"/>
        <w:ind/>
        <w:jc w:val="both"/>
      </w:pPr>
      <w:r>
        <w:rPr>
          <w:rFonts w:ascii="Traditional Arabic" w:cs="Traditional Arabic" w:eastAsia="Traditional Arabic" w:hAnsi="Traditional Arabic"/>
          <w:color w:val="1A1A2E"/>
          <w:sz w:val="23"/>
          <w:szCs w:val="23"/>
        </w:rPr>
        <w:t xml:space="preserve">وفي السياق نفسه، مضى Erving Goffman بعيداً في وصف استراتيجيات "إدارة التشويه" (Stigma Management) دون أن يُجيب عن السؤال الأعمق: ماذا يفعل الإنسان بجرحه بعد أن يُدير وصمته بكفاءة؟ هل يُعلِّقه كديكور في متحف الهوية المحطمة؟ أم أن ثمة إمكانية أخرى لا تعرفها السوسيولوجيا الوظيفية؟</w:t>
      </w:r>
    </w:p>
    <w:p>
      <w:pPr>
        <w:bidi/>
        <w:spacing w:after="60" w:before="60" w:line="340"/>
        <w:ind/>
        <w:jc w:val="both"/>
      </w:pPr>
      <w:r>
        <w:rPr>
          <w:rFonts w:ascii="Traditional Arabic" w:cs="Traditional Arabic" w:eastAsia="Traditional Arabic" w:hAnsi="Traditional Arabic"/>
          <w:color w:val="1A1A2E"/>
          <w:sz w:val="23"/>
          <w:szCs w:val="23"/>
        </w:rPr>
        <w:t xml:space="preserve">يأتي هنا الجواب الاستخلافي حاسماً: الجرح ليس للإدارة بل للتحويل، وليس للإخفاء بل للتحول، وليس للتكيف بل للاستثمار. وهذا التصور يتجاوز Goffman كما يتجاوز Erving Goffman-ian Psychiatry بمراحل، ليدخل في عمق الرؤية القرآنية للنفس البشرية.</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8B6914" w:sz="6"/>
              <w:left w:val="single" w:color="8B6914" w:sz="6"/>
              <w:bottom w:val="single" w:color="8B6914" w:sz="6"/>
              <w:right w:val="single" w:color="8B6914" w:sz="6"/>
            </w:tcBorders>
            <w:shd w:fill="FFF8E7" w:val="clear"/>
            <w:tcMar>
              <w:top w:type="dxa" w:w="160"/>
              <w:left w:type="dxa" w:w="240"/>
              <w:bottom w:type="dxa" w:w="160"/>
              <w:right w:type="dxa" w:w="240"/>
            </w:tcMar>
          </w:tcPr>
          <w:p>
            <w:pPr>
              <w:bidi/>
              <w:spacing w:after="40" w:before="60" w:line="360"/>
              <w:jc w:val="center"/>
            </w:pPr>
            <w:r>
              <w:rPr>
                <w:rFonts w:ascii="Traditional Arabic" w:cs="Traditional Arabic" w:eastAsia="Traditional Arabic" w:hAnsi="Traditional Arabic"/>
                <w:b/>
                <w:bCs/>
                <w:color w:val="1A4A5A"/>
                <w:sz w:val="28"/>
                <w:szCs w:val="28"/>
              </w:rPr>
              <w:t xml:space="preserve">وَلَنَبْلُوَنَّكُم بِشَيْءٍ مِّنَ الْخَوْفِ وَالْجُوعِ وَنَقْصٍ مِّنَ الْأَمْوَالِ وَالْأَنفُسِ وَالثَّمَرَاتِ ۗ وَبَشِّرِ الصَّابِرِينَ</w:t>
            </w:r>
          </w:p>
          <w:p>
            <w:pPr>
              <w:bidi/>
              <w:jc w:val="center"/>
            </w:pPr>
            <w:r>
              <w:rPr>
                <w:rFonts w:ascii="Traditional Arabic" w:cs="Traditional Arabic" w:eastAsia="Traditional Arabic" w:hAnsi="Traditional Arabic"/>
                <w:color w:val="8B6914"/>
                <w:sz w:val="21"/>
                <w:szCs w:val="21"/>
              </w:rPr>
              <w:t xml:space="preserve">سورة البقرة: الآية 155</w:t>
            </w:r>
          </w:p>
        </w:tc>
      </w:tr>
    </w:tbl>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الابتلاء هنا ليس عقوبة إلهية ولا وصمة كونية، بل هو شرط البشارة: {وَبَشِّرِ الصَّابِرِينَ}. والصبر في المنظور القرآني ليس السكون السلبي بل الفاعلية التحويلية —وهذا بالضبط ما يُجسِّده نموذج TLRT في مفهوم "التحويل الطاقي".</w:t>
      </w:r>
    </w:p>
    <w:p>
      <w:pPr>
        <w:bidi/>
        <w:spacing w:after="60" w:before="60" w:line="340"/>
        <w:ind/>
        <w:jc w:val="both"/>
      </w:pPr>
      <w:r>
        <w:rPr>
          <w:rFonts w:ascii="Traditional Arabic" w:cs="Traditional Arabic" w:eastAsia="Traditional Arabic" w:hAnsi="Traditional Arabic"/>
          <w:color w:val="1A1A2E"/>
          <w:sz w:val="23"/>
          <w:szCs w:val="23"/>
        </w:rPr>
        <w:t xml:space="preserve">إن ما يُميِّز الفصل الذي بين أيدينا عن سائر فصول هذه السلسلة هو أنه يتصدى لأعقد الإشكاليات الميدانية التي يواجهها المعالج الاستخلافي: كيف تُعيد تأطير الاضطراب النفسي في مجتمع لا يزال يرى في الذهاب إلى عيادة نفسية مصدراً للوصمة، وفي تلقي الدعم النفسي اعترافاً بالضعف أو الجنون؟ وكيف تُحوِّل هذا الرعب الثقافي من الوصم إلى وقود علاجي في حد ذاته؟</w:t>
      </w:r>
    </w:p>
    <w:p>
      <w:r>
        <w:br w:type="page"/>
      </w:r>
    </w:p>
    <w:p>
      <w:pPr>
        <w:pBdr>
          <w:top w:val="single" w:color="8B6914" w:sz="8" w:space="4"/>
          <w:bottom w:val="single" w:color="8B6914" w:sz="8" w:space="4"/>
        </w:pBdr>
        <w:shd w:fill="0D7377" w:val="clear"/>
        <w:bidi/>
        <w:spacing w:after="200" w:before="320" w:line="340"/>
        <w:jc w:val="center"/>
      </w:pPr>
      <w:r>
        <w:rPr>
          <w:rFonts w:ascii="Traditional Arabic" w:cs="Traditional Arabic" w:eastAsia="Traditional Arabic" w:hAnsi="Traditional Arabic"/>
          <w:b/>
          <w:bCs/>
          <w:color w:val="FFFFFF"/>
          <w:sz w:val="32"/>
          <w:szCs w:val="32"/>
        </w:rPr>
        <w:t xml:space="preserve">الفصل الأول: الأسس الإبستمولوجية — نقد بنيوي للنموذج الوصمي</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1.1 جينيالوجيا الوصم: من الطب النفسي الكلاسيكي إلى DSM-5</w:t>
      </w:r>
    </w:p>
    <w:p>
      <w:pPr>
        <w:bidi/>
        <w:spacing w:after="60" w:before="60" w:line="340"/>
        <w:ind/>
        <w:jc w:val="both"/>
      </w:pPr>
      <w:r>
        <w:rPr>
          <w:rFonts w:ascii="Traditional Arabic" w:cs="Traditional Arabic" w:eastAsia="Traditional Arabic" w:hAnsi="Traditional Arabic"/>
          <w:color w:val="1A1A2E"/>
          <w:sz w:val="23"/>
          <w:szCs w:val="23"/>
        </w:rPr>
        <w:t xml:space="preserve">لا يمكن فهم حجم التحدي الذي يواجهه علم النفس الاستخلافي دون إدراك عمق الجذور التاريخية لظاهرة الوصم في الطب النفسي الغربي. فمنذ أن أسس Philippe Pinel (1745-1826م) ما أُطلق عليه "الإصلاح الإنساني" لمشفى Bicêtre عام 1793م، وبينما كسر قيود المجانين جسدياً، أحكم عليهم قيوداً تصنيفية أشد وطأة: قيود التشخيص والتسمية والترتيب الهرمي الطبي. فأصبح الطبيب النفسي صاحب السلطة المطلقة في تعريف "الجنون"، وهو ما كشفه لاحقاً Michel Foucault في عمله الخالد «Madness and Civilization» (1961م).</w:t>
      </w:r>
    </w:p>
    <w:p>
      <w:pPr>
        <w:bidi/>
        <w:spacing w:after="60" w:before="60" w:line="340"/>
        <w:ind/>
        <w:jc w:val="both"/>
      </w:pPr>
      <w:r>
        <w:rPr>
          <w:rFonts w:ascii="Traditional Arabic" w:cs="Traditional Arabic" w:eastAsia="Traditional Arabic" w:hAnsi="Traditional Arabic"/>
          <w:color w:val="1A1A2E"/>
          <w:sz w:val="23"/>
          <w:szCs w:val="23"/>
        </w:rPr>
        <w:t xml:space="preserve">يرصد Foucault بدقة تاريخية كيف أن "الجنون" لم يكن قبل القرن السابع عشر فئة طبية بل فئة اجتماعية وروحية وحتى فلسفية. ثم جاء "الحجز العظيم" (Le Grand Renfermement) ليحوِّل الجنون إلى انحراف يستوجب العزل. وما DSM-5 في نهاية المطاف —رغم كل تطوره التقني— إلا حلقة في هذه السلسلة الطويلة من إنتاج الوصم عبر التصنيف، وإن كان ذلك يحدث الآن بلغة الإحصاء وعلم الأوبئة لا لغة الأخلاق والسلوك.</w:t>
      </w:r>
    </w:p>
    <w:p>
      <w:pPr>
        <w:spacing w:after="40" w:before="40"/>
      </w:pPr>
      <w:r>
        <w:t xml:space="preserve"/>
      </w:r>
    </w:p>
    <w:p>
      <w:pPr>
        <w:bidi/>
        <w:spacing w:after="80" w:before="180" w:line="320"/>
        <w:jc w:val="right"/>
      </w:pPr>
      <w:r>
        <w:rPr>
          <w:rFonts w:ascii="Traditional Arabic" w:cs="Traditional Arabic" w:eastAsia="Traditional Arabic" w:hAnsi="Traditional Arabic"/>
          <w:b/>
          <w:bCs/>
          <w:color w:val="1A4A5A"/>
          <w:sz w:val="26"/>
          <w:szCs w:val="26"/>
        </w:rPr>
        <w:t xml:space="preserve">1.1.1 ثلاثة مستويات للوصم في الطب النفسي المعاصر</w:t>
      </w:r>
    </w:p>
    <w:p>
      <w:pPr>
        <w:bidi/>
        <w:spacing w:after="60" w:before="60" w:line="340"/>
        <w:ind/>
        <w:jc w:val="both"/>
      </w:pPr>
      <w:r>
        <w:rPr>
          <w:rFonts w:ascii="Traditional Arabic" w:cs="Traditional Arabic" w:eastAsia="Traditional Arabic" w:hAnsi="Traditional Arabic"/>
          <w:color w:val="1A1A2E"/>
          <w:sz w:val="23"/>
          <w:szCs w:val="23"/>
        </w:rPr>
        <w:t xml:space="preserve">تُميِّز الأدبيات المعاصرة بين ثلاثة مستويات متداخلة للوصم يُعيد علم النفس الاستخلافي تأطيرها جذرياً:</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000"/>
        <w:gridCol w:w="3373"/>
        <w:gridCol w:w="3373"/>
      </w:tblGrid>
      <w:tr>
        <w:trPr>
          <w:tblHeader/>
        </w:trPr>
        <w:tc>
          <w:tcPr>
            <w:tcW w:type="dxa" w:w="300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مستوى الوصم</w:t>
            </w:r>
          </w:p>
        </w:tc>
        <w:tc>
          <w:tcPr>
            <w:tcW w:type="dxa" w:w="3373"/>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التعريف السائد</w:t>
            </w:r>
          </w:p>
        </w:tc>
        <w:tc>
          <w:tcPr>
            <w:tcW w:type="dxa" w:w="3373"/>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إعادة التأطير الاستخلافي</w:t>
            </w:r>
          </w:p>
        </w:tc>
      </w:tr>
      <w:tr>
        <w:tc>
          <w:tcPr>
            <w:tcW w:type="dxa" w:w="30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الوصم العام (Public Stigma)</w:t>
            </w:r>
          </w:p>
        </w:tc>
        <w:tc>
          <w:tcPr>
            <w:tcW w:type="dxa" w:w="3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الاتجاهات السلبية لدى عامة الناس تجاه الأفراد المصابين بالاضطرابات النفسية</w:t>
            </w:r>
          </w:p>
        </w:tc>
        <w:tc>
          <w:tcPr>
            <w:tcW w:type="dxa" w:w="3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خلل في الوعي الاستخلافي الجمعي تجاه مسؤولية الرعاية والإحسان</w:t>
            </w:r>
          </w:p>
        </w:tc>
      </w:tr>
      <w:tr>
        <w:tc>
          <w:tcPr>
            <w:tcW w:type="dxa" w:w="30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الوصم الذاتي (Self-Stigma)</w:t>
            </w:r>
          </w:p>
        </w:tc>
        <w:tc>
          <w:tcPr>
            <w:tcW w:type="dxa" w:w="33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استبطان الفرد للتصورات السلبية المجتمعية حول حالته</w:t>
            </w:r>
          </w:p>
        </w:tc>
        <w:tc>
          <w:tcPr>
            <w:tcW w:type="dxa" w:w="33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انسداد في قناة الاستخلاف الذاتي: شعور زائف بأن المعاناة تُلغي الكفاءة الوجودية</w:t>
            </w:r>
          </w:p>
        </w:tc>
      </w:tr>
      <w:tr>
        <w:tc>
          <w:tcPr>
            <w:tcW w:type="dxa" w:w="30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الوصم المؤسسي (Structural Stigma)</w:t>
            </w:r>
          </w:p>
        </w:tc>
        <w:tc>
          <w:tcPr>
            <w:tcW w:type="dxa" w:w="3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السياسات والقوانين التي تُميِّز ضد الأفراد ذوي الاضطرابات النفسية</w:t>
            </w:r>
          </w:p>
        </w:tc>
        <w:tc>
          <w:tcPr>
            <w:tcW w:type="dxa" w:w="3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تجليات الاختلال الحضاري في غياب بنية الاستخلاف الجماعي الراعي</w:t>
            </w:r>
          </w:p>
        </w:tc>
      </w:tr>
    </w:tbl>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1.2 نقد ما بعد كولونيالي للوصم النفسي: مساهمة Frantz Fanon</w:t>
      </w:r>
    </w:p>
    <w:p>
      <w:pPr>
        <w:bidi/>
        <w:spacing w:after="60" w:before="60" w:line="340"/>
        <w:ind/>
        <w:jc w:val="both"/>
      </w:pPr>
      <w:r>
        <w:rPr>
          <w:rFonts w:ascii="Traditional Arabic" w:cs="Traditional Arabic" w:eastAsia="Traditional Arabic" w:hAnsi="Traditional Arabic"/>
          <w:color w:val="1A1A2E"/>
          <w:sz w:val="23"/>
          <w:szCs w:val="23"/>
        </w:rPr>
        <w:t xml:space="preserve">لا يمكن مقاربة إشكالية الوصم النفسي في السياق العربي والإسلامي دون استحضار نقد Frantz Fanon اللاذع للطب النفسي الاستعماري في «The Wretched of the Earth» (1961م) و«Black Skin, White Masks» (1952م). فقد كشف Fanon كيف أن الطب النفسي الاستعماري الفرنسي في الجزائر وظَّف "التشخيص النفسي" أداةً لتسريع عملية نزع الإنسانية عن الشعوب المستعمَرة، واعتبر الجزائريين "بيولوجياً متخلفين" على أساس "ضعف تطور قشرتهم الدماغية الجبهية".</w:t>
      </w:r>
    </w:p>
    <w:p>
      <w:pPr>
        <w:bidi/>
        <w:spacing w:after="60" w:before="60" w:line="340"/>
        <w:ind/>
        <w:jc w:val="both"/>
      </w:pPr>
      <w:r>
        <w:rPr>
          <w:rFonts w:ascii="Traditional Arabic" w:cs="Traditional Arabic" w:eastAsia="Traditional Arabic" w:hAnsi="Traditional Arabic"/>
          <w:color w:val="1A1A2E"/>
          <w:sz w:val="23"/>
          <w:szCs w:val="23"/>
        </w:rPr>
        <w:t xml:space="preserve">إن هذا التاريخ المُرّ لا يُسعفنا على رفض الطب النفسي برمته، لكنه يُوجب علينا يقظة إبستمولوجية دائمة تجاه آليات إنتاج التشخيص والوصم. وهذا بالضبط ما يُقدِّمه علم النفس الاستخلافي: ليس رفضاً للمعطى العلمي، بل إعادة تأطير إبستيمية تُخرج المعاناة من دائرة "الخلل" إلى دائرة "المعنى الوجودي المُنتظِر التحويل".</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8B6914" w:sz="3"/>
              <w:left w:val="single" w:color="8B6914" w:sz="3"/>
              <w:bottom w:val="single" w:color="8B6914" w:sz="3"/>
              <w:right w:val="single" w:color="8B6914" w:sz="3"/>
            </w:tcBorders>
            <w:shd w:fill="FDF3DC" w:val="clear"/>
            <w:tcMar>
              <w:top w:type="dxa" w:w="120"/>
              <w:left w:type="dxa" w:w="200"/>
              <w:bottom w:type="dxa" w:w="120"/>
              <w:right w:type="dxa" w:w="200"/>
            </w:tcMar>
          </w:tcPr>
          <w:p>
            <w:pPr>
              <w:bidi/>
              <w:spacing w:after="40" w:before="40" w:line="340"/>
              <w:jc w:val="both"/>
            </w:pPr>
            <w:r>
              <w:rPr>
                <w:rFonts w:ascii="Traditional Arabic" w:cs="Traditional Arabic" w:eastAsia="Traditional Arabic" w:hAnsi="Traditional Arabic"/>
                <w:color w:val="1A4A5A"/>
                <w:sz w:val="23"/>
                <w:szCs w:val="23"/>
              </w:rPr>
              <w:t xml:space="preserve">«وَإِن تَعُدُّوا نِعْمَةَ اللَّهِ لَا تُحْصُوهَا ۗ إِنَّ الْإِنسَانَ لَظَلُومٌ كَفَّارٌ» (إبراهيم: 34). الوصم في جوهره ظلم مزدوج: ظلم الآخر حين يُختزل في تسمية، وظلم النفس حين تستبطن هذا الاختزال. والنموذج الاستخلافي يُعالج الظلمَين معاً.</w:t>
            </w:r>
          </w:p>
        </w:tc>
      </w:tr>
    </w:tbl>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1.3 الوصم في الثقافة العربية الإسلامية: خصوصية السياق</w:t>
      </w:r>
    </w:p>
    <w:p>
      <w:pPr>
        <w:bidi/>
        <w:spacing w:after="60" w:before="60" w:line="340"/>
        <w:ind/>
        <w:jc w:val="both"/>
      </w:pPr>
      <w:r>
        <w:rPr>
          <w:rFonts w:ascii="Traditional Arabic" w:cs="Traditional Arabic" w:eastAsia="Traditional Arabic" w:hAnsi="Traditional Arabic"/>
          <w:color w:val="1A1A2E"/>
          <w:sz w:val="23"/>
          <w:szCs w:val="23"/>
        </w:rPr>
        <w:t xml:space="preserve">يتسم الوصم المرتبط بالاضطرابات النفسية في السياق العربي الإسلامي بخصوصية مركبة تتشابك فيها عوامل دينية وثقافية وأسرية. فمن جهة، ثمة خطاب ديني شعبي —لا قرآني— يربط بين المرض النفسي و"ضعف الإيمان" أو "العين والحسد والسحر"، وهذا الخطاب يُضاعف وطأة الوصم ويُعيق طلب المساعدة المتخصصة. ومن جهة أخرى، ثمة قيم أسرية وجماعية تجعل "الفضح" الاجتماعي لاضطراب نفسي فرد كارثةً تطال شرف العائلة برمتها.</w:t>
      </w:r>
    </w:p>
    <w:p>
      <w:pPr>
        <w:bidi/>
        <w:spacing w:after="60" w:before="60" w:line="340"/>
        <w:ind/>
        <w:jc w:val="both"/>
      </w:pPr>
      <w:r>
        <w:rPr>
          <w:rFonts w:ascii="Traditional Arabic" w:cs="Traditional Arabic" w:eastAsia="Traditional Arabic" w:hAnsi="Traditional Arabic"/>
          <w:color w:val="1A1A2E"/>
          <w:sz w:val="23"/>
          <w:szCs w:val="23"/>
        </w:rPr>
        <w:t xml:space="preserve">وقد رصدت دراسة Kirmayer et al. (2011م) المقارنة أن مجتمعات الشرق الأوسط وشمال أفريقيا تُبدي مقاومة أعلى بثلاثة أضعاف تقريباً لطلب المساعدة النفسية المتخصصة مقارنةً بالمجتمعات الغربية، مع ارتفاع ملحوظ في معدلات الجسدنة (Somatization) —أي تحويل المعاناة النفسية إلى شكاوى جسدية— كآلية للتحرر من وصم "الجنون" مع الحفاظ على "شرعية" المعاناة.</w:t>
      </w:r>
    </w:p>
    <w:p>
      <w:pPr>
        <w:bidi/>
        <w:spacing w:after="60" w:before="60" w:line="340"/>
        <w:ind/>
        <w:jc w:val="both"/>
      </w:pPr>
      <w:r>
        <w:rPr>
          <w:rFonts w:ascii="Traditional Arabic" w:cs="Traditional Arabic" w:eastAsia="Traditional Arabic" w:hAnsi="Traditional Arabic"/>
          <w:color w:val="1A1A2E"/>
          <w:sz w:val="23"/>
          <w:szCs w:val="23"/>
        </w:rPr>
        <w:t xml:space="preserve">وهنا يبرز التحدي الجوهري أمام علم النفس الاستخلافي: أن يُقدِّم بديلاً يُعالج هذا الوصم الثقافي المزدوج من داخل المنظومة القيمية والروحية للمجتمع، لا من خارجها.</w:t>
      </w:r>
    </w:p>
    <w:p>
      <w:r>
        <w:br w:type="page"/>
      </w:r>
    </w:p>
    <w:p>
      <w:pPr>
        <w:pBdr>
          <w:top w:val="single" w:color="8B6914" w:sz="8" w:space="4"/>
          <w:bottom w:val="single" w:color="8B6914" w:sz="8" w:space="4"/>
        </w:pBdr>
        <w:shd w:fill="0D7377" w:val="clear"/>
        <w:bidi/>
        <w:spacing w:after="200" w:before="320" w:line="340"/>
        <w:jc w:val="center"/>
      </w:pPr>
      <w:r>
        <w:rPr>
          <w:rFonts w:ascii="Traditional Arabic" w:cs="Traditional Arabic" w:eastAsia="Traditional Arabic" w:hAnsi="Traditional Arabic"/>
          <w:b/>
          <w:bCs/>
          <w:color w:val="FFFFFF"/>
          <w:sz w:val="32"/>
          <w:szCs w:val="32"/>
        </w:rPr>
        <w:t xml:space="preserve">الفصل الثاني: الطاقة الوجودية المحتجزة — تأصيل نظري ونيوروبيولوجي</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2.1 الطاقة المحتجزة في الميزان العلمي: نظرية Allostatic Load</w:t>
      </w:r>
    </w:p>
    <w:p>
      <w:pPr>
        <w:bidi/>
        <w:spacing w:after="60" w:before="60" w:line="340"/>
        <w:ind/>
        <w:jc w:val="both"/>
      </w:pPr>
      <w:r>
        <w:rPr>
          <w:rFonts w:ascii="Traditional Arabic" w:cs="Traditional Arabic" w:eastAsia="Traditional Arabic" w:hAnsi="Traditional Arabic"/>
          <w:color w:val="1A1A2E"/>
          <w:sz w:val="23"/>
          <w:szCs w:val="23"/>
        </w:rPr>
        <w:t xml:space="preserve">يُقدِّم علم النفس الاستخلافي مفهوم "الطاقة الوجودية المحتجزة" بوصفه قلب الاضطراب النفسي. لكن ما الذي يقوله علم الأعصاب المعاصر حول هذا المفهوم؟ وكيف يمكن تأسيس حوار نقدي منتج بين هذا المفهوم وأحدث النظريات النيوروبيولوجية؟</w:t>
      </w:r>
    </w:p>
    <w:p>
      <w:pPr>
        <w:bidi/>
        <w:spacing w:after="60" w:before="60" w:line="340"/>
        <w:ind/>
        <w:jc w:val="both"/>
      </w:pPr>
      <w:r>
        <w:rPr>
          <w:rFonts w:ascii="Traditional Arabic" w:cs="Traditional Arabic" w:eastAsia="Traditional Arabic" w:hAnsi="Traditional Arabic"/>
          <w:color w:val="1A1A2E"/>
          <w:sz w:val="23"/>
          <w:szCs w:val="23"/>
        </w:rPr>
        <w:t xml:space="preserve">في عام 1993م، قدَّم Bruce S. McEwen نظريته الرائدة حول "الحمل التكيفي" (Allostatic Load)، وهي تصف التكاليف التراكمية التي تتحملها الأجهزة الفيزيولوجية جراء الاستجابة المتكررة للضغط. ويُشير McEwen إلى أن هذا الحمل التراكمي يُمثِّل "طاقة مُقيَّدة" على المستوى البيولوجي لم تجد مساراً طبيعياً للتفريغ، وهو ما يُفسِّر التحولات المورفولوجية في هياكل الدماغ كالحُصين (Hippocampus) والقشرة الجبهية الأمامية (Prefrontal Cortex).</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200"/>
        <w:gridCol w:w="3773"/>
        <w:gridCol w:w="3773"/>
      </w:tblGrid>
      <w:tr>
        <w:trPr>
          <w:tblHeader/>
        </w:trPr>
        <w:tc>
          <w:tcPr>
            <w:tcW w:type="dxa" w:w="220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المستوى</w:t>
            </w:r>
          </w:p>
        </w:tc>
        <w:tc>
          <w:tcPr>
            <w:tcW w:type="dxa" w:w="3773"/>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مفهوم الطاقة الوجودية المحتجزة (TLRT)</w:t>
            </w:r>
          </w:p>
        </w:tc>
        <w:tc>
          <w:tcPr>
            <w:tcW w:type="dxa" w:w="3773"/>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النظير النيوروبيولوجي (McEwen)</w:t>
            </w:r>
          </w:p>
        </w:tc>
      </w:tr>
      <w:tr>
        <w:tc>
          <w:tcPr>
            <w:tcW w:type="dxa" w:w="22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الطاقة المحتجزة</w:t>
            </w:r>
          </w:p>
        </w:tc>
        <w:tc>
          <w:tcPr>
            <w:tcW w:type="dxa" w:w="37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مشاعر الندم، الخوف، الغضب غير الموجَّهة وجودياً</w:t>
            </w:r>
          </w:p>
        </w:tc>
        <w:tc>
          <w:tcPr>
            <w:tcW w:type="dxa" w:w="37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Allostatic Load: تراكم هرمونات الإجهاد (Cortisol) والتهاب عصبي مزمن</w:t>
            </w:r>
          </w:p>
        </w:tc>
      </w:tr>
      <w:tr>
        <w:tc>
          <w:tcPr>
            <w:tcW w:type="dxa" w:w="22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آلية الاحتجاز</w:t>
            </w:r>
          </w:p>
        </w:tc>
        <w:tc>
          <w:tcPr>
            <w:tcW w:type="dxa" w:w="37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هيمنة النفس الأمارة وتعطيل النفس اللوامة</w:t>
            </w:r>
          </w:p>
        </w:tc>
        <w:tc>
          <w:tcPr>
            <w:tcW w:type="dxa" w:w="37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Amygdala Hyperactivation مع تراجع تنظيم الـ PFC</w:t>
            </w:r>
          </w:p>
        </w:tc>
      </w:tr>
      <w:tr>
        <w:tc>
          <w:tcPr>
            <w:tcW w:type="dxa" w:w="22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نتيجة الاحتجاز</w:t>
            </w:r>
          </w:p>
        </w:tc>
        <w:tc>
          <w:tcPr>
            <w:tcW w:type="dxa" w:w="37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أمراض نفسية وجسدية (كالصدأ والتراكم)</w:t>
            </w:r>
          </w:p>
        </w:tc>
        <w:tc>
          <w:tcPr>
            <w:tcW w:type="dxa" w:w="37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Hippocampal Atrophy وخلل في دوائر المكافأة</w:t>
            </w:r>
          </w:p>
        </w:tc>
      </w:tr>
      <w:tr>
        <w:tc>
          <w:tcPr>
            <w:tcW w:type="dxa" w:w="22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مسار التحويل</w:t>
            </w:r>
          </w:p>
        </w:tc>
        <w:tc>
          <w:tcPr>
            <w:tcW w:type="dxa" w:w="37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الجسر السلوكي ومشروع الكفارة الإبداعية</w:t>
            </w:r>
          </w:p>
        </w:tc>
        <w:tc>
          <w:tcPr>
            <w:tcW w:type="dxa" w:w="37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Neuroplasticity-Based Interventions (MBSR, ACT)</w:t>
            </w:r>
          </w:p>
        </w:tc>
      </w:tr>
    </w:tbl>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التقاطع بين النموذجين ليس مجرد مصادفة مفاهيمية. فكلاهما يرفض نموذج الـ"On/Off" للاضطراب (أي: إما صحي وإما مريض)، ويُقدِّم بدلاً من ذلك نموذج الطيف الديناميكي حيث الطاقة تتراكم وتُوجَّه أو تُهدَر. والفارق الجوهري أن McEwen يقف عند "كيف تتراكم الطاقة؟" بينما يذهب الزراع إلى "كيف تُحوَّل إلى استخلاف؟".</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2.2 النفس الأمارة والنفس اللوامة: تشريح نيوروتشريحي</w:t>
      </w:r>
    </w:p>
    <w:p>
      <w:pPr>
        <w:bidi/>
        <w:spacing w:after="60" w:before="60" w:line="340"/>
        <w:ind/>
        <w:jc w:val="both"/>
      </w:pPr>
      <w:r>
        <w:rPr>
          <w:rFonts w:ascii="Traditional Arabic" w:cs="Traditional Arabic" w:eastAsia="Traditional Arabic" w:hAnsi="Traditional Arabic"/>
          <w:color w:val="1A1A2E"/>
          <w:sz w:val="23"/>
          <w:szCs w:val="23"/>
        </w:rPr>
        <w:t xml:space="preserve">يُقدِّم النموذج القرآني الثلاثي للنفس (الأمارة / اللوامة / المطمئنة) قراءةً وجودية للديناميكيات الداخلية للإنسان. ويُحاوِل علم النفس الاستخلافي بناء جسر دقيق بين هذا التشريح القرآني والفهم النيوروبيولوجي المعاصر لا على سبيل الاختزال بل على سبيل الإثراء:</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500"/>
        <w:gridCol w:w="2996"/>
        <w:gridCol w:w="2250"/>
        <w:gridCol w:w="2000"/>
      </w:tblGrid>
      <w:tr>
        <w:trPr>
          <w:tblHeader/>
        </w:trPr>
        <w:tc>
          <w:tcPr>
            <w:tcW w:type="dxa" w:w="250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المستوى القرآني</w:t>
            </w:r>
          </w:p>
        </w:tc>
        <w:tc>
          <w:tcPr>
            <w:tcW w:type="dxa" w:w="2996"/>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الخاصية الجوهرية</w:t>
            </w:r>
          </w:p>
        </w:tc>
        <w:tc>
          <w:tcPr>
            <w:tcW w:type="dxa" w:w="225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النظير العصبي التقريبي</w:t>
            </w:r>
          </w:p>
        </w:tc>
        <w:tc>
          <w:tcPr>
            <w:tcW w:type="dxa" w:w="200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الخلل في الاضطراب</w:t>
            </w:r>
          </w:p>
        </w:tc>
      </w:tr>
      <w:tr>
        <w:tc>
          <w:tcPr>
            <w:tcW w:type="dxa" w:w="25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النفس الأمارة</w:t>
            </w:r>
          </w:p>
        </w:tc>
        <w:tc>
          <w:tcPr>
            <w:tcW w:type="dxa" w:w="2996"/>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الميل نحو الشهوات والنزوات والاندفاعية</w:t>
            </w:r>
          </w:p>
        </w:tc>
        <w:tc>
          <w:tcPr>
            <w:tcW w:type="dxa" w:w="225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Limbic System + Dopaminergic Reward Circuits</w:t>
            </w:r>
          </w:p>
        </w:tc>
        <w:tc>
          <w:tcPr>
            <w:tcW w:type="dxa" w:w="20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فرط النشاط الليمبي وضعف التنظيم القشري</w:t>
            </w:r>
          </w:p>
        </w:tc>
      </w:tr>
      <w:tr>
        <w:tc>
          <w:tcPr>
            <w:tcW w:type="dxa" w:w="25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النفس اللوامة</w:t>
            </w:r>
          </w:p>
        </w:tc>
        <w:tc>
          <w:tcPr>
            <w:tcW w:type="dxa" w:w="2996"/>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قدرة النفس على المحاسبة والتوبة والمراجعة</w:t>
            </w:r>
          </w:p>
        </w:tc>
        <w:tc>
          <w:tcPr>
            <w:tcW w:type="dxa" w:w="225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Anterior Cingulate Cortex (ACC) + PFC</w:t>
            </w:r>
          </w:p>
        </w:tc>
        <w:tc>
          <w:tcPr>
            <w:tcW w:type="dxa" w:w="20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تعطيل الـ ACC يُفسِّر العجز عن المحاسبة الذاتية</w:t>
            </w:r>
          </w:p>
        </w:tc>
      </w:tr>
      <w:tr>
        <w:tc>
          <w:tcPr>
            <w:tcW w:type="dxa" w:w="25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النفس المطمئنة</w:t>
            </w:r>
          </w:p>
        </w:tc>
        <w:tc>
          <w:tcPr>
            <w:tcW w:type="dxa" w:w="2996"/>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حالة التوازن الروحي والسكينة الوجودية</w:t>
            </w:r>
          </w:p>
        </w:tc>
        <w:tc>
          <w:tcPr>
            <w:tcW w:type="dxa" w:w="225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تكامل Default Mode Network مع شبكات التنفيذ</w:t>
            </w:r>
          </w:p>
        </w:tc>
        <w:tc>
          <w:tcPr>
            <w:tcW w:type="dxa" w:w="20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استعادة هذا التكامل هو هدف TLRT العلاجي</w:t>
            </w:r>
          </w:p>
        </w:tc>
      </w:tr>
    </w:tbl>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تجدر الإشارة إلى أن هذا التوازي ليس ادعاءً بالتطابق التام بين البنيتين، بل هو محاولة لإثراء الحوار بين الحكمة القرآنية والعلم التجريبي. فالنفس في المنظور القرآني أوسع من أن تُختزَل في بُنى عصبية، لكن البُنى العصبية تُمثِّل "المركبة المادية" التي تُجسِّد ديناميكيات النفس في العالم الفيزيقي.</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2.3 النظرية التنبؤية للدماغ (Predictive Coding) وعلاقتها بالطاقة المحتجزة</w:t>
      </w:r>
    </w:p>
    <w:p>
      <w:pPr>
        <w:bidi/>
        <w:spacing w:after="60" w:before="60" w:line="340"/>
        <w:ind/>
        <w:jc w:val="both"/>
      </w:pPr>
      <w:r>
        <w:rPr>
          <w:rFonts w:ascii="Traditional Arabic" w:cs="Traditional Arabic" w:eastAsia="Traditional Arabic" w:hAnsi="Traditional Arabic"/>
          <w:color w:val="1A1A2E"/>
          <w:sz w:val="23"/>
          <w:szCs w:val="23"/>
        </w:rPr>
        <w:t xml:space="preserve">أسهمت نظرية "الترميز التنبؤي" (Predictive Coding) الإدراكي —كما طوَّرها Karl Friston في نظرية "الطاقة الحرة" (Free Energy Principle)— في إعادة تأطير فهم الاضطرابات النفسية بشكل جذري. فوفق هذا النموذج، يعمل الدماغ باستمرار على تقليل "خطأ التنبؤ" (Prediction Error) بين توقعاته وما يرد من البيئة. والاضطراب النفسي في هذا الإطار هو نتاج "أنماط تنبؤية صلبة" (Rigid Predictive Priors) مقيِّدة للطاقة المعرفية والعاطفية.</w:t>
      </w:r>
    </w:p>
    <w:p>
      <w:pPr>
        <w:bidi/>
        <w:spacing w:after="60" w:before="60" w:line="340"/>
        <w:ind/>
        <w:jc w:val="both"/>
      </w:pPr>
      <w:r>
        <w:rPr>
          <w:rFonts w:ascii="Traditional Arabic" w:cs="Traditional Arabic" w:eastAsia="Traditional Arabic" w:hAnsi="Traditional Arabic"/>
          <w:color w:val="1A1A2E"/>
          <w:sz w:val="23"/>
          <w:szCs w:val="23"/>
        </w:rPr>
        <w:t xml:space="preserve">والتقاطع مع مفهوم "الطاقة الوجودية المحتجزة" هنا بليغ: فما يُسميه الزراع "احتجاز الطاقة" يمكن فهمه نيوروبيولوجياً بوصفه "تثبيتاً للأنماط التنبؤية السلبية" التي تستهلك "الطاقة الحرة" الإدراكية في حلقات مفرغة من الاجترار والقلق بدلاً من توجيهها نحو الاستكشاف والبناء. والجسر السلوكي في TLRT هو آلية لكسر هذه الحلقات عبر سلوكيات إحسانية تُدخِل "أخطاء تنبؤ إيجابية" تُعيد معايرة التوقعات الوجودية للمريض.</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dashed" w:color="0D7377" w:sz="4"/>
              <w:left w:val="dashed" w:color="0D7377" w:sz="4"/>
              <w:bottom w:val="dashed" w:color="0D7377" w:sz="4"/>
              <w:right w:val="dashed" w:color="0D7377" w:sz="4"/>
            </w:tcBorders>
            <w:shd w:fill="EAF4F4" w:val="clear"/>
            <w:tcMar>
              <w:top w:type="dxa" w:w="140"/>
              <w:left w:type="dxa" w:w="220"/>
              <w:bottom w:type="dxa" w:w="140"/>
              <w:right w:type="dxa" w:w="220"/>
            </w:tcMar>
          </w:tcPr>
          <w:p>
            <w:pPr>
              <w:bidi/>
              <w:spacing w:after="40" w:before="40" w:line="340"/>
              <w:jc w:val="right"/>
            </w:pPr>
            <w:r>
              <w:rPr>
                <w:rFonts w:ascii="Traditional Arabic" w:cs="Traditional Arabic" w:eastAsia="Traditional Arabic" w:hAnsi="Traditional Arabic"/>
                <w:b/>
                <w:bCs/>
                <w:color w:val="1A4A5A"/>
                <w:sz w:val="24"/>
                <w:szCs w:val="24"/>
              </w:rPr>
              <w:t xml:space="preserve">« إن الله يُحِب إذا عمل أحدكم عملاً أن يُتقنه »</w:t>
            </w:r>
          </w:p>
          <w:p>
            <w:pPr>
              <w:bidi/>
              <w:jc w:val="left"/>
            </w:pPr>
            <w:r>
              <w:rPr>
                <w:rFonts w:ascii="Traditional Arabic" w:cs="Traditional Arabic" w:eastAsia="Traditional Arabic" w:hAnsi="Traditional Arabic"/>
                <w:color w:val="0D7377"/>
                <w:sz w:val="20"/>
                <w:szCs w:val="20"/>
              </w:rPr>
              <w:t xml:space="preserve">رواه البيهقي في شعب الإيمان، وصحَّحه الألباني</w:t>
            </w:r>
          </w:p>
        </w:tc>
      </w:tr>
    </w:tbl>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الإتقان في السلوك الإحساني هو الآلية التي يُدخِل بها نموذج TLRT "أخطاء التنبؤ الإيجابية" إلى النظام الإدراكي للمريض، مُكسِراً بذلك نمط "الطاقة المحتجزة" بشكل تدريجي.</w:t>
      </w:r>
    </w:p>
    <w:p>
      <w:r>
        <w:br w:type="page"/>
      </w:r>
    </w:p>
    <w:p>
      <w:pPr>
        <w:pBdr>
          <w:top w:val="single" w:color="8B6914" w:sz="8" w:space="4"/>
          <w:bottom w:val="single" w:color="8B6914" w:sz="8" w:space="4"/>
        </w:pBdr>
        <w:shd w:fill="0D7377" w:val="clear"/>
        <w:bidi/>
        <w:spacing w:after="200" w:before="320" w:line="340"/>
        <w:jc w:val="center"/>
      </w:pPr>
      <w:r>
        <w:rPr>
          <w:rFonts w:ascii="Traditional Arabic" w:cs="Traditional Arabic" w:eastAsia="Traditional Arabic" w:hAnsi="Traditional Arabic"/>
          <w:b/>
          <w:bCs/>
          <w:color w:val="FFFFFF"/>
          <w:sz w:val="32"/>
          <w:szCs w:val="32"/>
        </w:rPr>
        <w:t xml:space="preserve">الفصل الثالث: الجسر السلوكي — نقد وتعميق</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3.1 الجسر السلوكي في مواجهة نظرية الهوية السردية (Ricoeur)</w:t>
      </w:r>
    </w:p>
    <w:p>
      <w:pPr>
        <w:bidi/>
        <w:spacing w:after="60" w:before="60" w:line="340"/>
        <w:ind/>
        <w:jc w:val="both"/>
      </w:pPr>
      <w:r>
        <w:rPr>
          <w:rFonts w:ascii="Traditional Arabic" w:cs="Traditional Arabic" w:eastAsia="Traditional Arabic" w:hAnsi="Traditional Arabic"/>
          <w:color w:val="1A1A2E"/>
          <w:sz w:val="23"/>
          <w:szCs w:val="23"/>
        </w:rPr>
        <w:t xml:space="preserve">قدَّم الفيلسوف الفرنسي Paul Ricoeur في عمله الثلاثي «Temps et Récit» (1983-1985م) ومن ثم في «Soi-même comme un autre» (1990م) مفهوم "الهوية السردية" (Narrative Identity)، التي ترى أن الذات الإنسانية لا تُشكِّل نفسها بالتوحيد الجوهري بل بالتضفير السردي —أي بنسج خيوط الماضي والحاضر والمستقبل في سردية متماسكة تُجيب عن سؤال: "من أنا؟"</w:t>
      </w:r>
    </w:p>
    <w:p>
      <w:pPr>
        <w:bidi/>
        <w:spacing w:after="60" w:before="60" w:line="340"/>
        <w:ind/>
        <w:jc w:val="both"/>
      </w:pPr>
      <w:r>
        <w:rPr>
          <w:rFonts w:ascii="Traditional Arabic" w:cs="Traditional Arabic" w:eastAsia="Traditional Arabic" w:hAnsi="Traditional Arabic"/>
          <w:color w:val="1A1A2E"/>
          <w:sz w:val="23"/>
          <w:szCs w:val="23"/>
        </w:rPr>
        <w:t xml:space="preserve">ومن هذا المنظور، يُحكَم الجسر السلوكي في TLRT بمفهوم Ricoeur بشكل رائع: فمشروع الكفارة الإبداعية ليس مجرد "فعل طيب" يُضاف إلى رصيد الفرد، بل هو عملية إعادة سرد (Re-narration) جذرية للتجربة المؤلمة تُدرجها في سردية وجودية جديدة تُكسبها معنىً وفاعلية. الفارق المحوري: Ricoeur يبقى في إطار السردية اللغوية، بينما TLRT يُجسِّد السردية في فعل إحساني ملموس يتجاوز اللغة إلى الواقع المُغيَّر.</w:t>
      </w:r>
    </w:p>
    <w:p>
      <w:pPr>
        <w:spacing w:after="40" w:before="40"/>
      </w:pPr>
      <w:r>
        <w:t xml:space="preserve"/>
      </w:r>
    </w:p>
    <w:p>
      <w:pPr>
        <w:bidi/>
        <w:spacing w:after="80" w:before="180" w:line="320"/>
        <w:jc w:val="right"/>
      </w:pPr>
      <w:r>
        <w:rPr>
          <w:rFonts w:ascii="Traditional Arabic" w:cs="Traditional Arabic" w:eastAsia="Traditional Arabic" w:hAnsi="Traditional Arabic"/>
          <w:b/>
          <w:bCs/>
          <w:color w:val="1A4A5A"/>
          <w:sz w:val="26"/>
          <w:szCs w:val="26"/>
        </w:rPr>
        <w:t xml:space="preserve">3.1.1 مقارنة: الجسر السلوكي وثلاثة نماذج غربية</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2373"/>
        <w:gridCol w:w="2373"/>
      </w:tblGrid>
      <w:tr>
        <w:trPr>
          <w:tblHeader/>
        </w:trPr>
        <w:tc>
          <w:tcPr>
            <w:tcW w:type="dxa" w:w="250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النموذج العلاجي</w:t>
            </w:r>
          </w:p>
        </w:tc>
        <w:tc>
          <w:tcPr>
            <w:tcW w:type="dxa" w:w="250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طبيعة التحول المطلوب</w:t>
            </w:r>
          </w:p>
        </w:tc>
        <w:tc>
          <w:tcPr>
            <w:tcW w:type="dxa" w:w="2373"/>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آلية التحول</w:t>
            </w:r>
          </w:p>
        </w:tc>
        <w:tc>
          <w:tcPr>
            <w:tcW w:type="dxa" w:w="2373"/>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محدودية النموذج</w:t>
            </w:r>
          </w:p>
        </w:tc>
      </w:tr>
      <w:tr>
        <w:tc>
          <w:tcPr>
            <w:tcW w:type="dxa" w:w="25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CBT (Beck, Ellis)</w:t>
            </w:r>
          </w:p>
        </w:tc>
        <w:tc>
          <w:tcPr>
            <w:tcW w:type="dxa" w:w="25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تغيير الأفكار المشوهة</w:t>
            </w:r>
          </w:p>
        </w:tc>
        <w:tc>
          <w:tcPr>
            <w:tcW w:type="dxa" w:w="2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إعادة البنية المعرفية (Cognitive Restructuring)</w:t>
            </w:r>
          </w:p>
        </w:tc>
        <w:tc>
          <w:tcPr>
            <w:tcW w:type="dxa" w:w="2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يبقى في مستوى الفكر، قد لا يُنتج تحولاً وجودياً حقيقياً</w:t>
            </w:r>
          </w:p>
        </w:tc>
      </w:tr>
      <w:tr>
        <w:tc>
          <w:tcPr>
            <w:tcW w:type="dxa" w:w="25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ACT (Hayes)</w:t>
            </w:r>
          </w:p>
        </w:tc>
        <w:tc>
          <w:tcPr>
            <w:tcW w:type="dxa" w:w="25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قبول الألم وتغيير العلاقة معه</w:t>
            </w:r>
          </w:p>
        </w:tc>
        <w:tc>
          <w:tcPr>
            <w:tcW w:type="dxa" w:w="23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Defusion + Commitment to Values</w:t>
            </w:r>
          </w:p>
        </w:tc>
        <w:tc>
          <w:tcPr>
            <w:tcW w:type="dxa" w:w="23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يُحسِّن التعايش مع الألم لكن لا يُحوِّله إلى وقود إحساني</w:t>
            </w:r>
          </w:p>
        </w:tc>
      </w:tr>
      <w:tr>
        <w:tc>
          <w:tcPr>
            <w:tcW w:type="dxa" w:w="25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EMDR (Shapiro)</w:t>
            </w:r>
          </w:p>
        </w:tc>
        <w:tc>
          <w:tcPr>
            <w:tcW w:type="dxa" w:w="25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معالجة الذاكرة الصادمة</w:t>
            </w:r>
          </w:p>
        </w:tc>
        <w:tc>
          <w:tcPr>
            <w:tcW w:type="dxa" w:w="2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إعادة المعالجة الثنائية للمعلومات</w:t>
            </w:r>
          </w:p>
        </w:tc>
        <w:tc>
          <w:tcPr>
            <w:tcW w:type="dxa" w:w="2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يُعالج الصدمة لكن لا يُجيب عن سؤال الغاية والمعنى</w:t>
            </w:r>
          </w:p>
        </w:tc>
      </w:tr>
      <w:tr>
        <w:tc>
          <w:tcPr>
            <w:tcW w:type="dxa" w:w="25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الجسر السلوكي TLRT</w:t>
            </w:r>
          </w:p>
        </w:tc>
        <w:tc>
          <w:tcPr>
            <w:tcW w:type="dxa" w:w="25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تحويل طاقة الجرح إلى فاعلية إحسانية</w:t>
            </w:r>
          </w:p>
        </w:tc>
        <w:tc>
          <w:tcPr>
            <w:tcW w:type="dxa" w:w="23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فعل سلوكي مُصمَّم فردياً مرتبط رمزياً بالجرح الأصلي</w:t>
            </w:r>
          </w:p>
        </w:tc>
        <w:tc>
          <w:tcPr>
            <w:tcW w:type="dxa" w:w="23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يستلزم مرحلة وعي استخلافي مسبقة لا تتوفر لدى الجميع</w:t>
            </w:r>
          </w:p>
        </w:tc>
      </w:tr>
    </w:tbl>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3.2 مشروع الكفارة الإبداعية وحدوده</w:t>
      </w:r>
    </w:p>
    <w:p>
      <w:pPr>
        <w:bidi/>
        <w:spacing w:after="60" w:before="60" w:line="340"/>
        <w:ind/>
        <w:jc w:val="both"/>
      </w:pPr>
      <w:r>
        <w:rPr>
          <w:rFonts w:ascii="Traditional Arabic" w:cs="Traditional Arabic" w:eastAsia="Traditional Arabic" w:hAnsi="Traditional Arabic"/>
          <w:color w:val="1A1A2E"/>
          <w:sz w:val="23"/>
          <w:szCs w:val="23"/>
        </w:rPr>
        <w:t xml:space="preserve">يُمثِّل مشروع الكفارة الإبداعية الذروةَ العلاجية في نموذج TLRT، غير أنه يستدعي نقداً داخلياً أميناً يُقوِّيه لا يُجهز عليه. ثمة ثلاثة تحديات رئيسية ينبغي الاعتراف بها والتعامل معها:</w:t>
      </w:r>
    </w:p>
    <w:p>
      <w:pPr>
        <w:bidi/>
        <w:spacing w:after="80" w:before="180" w:line="320"/>
        <w:jc w:val="right"/>
      </w:pPr>
      <w:r>
        <w:rPr>
          <w:rFonts w:ascii="Traditional Arabic" w:cs="Traditional Arabic" w:eastAsia="Traditional Arabic" w:hAnsi="Traditional Arabic"/>
          <w:b/>
          <w:bCs/>
          <w:color w:val="1A4A5A"/>
          <w:sz w:val="26"/>
          <w:szCs w:val="26"/>
        </w:rPr>
        <w:t xml:space="preserve">التحدي الأول: خطر التصنيع الأداتي للإحسان</w:t>
      </w:r>
    </w:p>
    <w:p>
      <w:pPr>
        <w:bidi/>
        <w:spacing w:after="60" w:before="60" w:line="340"/>
        <w:ind/>
        <w:jc w:val="both"/>
      </w:pPr>
      <w:r>
        <w:rPr>
          <w:rFonts w:ascii="Traditional Arabic" w:cs="Traditional Arabic" w:eastAsia="Traditional Arabic" w:hAnsi="Traditional Arabic"/>
          <w:color w:val="1A1A2E"/>
          <w:sz w:val="23"/>
          <w:szCs w:val="23"/>
        </w:rPr>
        <w:t xml:space="preserve">قد يُحوِّل تصميم مشروع الكفارة الإبداعية الإحسانَ من فعل روحي نابع من الداخل إلى مهمة علاجية مصنوعة من الخارج، وهو ما يستلزم عناية خاصة في التوقيت والأسلوب. المعالج الاستخلافي المتقن هو من يُرافق المريض حتى يكتشف جسره السلوكي من داخله، لا من يُملي عليه "ماذا يفعل".</w:t>
      </w:r>
    </w:p>
    <w:p>
      <w:pPr>
        <w:bidi/>
        <w:spacing w:after="80" w:before="180" w:line="320"/>
        <w:jc w:val="right"/>
      </w:pPr>
      <w:r>
        <w:rPr>
          <w:rFonts w:ascii="Traditional Arabic" w:cs="Traditional Arabic" w:eastAsia="Traditional Arabic" w:hAnsi="Traditional Arabic"/>
          <w:b/>
          <w:bCs/>
          <w:color w:val="1A4A5A"/>
          <w:sz w:val="26"/>
          <w:szCs w:val="26"/>
        </w:rPr>
        <w:t xml:space="preserve">التحدي الثاني: إشكالية التوازن بين المسؤولية والمرونة</w:t>
      </w:r>
    </w:p>
    <w:p>
      <w:pPr>
        <w:bidi/>
        <w:spacing w:after="60" w:before="60" w:line="340"/>
        <w:ind/>
        <w:jc w:val="both"/>
      </w:pPr>
      <w:r>
        <w:rPr>
          <w:rFonts w:ascii="Traditional Arabic" w:cs="Traditional Arabic" w:eastAsia="Traditional Arabic" w:hAnsi="Traditional Arabic"/>
          <w:color w:val="1A1A2E"/>
          <w:sz w:val="23"/>
          <w:szCs w:val="23"/>
        </w:rPr>
        <w:t xml:space="preserve">يُقدِّم النموذج انتقالاً من هوية الضحية إلى هوية المسؤول الفاعل. غير أن بعض الاضطرابات الشديدة (كاضطراب ما بعد الصدمة المعقد، أو الذهان الحاد) تستلزم مراحل تثبيت مسبقة قبل الدخول في مرحلة التحويل الطاقي. إن إدخال المريض مبكراً في خطاب "المسؤولية الاستخلافية" قبل التثبيت النفسي قد يُشكِّل عبئاً إضافياً لا طاقة تحريرية.</w:t>
      </w:r>
    </w:p>
    <w:p>
      <w:pPr>
        <w:bidi/>
        <w:spacing w:after="80" w:before="180" w:line="320"/>
        <w:jc w:val="right"/>
      </w:pPr>
      <w:r>
        <w:rPr>
          <w:rFonts w:ascii="Traditional Arabic" w:cs="Traditional Arabic" w:eastAsia="Traditional Arabic" w:hAnsi="Traditional Arabic"/>
          <w:b/>
          <w:bCs/>
          <w:color w:val="1A4A5A"/>
          <w:sz w:val="26"/>
          <w:szCs w:val="26"/>
        </w:rPr>
        <w:t xml:space="preserve">التحدي الثالث: العدالة بين الجرح والتحويل</w:t>
      </w:r>
    </w:p>
    <w:p>
      <w:pPr>
        <w:bidi/>
        <w:spacing w:after="60" w:before="60" w:line="340"/>
        <w:ind/>
        <w:jc w:val="both"/>
      </w:pPr>
      <w:r>
        <w:rPr>
          <w:rFonts w:ascii="Traditional Arabic" w:cs="Traditional Arabic" w:eastAsia="Traditional Arabic" w:hAnsi="Traditional Arabic"/>
          <w:color w:val="1A1A2E"/>
          <w:sz w:val="23"/>
          <w:szCs w:val="23"/>
        </w:rPr>
        <w:t xml:space="preserve">ثمة جروح جماعية (كضحايا الاغتصاب، وأبناء المجتمعات المُهمَّشة) حيث يُصبح الحديث المبكر عن "تحويل الطاقة إلى إحسان" أمراً قاسياً إن لم يُسبق بالاعتراف الكامل بالجرح والظلم. النموذج الاستخلافي في أتمِّ صوره لا يتجاهل العدالة، لكن الممارس الميداني يحتاج إلى دليل تطبيقي دقيق لتسلسل الأولويات.</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8B6914" w:sz="6"/>
              <w:left w:val="single" w:color="8B6914" w:sz="6"/>
              <w:bottom w:val="single" w:color="8B6914" w:sz="6"/>
              <w:right w:val="single" w:color="8B6914" w:sz="6"/>
            </w:tcBorders>
            <w:shd w:fill="FFF8E7" w:val="clear"/>
            <w:tcMar>
              <w:top w:type="dxa" w:w="160"/>
              <w:left w:type="dxa" w:w="240"/>
              <w:bottom w:type="dxa" w:w="160"/>
              <w:right w:type="dxa" w:w="240"/>
            </w:tcMar>
          </w:tcPr>
          <w:p>
            <w:pPr>
              <w:bidi/>
              <w:spacing w:after="40" w:before="60" w:line="360"/>
              <w:jc w:val="center"/>
            </w:pPr>
            <w:r>
              <w:rPr>
                <w:rFonts w:ascii="Traditional Arabic" w:cs="Traditional Arabic" w:eastAsia="Traditional Arabic" w:hAnsi="Traditional Arabic"/>
                <w:b/>
                <w:bCs/>
                <w:color w:val="1A4A5A"/>
                <w:sz w:val="28"/>
                <w:szCs w:val="28"/>
              </w:rPr>
              <w:t xml:space="preserve">وَمَن يَعْمَلْ مِثْقَالَ ذَرَّةٍ خَيْرًا يَرَهُ ۝ وَمَن يَعْمَلْ مِثْقَالَ ذَرَّةٍ شَرًّا يَرَهُ</w:t>
            </w:r>
          </w:p>
          <w:p>
            <w:pPr>
              <w:bidi/>
              <w:jc w:val="center"/>
            </w:pPr>
            <w:r>
              <w:rPr>
                <w:rFonts w:ascii="Traditional Arabic" w:cs="Traditional Arabic" w:eastAsia="Traditional Arabic" w:hAnsi="Traditional Arabic"/>
                <w:color w:val="8B6914"/>
                <w:sz w:val="21"/>
                <w:szCs w:val="21"/>
              </w:rPr>
              <w:t xml:space="preserve">سورة الزلزلة: الآيتان 7-8</w:t>
            </w:r>
          </w:p>
        </w:tc>
      </w:tr>
    </w:tbl>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آية الزلزلة تُقدِّم ضماناً وجودياً للجسر السلوكي: كل فعل إحساني —مهما صغُر— لن يضيع. وهذا الضمان يُكسب الجسر السلوكي مشروعيةً أنطولوجية لا تستطيع أي نظرية علاجية غربية تقديمها.</w:t>
      </w:r>
    </w:p>
    <w:p>
      <w:r>
        <w:br w:type="page"/>
      </w:r>
    </w:p>
    <w:p>
      <w:pPr>
        <w:pBdr>
          <w:top w:val="single" w:color="8B6914" w:sz="8" w:space="4"/>
          <w:bottom w:val="single" w:color="8B6914" w:sz="8" w:space="4"/>
        </w:pBdr>
        <w:shd w:fill="0D7377" w:val="clear"/>
        <w:bidi/>
        <w:spacing w:after="200" w:before="320" w:line="340"/>
        <w:jc w:val="center"/>
      </w:pPr>
      <w:r>
        <w:rPr>
          <w:rFonts w:ascii="Traditional Arabic" w:cs="Traditional Arabic" w:eastAsia="Traditional Arabic" w:hAnsi="Traditional Arabic"/>
          <w:b/>
          <w:bCs/>
          <w:color w:val="FFFFFF"/>
          <w:sz w:val="32"/>
          <w:szCs w:val="32"/>
        </w:rPr>
        <w:t xml:space="preserve">الفصل الرابع: الخبير الحي — أنطولوجيا التحول وحدوده</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4.1 Post-Traumatic Growth ونقده من منظور استخلافي</w:t>
      </w:r>
    </w:p>
    <w:p>
      <w:pPr>
        <w:bidi/>
        <w:spacing w:after="60" w:before="60" w:line="340"/>
        <w:ind/>
        <w:jc w:val="both"/>
      </w:pPr>
      <w:r>
        <w:rPr>
          <w:rFonts w:ascii="Traditional Arabic" w:cs="Traditional Arabic" w:eastAsia="Traditional Arabic" w:hAnsi="Traditional Arabic"/>
          <w:color w:val="1A1A2E"/>
          <w:sz w:val="23"/>
          <w:szCs w:val="23"/>
        </w:rPr>
        <w:t xml:space="preserve">في عام 1995م، قدَّم Richard Tedeschi وLawrence Calhoun مفهوم "النمو ما بعد الصدمي" (Post-Traumatic Growth, PTG) الذي يرصد كيف يُحقِّق بعض الناجين من صدمات كبرى تحولات إيجابية في مجالات الإحساس بالقوة الشخصية، والعلاقات مع الآخرين، وتقدير الحياة، والاهتمامات الروحية، والانفتاح على إمكانيات جديدة.</w:t>
      </w:r>
    </w:p>
    <w:p>
      <w:pPr>
        <w:bidi/>
        <w:spacing w:after="60" w:before="60" w:line="340"/>
        <w:ind/>
        <w:jc w:val="both"/>
      </w:pPr>
      <w:r>
        <w:rPr>
          <w:rFonts w:ascii="Traditional Arabic" w:cs="Traditional Arabic" w:eastAsia="Traditional Arabic" w:hAnsi="Traditional Arabic"/>
          <w:color w:val="1A1A2E"/>
          <w:sz w:val="23"/>
          <w:szCs w:val="23"/>
        </w:rPr>
        <w:t xml:space="preserve">يتقاطع مفهوم "الخبير الحي" في TLRT مع PTG في نقاط عدة، لكنه يتجاوزه بشكل جوهري في ثلاثة محاور:</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200"/>
        <w:gridCol w:w="3773"/>
        <w:gridCol w:w="3773"/>
      </w:tblGrid>
      <w:tr>
        <w:trPr>
          <w:tblHeader/>
        </w:trPr>
        <w:tc>
          <w:tcPr>
            <w:tcW w:type="dxa" w:w="220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المحور</w:t>
            </w:r>
          </w:p>
        </w:tc>
        <w:tc>
          <w:tcPr>
            <w:tcW w:type="dxa" w:w="3773"/>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Post-Traumatic Growth (Tedeschi &amp; Calhoun)</w:t>
            </w:r>
          </w:p>
        </w:tc>
        <w:tc>
          <w:tcPr>
            <w:tcW w:type="dxa" w:w="3773"/>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الخبير الحي (TLRT)</w:t>
            </w:r>
          </w:p>
        </w:tc>
      </w:tr>
      <w:tr>
        <w:tc>
          <w:tcPr>
            <w:tcW w:type="dxa" w:w="22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أصل التحول</w:t>
            </w:r>
          </w:p>
        </w:tc>
        <w:tc>
          <w:tcPr>
            <w:tcW w:type="dxa" w:w="37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استجابة طبيعية لمعالجة الصدمة (Natural Processing)</w:t>
            </w:r>
          </w:p>
        </w:tc>
        <w:tc>
          <w:tcPr>
            <w:tcW w:type="dxa" w:w="37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إرادة تحويلية واعية مُعزَّزة بوعي استخلافي روحي</w:t>
            </w:r>
          </w:p>
        </w:tc>
      </w:tr>
      <w:tr>
        <w:tc>
          <w:tcPr>
            <w:tcW w:type="dxa" w:w="22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غاية التحول</w:t>
            </w:r>
          </w:p>
        </w:tc>
        <w:tc>
          <w:tcPr>
            <w:tcW w:type="dxa" w:w="37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رفاهية الفرد وإحساسه بالنمو الشخصي</w:t>
            </w:r>
          </w:p>
        </w:tc>
        <w:tc>
          <w:tcPr>
            <w:tcW w:type="dxa" w:w="37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الاستخلاف: عمارة الأرض بالإحسان لفائدة الآخرين</w:t>
            </w:r>
          </w:p>
        </w:tc>
      </w:tr>
      <w:tr>
        <w:tc>
          <w:tcPr>
            <w:tcW w:type="dxa" w:w="22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موقف من الماضي</w:t>
            </w:r>
          </w:p>
        </w:tc>
        <w:tc>
          <w:tcPr>
            <w:tcW w:type="dxa" w:w="37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تكيف وقبول مع الجرح (Acceptance)</w:t>
            </w:r>
          </w:p>
        </w:tc>
        <w:tc>
          <w:tcPr>
            <w:tcW w:type="dxa" w:w="37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ترميم فاعل بذهب الإحسان (الكينتسوغي)</w:t>
            </w:r>
          </w:p>
        </w:tc>
      </w:tr>
      <w:tr>
        <w:tc>
          <w:tcPr>
            <w:tcW w:type="dxa" w:w="22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الدور الاجتماعي</w:t>
            </w:r>
          </w:p>
        </w:tc>
        <w:tc>
          <w:tcPr>
            <w:tcW w:type="dxa" w:w="37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التحول قد يبقى خاصاً وداخلياً</w:t>
            </w:r>
          </w:p>
        </w:tc>
        <w:tc>
          <w:tcPr>
            <w:tcW w:type="dxa" w:w="37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الخبير الحي بنية اجتماعية علاجية وتربوية فاعلة</w:t>
            </w:r>
          </w:p>
        </w:tc>
      </w:tr>
    </w:tbl>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4.2 الخبير الحي في فكر التكامل النفسي (Guidano)</w:t>
      </w:r>
    </w:p>
    <w:p>
      <w:pPr>
        <w:bidi/>
        <w:spacing w:after="60" w:before="60" w:line="340"/>
        <w:ind/>
        <w:jc w:val="both"/>
      </w:pPr>
      <w:r>
        <w:rPr>
          <w:rFonts w:ascii="Traditional Arabic" w:cs="Traditional Arabic" w:eastAsia="Traditional Arabic" w:hAnsi="Traditional Arabic"/>
          <w:color w:val="1A1A2E"/>
          <w:sz w:val="23"/>
          <w:szCs w:val="23"/>
        </w:rPr>
        <w:t xml:space="preserve">طوَّر الباحث الإيطالي Vittorio Guidano في «The Self in Process» (1991م) نظرية التكامل النفسي (Psychological Integration) التي ترى أن الصحة النفسية الحقيقية هي القدرة على دمج التجارب الصعبة في "السيرة الذاتية المتماسكة" (Coherent Autobiography) دون إنكار أو تفكك. والخبير الحي في TLRT يُجسِّد هذا التكامل على أرض الواقع: فهو لا ينكر تاريخه المؤلم ولا يتفكك أمامه، بل يدمجه بفاعلية في مشروع وجودي أشمل.</w:t>
      </w:r>
    </w:p>
    <w:p>
      <w:pPr>
        <w:bidi/>
        <w:spacing w:after="60" w:before="60" w:line="340"/>
        <w:ind/>
        <w:jc w:val="both"/>
      </w:pPr>
      <w:r>
        <w:rPr>
          <w:rFonts w:ascii="Traditional Arabic" w:cs="Traditional Arabic" w:eastAsia="Traditional Arabic" w:hAnsi="Traditional Arabic"/>
          <w:color w:val="1A1A2E"/>
          <w:sz w:val="23"/>
          <w:szCs w:val="23"/>
        </w:rPr>
        <w:t xml:space="preserve">لكن الخلاف الجوهري يبقى قائماً: Guidano يرى أن التكامل غاية في حد ذاته، بينما TLRT يرى التكامل شرطاً ضرورياً لكنه غير كافٍ —إذ لا بد أن يتحول التكامل إلى استخلاف فعلي في الفضاء الاجتماعي.</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4.3 تطبيقات سريرية لنموذج الخبير الحي</w:t>
      </w:r>
    </w:p>
    <w:p>
      <w:pPr>
        <w:bidi/>
        <w:spacing w:after="60" w:before="60" w:line="340"/>
        <w:ind/>
        <w:jc w:val="both"/>
      </w:pPr>
      <w:r>
        <w:rPr>
          <w:rFonts w:ascii="Traditional Arabic" w:cs="Traditional Arabic" w:eastAsia="Traditional Arabic" w:hAnsi="Traditional Arabic"/>
          <w:color w:val="1A1A2E"/>
          <w:sz w:val="23"/>
          <w:szCs w:val="23"/>
        </w:rPr>
        <w:t xml:space="preserve">تُمثِّل برامج "Peer Support Specialists" في الطب النفسي الأمريكي تطبيقاً نسبياً لمبدأ الخبير الحي. وقد وثَّقت مراجعة Corrigan et al. (2012م) أن توظيف متعافين من الاضطرابات النفسية كـ"متخصصين في دعم الأقران" يُحقِّق نتائج قابلة للقياس في:</w:t>
      </w:r>
    </w:p>
    <w:p>
      <w:pPr>
        <w:bidi/>
        <w:spacing w:after="60" w:before="60" w:line="340"/>
        <w:ind/>
        <w:jc w:val="both"/>
      </w:pPr>
      <w:r>
        <w:rPr>
          <w:rFonts w:ascii="Traditional Arabic" w:cs="Traditional Arabic" w:eastAsia="Traditional Arabic" w:hAnsi="Traditional Arabic"/>
          <w:color w:val="1A1A2E"/>
          <w:sz w:val="23"/>
          <w:szCs w:val="23"/>
        </w:rPr>
        <w:t xml:space="preserve">— تخفيض معدلات الاستشفاء المتكرر بنسبة 20-30%، وتحسين الامتثال العلاجي، وتقليص الوصم الذاتي لدى المرضى المُستَقبَلين. غير أن هذه البرامج تبقى في إطار "إدارة الاضطراب" وليس "تحويل الطاقة إلى استخلاف"، وهو ما يُضيفه النموذج الاستخلافي بشكل حصري.</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dashed" w:color="0D7377" w:sz="4"/>
              <w:left w:val="dashed" w:color="0D7377" w:sz="4"/>
              <w:bottom w:val="dashed" w:color="0D7377" w:sz="4"/>
              <w:right w:val="dashed" w:color="0D7377" w:sz="4"/>
            </w:tcBorders>
            <w:shd w:fill="EAF4F4" w:val="clear"/>
            <w:tcMar>
              <w:top w:type="dxa" w:w="140"/>
              <w:left w:type="dxa" w:w="220"/>
              <w:bottom w:type="dxa" w:w="140"/>
              <w:right w:type="dxa" w:w="220"/>
            </w:tcMar>
          </w:tcPr>
          <w:p>
            <w:pPr>
              <w:bidi/>
              <w:spacing w:after="40" w:before="40" w:line="340"/>
              <w:jc w:val="right"/>
            </w:pPr>
            <w:r>
              <w:rPr>
                <w:rFonts w:ascii="Traditional Arabic" w:cs="Traditional Arabic" w:eastAsia="Traditional Arabic" w:hAnsi="Traditional Arabic"/>
                <w:b/>
                <w:bCs/>
                <w:color w:val="1A4A5A"/>
                <w:sz w:val="24"/>
                <w:szCs w:val="24"/>
              </w:rPr>
              <w:t xml:space="preserve">« من نفَّس عن مؤمن كربةً من كرب الدنيا نفَّس الله عنه كربةً من كرب يوم القيامة »</w:t>
            </w:r>
          </w:p>
          <w:p>
            <w:pPr>
              <w:bidi/>
              <w:jc w:val="left"/>
            </w:pPr>
            <w:r>
              <w:rPr>
                <w:rFonts w:ascii="Traditional Arabic" w:cs="Traditional Arabic" w:eastAsia="Traditional Arabic" w:hAnsi="Traditional Arabic"/>
                <w:color w:val="0D7377"/>
                <w:sz w:val="20"/>
                <w:szCs w:val="20"/>
              </w:rPr>
              <w:t xml:space="preserve">رواه مسلم في صحيحه، كتاب الذكر والدعاء، حديث رقم 2699</w:t>
            </w:r>
          </w:p>
        </w:tc>
      </w:tr>
    </w:tbl>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هذا الحديث يُقدِّم الجوهر الإلهي لنموذج الخبير الحي: ليس مجرد نفع إنساني أفقي، بل هو ميزان رباني ينعكس عمودياً. الخبير الحي يُنفِّس كربة الآخر بما كان كربةً له هو، فيُحوِّل معاناته إلى مفتاح رحمة إلهية لكليهما.</w:t>
      </w:r>
    </w:p>
    <w:p>
      <w:r>
        <w:br w:type="page"/>
      </w:r>
    </w:p>
    <w:p>
      <w:pPr>
        <w:pBdr>
          <w:top w:val="single" w:color="8B6914" w:sz="8" w:space="4"/>
          <w:bottom w:val="single" w:color="8B6914" w:sz="8" w:space="4"/>
        </w:pBdr>
        <w:shd w:fill="0D7377" w:val="clear"/>
        <w:bidi/>
        <w:spacing w:after="200" w:before="320" w:line="340"/>
        <w:jc w:val="center"/>
      </w:pPr>
      <w:r>
        <w:rPr>
          <w:rFonts w:ascii="Traditional Arabic" w:cs="Traditional Arabic" w:eastAsia="Traditional Arabic" w:hAnsi="Traditional Arabic"/>
          <w:b/>
          <w:bCs/>
          <w:color w:val="FFFFFF"/>
          <w:sz w:val="32"/>
          <w:szCs w:val="32"/>
        </w:rPr>
        <w:t xml:space="preserve">الفصل الخامس: الكينتسوغي النفسي — فلسفة الجمال عند ابن القيم</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5.1 الجمال في المنظور الإسلامي الكلاسيكي</w:t>
      </w:r>
    </w:p>
    <w:p>
      <w:pPr>
        <w:bidi/>
        <w:spacing w:after="60" w:before="60" w:line="340"/>
        <w:ind/>
        <w:jc w:val="both"/>
      </w:pPr>
      <w:r>
        <w:rPr>
          <w:rFonts w:ascii="Traditional Arabic" w:cs="Traditional Arabic" w:eastAsia="Traditional Arabic" w:hAnsi="Traditional Arabic"/>
          <w:color w:val="1A1A2E"/>
          <w:sz w:val="23"/>
          <w:szCs w:val="23"/>
        </w:rPr>
        <w:t xml:space="preserve">استدعاء استعارة الكينتسوغي الياباني في علم النفس الاستخلافي يكتسب عمقاً أصيلاً حين يُقرَأ في ضوء فلسفة الجمال عند ابن القيم الجوزية (691-751هـ). فقد أسَّس ابن القيم في «روضة المحبين» و«مدارج السالكين» لمفهوم "الجمال الروحي" الذي يرى الجرح المُرمَّم أجمل من السلامة غير المُبتلاة، لأن في الابتلاء وثماره تجلياً ربانياً لا يظهر في حالة العافية.</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8B6914" w:sz="6"/>
              <w:left w:val="single" w:color="8B6914" w:sz="6"/>
              <w:bottom w:val="single" w:color="8B6914" w:sz="6"/>
              <w:right w:val="single" w:color="8B6914" w:sz="6"/>
            </w:tcBorders>
            <w:shd w:fill="FFF8E7" w:val="clear"/>
            <w:tcMar>
              <w:top w:type="dxa" w:w="160"/>
              <w:left w:type="dxa" w:w="240"/>
              <w:bottom w:type="dxa" w:w="160"/>
              <w:right w:type="dxa" w:w="240"/>
            </w:tcMar>
          </w:tcPr>
          <w:p>
            <w:pPr>
              <w:bidi/>
              <w:spacing w:after="40" w:before="60" w:line="360"/>
              <w:jc w:val="center"/>
            </w:pPr>
            <w:r>
              <w:rPr>
                <w:rFonts w:ascii="Traditional Arabic" w:cs="Traditional Arabic" w:eastAsia="Traditional Arabic" w:hAnsi="Traditional Arabic"/>
                <w:b/>
                <w:bCs/>
                <w:color w:val="1A4A5A"/>
                <w:sz w:val="28"/>
                <w:szCs w:val="28"/>
              </w:rPr>
              <w:t xml:space="preserve">أَحَسِبَ النَّاسُ أَن يُتْرَكُوا أَن يَقُولُوا آمَنَّا وَهُمْ لَا يُفْتَنُونَ</w:t>
            </w:r>
          </w:p>
          <w:p>
            <w:pPr>
              <w:bidi/>
              <w:jc w:val="center"/>
            </w:pPr>
            <w:r>
              <w:rPr>
                <w:rFonts w:ascii="Traditional Arabic" w:cs="Traditional Arabic" w:eastAsia="Traditional Arabic" w:hAnsi="Traditional Arabic"/>
                <w:color w:val="8B6914"/>
                <w:sz w:val="21"/>
                <w:szCs w:val="21"/>
              </w:rPr>
              <w:t xml:space="preserve">سورة العنكبوت: الآية 2</w:t>
            </w:r>
          </w:p>
        </w:tc>
      </w:tr>
    </w:tbl>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يقول ابن القيم في «مدارج السالكين»: "وكل آفة تعرض لمحبة الله أو الخوف منه أو الرجاء أو التوكل، إذا عولجت انقلبت إلى قوة تُولِّد من جنسها قوةً مضاعفة." هذا تأطير فلسفي كلاسيكي ينسجم تماماً مع منطق الكينتسوغي النفسي: الكسر المُرمَّم يُولِّد قوةً مضاعفة لا مجرد إعادة إلى الحال السابقة.</w:t>
      </w:r>
    </w:p>
    <w:p>
      <w:pPr>
        <w:bidi/>
        <w:spacing w:after="60" w:before="60" w:line="340"/>
        <w:ind/>
        <w:jc w:val="both"/>
      </w:pPr>
      <w:r>
        <w:rPr>
          <w:rFonts w:ascii="Traditional Arabic" w:cs="Traditional Arabic" w:eastAsia="Traditional Arabic" w:hAnsi="Traditional Arabic"/>
          <w:color w:val="1A1A2E"/>
          <w:sz w:val="23"/>
          <w:szCs w:val="23"/>
        </w:rPr>
        <w:t xml:space="preserve">والفارق بين "الترميم بالذهب" و"الإصلاح بالغراء" جوهري: الإصلاح بالغراء يُعيد القطعة إلى سابق عهدها كأن لم يكسر شيء، وهذا ما تفعله بعض النماذج العلاجية حين تستهدف فقط "غياب الأعراض". أما الترميم بالذهب فيجعل أثر الكسر نفسه مصدر جمال وتميز —وهذا هو جوهر الاستخلاف الوجودي.</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5.2 الكينتسوغي والفضيلة المكتسبة بالألم: حوار مع الأخلاق الفضيلية</w:t>
      </w:r>
    </w:p>
    <w:p>
      <w:pPr>
        <w:bidi/>
        <w:spacing w:after="60" w:before="60" w:line="340"/>
        <w:ind/>
        <w:jc w:val="both"/>
      </w:pPr>
      <w:r>
        <w:rPr>
          <w:rFonts w:ascii="Traditional Arabic" w:cs="Traditional Arabic" w:eastAsia="Traditional Arabic" w:hAnsi="Traditional Arabic"/>
          <w:color w:val="1A1A2E"/>
          <w:sz w:val="23"/>
          <w:szCs w:val="23"/>
        </w:rPr>
        <w:t xml:space="preserve">تُميِّز الأخلاق الفضيلية الأرسطية —ومن بعدها Alasdair MacIntyre في «After Virtue» (1981م)— بين "الفضيلة الطبيعية" (Natural Virtue) التي يمتلكها الإنسان بالتكوين، و"الفضيلة المكتسبة" (Acquired Virtue) التي تُكتسب عبر الممارسة المتكررة في مواجهة الصعاب. وفي هذا الإطار، "الكينتسوغي النفسي" يُنتج ما يمكن تسميته "الفضيلة المصهورة بالألم" (Pain-Forged Virtue): وهي فضيلة أعمق وأرسخ من الفضيلة الطبيعية لأنها اختُبرت وصمدت في بوتقة المعاناة.</w:t>
      </w:r>
    </w:p>
    <w:p>
      <w:pPr>
        <w:bidi/>
        <w:spacing w:after="60" w:before="60" w:line="340"/>
        <w:ind/>
        <w:jc w:val="both"/>
      </w:pPr>
      <w:r>
        <w:rPr>
          <w:rFonts w:ascii="Traditional Arabic" w:cs="Traditional Arabic" w:eastAsia="Traditional Arabic" w:hAnsi="Traditional Arabic"/>
          <w:color w:val="1A1A2E"/>
          <w:sz w:val="23"/>
          <w:szCs w:val="23"/>
        </w:rPr>
        <w:t xml:space="preserve">وهذا ما يُعطي الخبير الحي مشروعيته الأخلاقية والعلاجية: فكلامه لا يأتي من مكتبة أو مختبر، بل من "البوتقة الوجودية" (Existential Crucible) —تعبير استعاره Yalom في وصف المواقف الحدية التي تُكشف فيها الحقيقة الوجودية.</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5.3 جدل الكينتسوغي: هل كل جرح قابل للترميم بالذهب؟</w:t>
      </w:r>
    </w:p>
    <w:p>
      <w:pPr>
        <w:bidi/>
        <w:spacing w:after="60" w:before="60" w:line="340"/>
        <w:ind/>
        <w:jc w:val="both"/>
      </w:pPr>
      <w:r>
        <w:rPr>
          <w:rFonts w:ascii="Traditional Arabic" w:cs="Traditional Arabic" w:eastAsia="Traditional Arabic" w:hAnsi="Traditional Arabic"/>
          <w:color w:val="1A1A2E"/>
          <w:sz w:val="23"/>
          <w:szCs w:val="23"/>
        </w:rPr>
        <w:t xml:space="preserve">النقد الأمين يستلزم الاعتراف بأن النموذج لا يُدَّعى فيه أن كل جرح قابل للتحويل إلى ذهب في كل وقت وتحت كل ظرف. ثمة جروح تستلزم مرحلة طويلة من الحداد والتثبيت قبل أن يُفكر المريض في التحويل. وثمة جروح جماعية (إبادات، اغتيالات، اضطهاد ممنهج) تستلزم أولاً العدالة الاجتماعية قبل العلاج النفسي.</w:t>
      </w:r>
    </w:p>
    <w:p>
      <w:pPr>
        <w:bidi/>
        <w:spacing w:after="60" w:before="60" w:line="340"/>
        <w:ind/>
        <w:jc w:val="both"/>
      </w:pPr>
      <w:r>
        <w:rPr>
          <w:rFonts w:ascii="Traditional Arabic" w:cs="Traditional Arabic" w:eastAsia="Traditional Arabic" w:hAnsi="Traditional Arabic"/>
          <w:color w:val="1A1A2E"/>
          <w:sz w:val="23"/>
          <w:szCs w:val="23"/>
        </w:rPr>
        <w:t xml:space="preserve">النموذج الاستخلافي الناضج ليس نموذجاً ساذجاً يُغفل الظلم البنيوي. لكنه يُؤكِّد —وهذا هو جوهر الموقف الوجودي— أن حتى في غياب شروط العدالة، يبقى للإنسان "فضاء أخير من الحرية" (Viktor Frankl) في اختيار علاقته بمعاناته.</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8B6914" w:sz="3"/>
              <w:left w:val="single" w:color="8B6914" w:sz="3"/>
              <w:bottom w:val="single" w:color="8B6914" w:sz="3"/>
              <w:right w:val="single" w:color="8B6914" w:sz="3"/>
            </w:tcBorders>
            <w:shd w:fill="FDF3DC" w:val="clear"/>
            <w:tcMar>
              <w:top w:type="dxa" w:w="120"/>
              <w:left w:type="dxa" w:w="200"/>
              <w:bottom w:type="dxa" w:w="120"/>
              <w:right w:type="dxa" w:w="200"/>
            </w:tcMar>
          </w:tcPr>
          <w:p>
            <w:pPr>
              <w:bidi/>
              <w:spacing w:after="40" w:before="40" w:line="340"/>
              <w:jc w:val="both"/>
            </w:pPr>
            <w:r>
              <w:rPr>
                <w:rFonts w:ascii="Traditional Arabic" w:cs="Traditional Arabic" w:eastAsia="Traditional Arabic" w:hAnsi="Traditional Arabic"/>
                <w:color w:val="1A4A5A"/>
                <w:sz w:val="23"/>
                <w:szCs w:val="23"/>
              </w:rPr>
              <w:t xml:space="preserve">قال الإمام ابن القيم: "وكم من نعمة جسيمة وراء بلية جسيمة، وكم من عافية عُجِّلت وراءها آفة، وكم من بلية عُجِّلت وراءها عافية ونعمة تامة لا تزول." — مدارج السالكين، باب الصبر.</w:t>
            </w:r>
          </w:p>
        </w:tc>
      </w:tr>
    </w:tbl>
    <w:p>
      <w:r>
        <w:br w:type="page"/>
      </w:r>
    </w:p>
    <w:p>
      <w:pPr>
        <w:pBdr>
          <w:top w:val="single" w:color="8B6914" w:sz="8" w:space="4"/>
          <w:bottom w:val="single" w:color="8B6914" w:sz="8" w:space="4"/>
        </w:pBdr>
        <w:shd w:fill="0D7377" w:val="clear"/>
        <w:bidi/>
        <w:spacing w:after="200" w:before="320" w:line="340"/>
        <w:jc w:val="center"/>
      </w:pPr>
      <w:r>
        <w:rPr>
          <w:rFonts w:ascii="Traditional Arabic" w:cs="Traditional Arabic" w:eastAsia="Traditional Arabic" w:hAnsi="Traditional Arabic"/>
          <w:b/>
          <w:bCs/>
          <w:color w:val="FFFFFF"/>
          <w:sz w:val="32"/>
          <w:szCs w:val="32"/>
        </w:rPr>
        <w:t xml:space="preserve">الفصل السادس: نحو نموذج تطبيقي مُعمَّق لمواجهة الوصم</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6.1 مراحل التدخل العلاجي الاستخلافي في مواجهة الوصم</w:t>
      </w:r>
    </w:p>
    <w:p>
      <w:pPr>
        <w:bidi/>
        <w:spacing w:after="60" w:before="60" w:line="340"/>
        <w:ind/>
        <w:jc w:val="both"/>
      </w:pPr>
      <w:r>
        <w:rPr>
          <w:rFonts w:ascii="Traditional Arabic" w:cs="Traditional Arabic" w:eastAsia="Traditional Arabic" w:hAnsi="Traditional Arabic"/>
          <w:color w:val="1A1A2E"/>
          <w:sz w:val="23"/>
          <w:szCs w:val="23"/>
        </w:rPr>
        <w:t xml:space="preserve">يقترح علم النفس الاستخلافي بروتوكولاً تدخلياً من خمس مراحل متدرجة لمواجهة الوصم النفسي على مستوى الفرد والأسرة والمجتمع:</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000"/>
        <w:gridCol w:w="2300"/>
        <w:gridCol w:w="2700"/>
        <w:gridCol w:w="2746"/>
      </w:tblGrid>
      <w:tr>
        <w:trPr>
          <w:tblHeader/>
        </w:trPr>
        <w:tc>
          <w:tcPr>
            <w:tcW w:type="dxa" w:w="200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المرحلة</w:t>
            </w:r>
          </w:p>
        </w:tc>
        <w:tc>
          <w:tcPr>
            <w:tcW w:type="dxa" w:w="230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الهدف</w:t>
            </w:r>
          </w:p>
        </w:tc>
        <w:tc>
          <w:tcPr>
            <w:tcW w:type="dxa" w:w="270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الأدوات الرئيسية</w:t>
            </w:r>
          </w:p>
        </w:tc>
        <w:tc>
          <w:tcPr>
            <w:tcW w:type="dxa" w:w="2746"/>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المؤشرات الإكلينيكية</w:t>
            </w:r>
          </w:p>
        </w:tc>
      </w:tr>
      <w:tr>
        <w:tc>
          <w:tcPr>
            <w:tcW w:type="dxa" w:w="20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1. التأسيس (Groundwork)</w:t>
            </w:r>
          </w:p>
        </w:tc>
        <w:tc>
          <w:tcPr>
            <w:tcW w:type="dxa" w:w="23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كسر الوصم الذاتي وبناء العلاقة العلاجية</w:t>
            </w:r>
          </w:p>
        </w:tc>
        <w:tc>
          <w:tcPr>
            <w:tcW w:type="dxa" w:w="27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الاستماع الاستخلافي + إعادة التأطير اللغوي للتشخيص</w:t>
            </w:r>
          </w:p>
        </w:tc>
        <w:tc>
          <w:tcPr>
            <w:tcW w:type="dxa" w:w="2746"/>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تراجع Self-Stigma Scale + انخفاض الخجل من طلب المساعدة</w:t>
            </w:r>
          </w:p>
        </w:tc>
      </w:tr>
      <w:tr>
        <w:tc>
          <w:tcPr>
            <w:tcW w:type="dxa" w:w="20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2. التشخيص الوجودي (Existential Mapping)</w:t>
            </w:r>
          </w:p>
        </w:tc>
        <w:tc>
          <w:tcPr>
            <w:tcW w:type="dxa" w:w="23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رسم خريطة الطاقة المحتجزة وتحديد الجسور المحتملة</w:t>
            </w:r>
          </w:p>
        </w:tc>
        <w:tc>
          <w:tcPr>
            <w:tcW w:type="dxa" w:w="27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مقياس الطاقة الوجودية (الزراع) + جلسات السرد الذاتي</w:t>
            </w:r>
          </w:p>
        </w:tc>
        <w:tc>
          <w:tcPr>
            <w:tcW w:type="dxa" w:w="2746"/>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وضوح اللحظات الفارقة (Turning Points) في السيرة الذاتية</w:t>
            </w:r>
          </w:p>
        </w:tc>
      </w:tr>
      <w:tr>
        <w:tc>
          <w:tcPr>
            <w:tcW w:type="dxa" w:w="20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3. بناء الجسر (Bridge Construction)</w:t>
            </w:r>
          </w:p>
        </w:tc>
        <w:tc>
          <w:tcPr>
            <w:tcW w:type="dxa" w:w="23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تصميم الجسر السلوكي الفردي المُلائم</w:t>
            </w:r>
          </w:p>
        </w:tc>
        <w:tc>
          <w:tcPr>
            <w:tcW w:type="dxa" w:w="27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تقنية القيمة المضادة + محادثات الكفارة الإبداعية</w:t>
            </w:r>
          </w:p>
        </w:tc>
        <w:tc>
          <w:tcPr>
            <w:tcW w:type="dxa" w:w="2746"/>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وجود خطة عمل ملموسة ومرتبطة رمزياً بالجرح الأصلي</w:t>
            </w:r>
          </w:p>
        </w:tc>
      </w:tr>
      <w:tr>
        <w:tc>
          <w:tcPr>
            <w:tcW w:type="dxa" w:w="20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4. التنفيذ (Enactment)</w:t>
            </w:r>
          </w:p>
        </w:tc>
        <w:tc>
          <w:tcPr>
            <w:tcW w:type="dxa" w:w="23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البدء الفعلي في تطبيق مشروع الكفارة الإبداعية</w:t>
            </w:r>
          </w:p>
        </w:tc>
        <w:tc>
          <w:tcPr>
            <w:tcW w:type="dxa" w:w="27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المتابعة الأسبوعية + استيعاب الانتكاسات</w:t>
            </w:r>
          </w:p>
        </w:tc>
        <w:tc>
          <w:tcPr>
            <w:tcW w:type="dxa" w:w="2746"/>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تطور في مؤشر الفاعلية الذاتية (Self-Efficacy)</w:t>
            </w:r>
          </w:p>
        </w:tc>
      </w:tr>
      <w:tr>
        <w:tc>
          <w:tcPr>
            <w:tcW w:type="dxa" w:w="20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5. الاستخلاف (Khalifa Status)</w:t>
            </w:r>
          </w:p>
        </w:tc>
        <w:tc>
          <w:tcPr>
            <w:tcW w:type="dxa" w:w="23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انتقال الهوية من مريض/ضحية إلى خبير حي/خليفة فاعل</w:t>
            </w:r>
          </w:p>
        </w:tc>
        <w:tc>
          <w:tcPr>
            <w:tcW w:type="dxa" w:w="27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شبكات الدعم الجماعي + مشاركة القصة في الفضاء العام</w:t>
            </w:r>
          </w:p>
        </w:tc>
        <w:tc>
          <w:tcPr>
            <w:tcW w:type="dxa" w:w="2746"/>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تراجع Recurrence + ارتفاع Well-Being ومعدلات المشاركة المجتمعية</w:t>
            </w:r>
          </w:p>
        </w:tc>
      </w:tr>
    </w:tbl>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6.2 مستوى الأسرة: من الوصم الجماعي إلى الرعاية الاستخلافية</w:t>
      </w:r>
    </w:p>
    <w:p>
      <w:pPr>
        <w:bidi/>
        <w:spacing w:after="60" w:before="60" w:line="340"/>
        <w:ind/>
        <w:jc w:val="both"/>
      </w:pPr>
      <w:r>
        <w:rPr>
          <w:rFonts w:ascii="Traditional Arabic" w:cs="Traditional Arabic" w:eastAsia="Traditional Arabic" w:hAnsi="Traditional Arabic"/>
          <w:color w:val="1A1A2E"/>
          <w:sz w:val="23"/>
          <w:szCs w:val="23"/>
        </w:rPr>
        <w:t xml:space="preserve">تُمثِّل الأسرة في السياق العربي الإسلامي الوحدة الاجتماعية الأولى لإنتاج الوصم أو تحطيمه. ويقترح النموذج الاستخلافي التدخل الأسري على مستويين متوازيين:</w:t>
      </w:r>
    </w:p>
    <w:p>
      <w:pPr>
        <w:bidi/>
        <w:spacing w:after="60" w:before="60" w:line="340"/>
        <w:ind/>
        <w:jc w:val="both"/>
      </w:pPr>
      <w:r>
        <w:rPr>
          <w:rFonts w:ascii="Traditional Arabic" w:cs="Traditional Arabic" w:eastAsia="Traditional Arabic" w:hAnsi="Traditional Arabic"/>
          <w:color w:val="1A1A2E"/>
          <w:sz w:val="23"/>
          <w:szCs w:val="23"/>
        </w:rPr>
        <w:t xml:space="preserve">الأول: إعادة التأطير المفاهيمي للمرض النفسي داخل الأسرة، من "عيب يُخفى" إلى "أمانة تُرعى". وهذا يستلزم جلسات تربوية للأسرة تُقدِّم الرعاية النفسية بوصفها واجباً استخلافياً وليس خياراً.</w:t>
      </w:r>
    </w:p>
    <w:p>
      <w:pPr>
        <w:bidi/>
        <w:spacing w:after="60" w:before="60" w:line="340"/>
        <w:ind/>
        <w:jc w:val="both"/>
      </w:pPr>
      <w:r>
        <w:rPr>
          <w:rFonts w:ascii="Traditional Arabic" w:cs="Traditional Arabic" w:eastAsia="Traditional Arabic" w:hAnsi="Traditional Arabic"/>
          <w:color w:val="1A1A2E"/>
          <w:sz w:val="23"/>
          <w:szCs w:val="23"/>
        </w:rPr>
        <w:t xml:space="preserve">الثاني: توظيف الأسرة في مشروع الكفارة الإبداعية للمريض بوصفها حاضنة اجتماعية تُعزِّز التحول وترعاه. ويُفيد هنا مفهوم "الاستخلاف الجماعي" (Collective Khalifa) الذي يرى الأسرة خليفة جماعية مسؤولة بشكل تضامني عن عمران أفرادها.</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6.3 مستوى المجتمع: الصحة النفسية كفريضة حضارية</w:t>
      </w:r>
    </w:p>
    <w:p>
      <w:pPr>
        <w:bidi/>
        <w:spacing w:after="60" w:before="60" w:line="340"/>
        <w:ind/>
        <w:jc w:val="both"/>
      </w:pPr>
      <w:r>
        <w:rPr>
          <w:rFonts w:ascii="Traditional Arabic" w:cs="Traditional Arabic" w:eastAsia="Traditional Arabic" w:hAnsi="Traditional Arabic"/>
          <w:color w:val="1A1A2E"/>
          <w:sz w:val="23"/>
          <w:szCs w:val="23"/>
        </w:rPr>
        <w:t xml:space="preserve">على المستوى المجتمعي، يُقدِّم علم النفس الاستخلافي رؤية للصحة النفسية بوصفها "فريضة حضارية" لا خدمة فردية: فالمجتمع الذي يَصِم مرضاه النفسيين يُهدر جزءاً من طاقته الاستخلافية الجماعية، بينما المجتمع الذي يرعاهم ويمكِّنهم من التحول إلى خبراء أحياء يُضاعف طاقته الحضارية.</w:t>
      </w:r>
    </w:p>
    <w:p>
      <w:pPr>
        <w:bidi/>
        <w:spacing w:after="60" w:before="60" w:line="340"/>
        <w:ind/>
        <w:jc w:val="both"/>
      </w:pPr>
      <w:r>
        <w:rPr>
          <w:rFonts w:ascii="Traditional Arabic" w:cs="Traditional Arabic" w:eastAsia="Traditional Arabic" w:hAnsi="Traditional Arabic"/>
          <w:color w:val="1A1A2E"/>
          <w:sz w:val="23"/>
          <w:szCs w:val="23"/>
        </w:rPr>
        <w:t xml:space="preserve">وهذا يستلزم على مستوى السياسات العامة: أولاً، إعادة تأطير الخطاب الديني الشعبي حول المرض النفسي بإبراز الإطار القرآني للابتلاء والرعاية. ثانياً، دمج نماذج الخبير الحي في منظومة الصحة النفسية المجتمعية. ثالثاً، بناء بنية تحتية مؤسسية تُحوِّل مراكز الصحة النفسية من فضاءات وصمية إلى فضاءات استخلافية.</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8B6914" w:sz="6"/>
              <w:left w:val="single" w:color="8B6914" w:sz="6"/>
              <w:bottom w:val="single" w:color="8B6914" w:sz="6"/>
              <w:right w:val="single" w:color="8B6914" w:sz="6"/>
            </w:tcBorders>
            <w:shd w:fill="FFF8E7" w:val="clear"/>
            <w:tcMar>
              <w:top w:type="dxa" w:w="160"/>
              <w:left w:type="dxa" w:w="240"/>
              <w:bottom w:type="dxa" w:w="160"/>
              <w:right w:type="dxa" w:w="240"/>
            </w:tcMar>
          </w:tcPr>
          <w:p>
            <w:pPr>
              <w:bidi/>
              <w:spacing w:after="40" w:before="60" w:line="360"/>
              <w:jc w:val="center"/>
            </w:pPr>
            <w:r>
              <w:rPr>
                <w:rFonts w:ascii="Traditional Arabic" w:cs="Traditional Arabic" w:eastAsia="Traditional Arabic" w:hAnsi="Traditional Arabic"/>
                <w:b/>
                <w:bCs/>
                <w:color w:val="1A4A5A"/>
                <w:sz w:val="28"/>
                <w:szCs w:val="28"/>
              </w:rPr>
              <w:t xml:space="preserve">وَتَعَاوَنُوا عَلَى الْبِرِّ وَالتَّقْوَىٰ ۖ وَلَا تَعَاوَنُوا عَلَى الْإِثْمِ وَالْعُدْوَانِ</w:t>
            </w:r>
          </w:p>
          <w:p>
            <w:pPr>
              <w:bidi/>
              <w:jc w:val="center"/>
            </w:pPr>
            <w:r>
              <w:rPr>
                <w:rFonts w:ascii="Traditional Arabic" w:cs="Traditional Arabic" w:eastAsia="Traditional Arabic" w:hAnsi="Traditional Arabic"/>
                <w:color w:val="8B6914"/>
                <w:sz w:val="21"/>
                <w:szCs w:val="21"/>
              </w:rPr>
              <w:t xml:space="preserve">سورة المائدة: الآية 2</w:t>
            </w:r>
          </w:p>
        </w:tc>
      </w:tr>
    </w:tbl>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وصم المريض النفسي هو شكل من أشكال "التعاون على الإثم والعدوان" —حتى وإن كان لا شعورياً. والنموذج الاستخلافي يدعو المجتمع إلى "التعاون على البر والتقوى" في بنائه لفضاءات الرعاية النفسية الإنسانية.</w:t>
      </w:r>
    </w:p>
    <w:p>
      <w:r>
        <w:br w:type="page"/>
      </w:r>
    </w:p>
    <w:p>
      <w:pPr>
        <w:pBdr>
          <w:top w:val="single" w:color="8B6914" w:sz="8" w:space="4"/>
          <w:bottom w:val="single" w:color="8B6914" w:sz="8" w:space="4"/>
        </w:pBdr>
        <w:shd w:fill="0D7377" w:val="clear"/>
        <w:bidi/>
        <w:spacing w:after="200" w:before="320" w:line="340"/>
        <w:jc w:val="center"/>
      </w:pPr>
      <w:r>
        <w:rPr>
          <w:rFonts w:ascii="Traditional Arabic" w:cs="Traditional Arabic" w:eastAsia="Traditional Arabic" w:hAnsi="Traditional Arabic"/>
          <w:b/>
          <w:bCs/>
          <w:color w:val="FFFFFF"/>
          <w:sz w:val="32"/>
          <w:szCs w:val="32"/>
        </w:rPr>
        <w:t xml:space="preserve">الفصل السابع: قراءة نقدية — إمكانات النموذج وحدوده</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7.1 المساهمات الجوهرية لعلم النفس الاستخلافي</w:t>
      </w:r>
    </w:p>
    <w:p>
      <w:pPr>
        <w:bidi/>
        <w:spacing w:after="60" w:before="60" w:line="340"/>
        <w:ind/>
        <w:jc w:val="both"/>
      </w:pPr>
      <w:r>
        <w:rPr>
          <w:rFonts w:ascii="Traditional Arabic" w:cs="Traditional Arabic" w:eastAsia="Traditional Arabic" w:hAnsi="Traditional Arabic"/>
          <w:color w:val="1A1A2E"/>
          <w:sz w:val="23"/>
          <w:szCs w:val="23"/>
        </w:rPr>
        <w:t xml:space="preserve">في ختام هذه القراءة المُعمَّقة، يمكن تحديد أربع مساهمات جوهرية يُقدِّمها علم النفس الاستخلافي لعلم النفس الإكلينيكي على المستوى العالمي:</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000"/>
        <w:gridCol w:w="3373"/>
        <w:gridCol w:w="3373"/>
      </w:tblGrid>
      <w:tr>
        <w:trPr>
          <w:tblHeader/>
        </w:trPr>
        <w:tc>
          <w:tcPr>
            <w:tcW w:type="dxa" w:w="3000"/>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المساهمة</w:t>
            </w:r>
          </w:p>
        </w:tc>
        <w:tc>
          <w:tcPr>
            <w:tcW w:type="dxa" w:w="3373"/>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الأثر الإكلينيكي</w:t>
            </w:r>
          </w:p>
        </w:tc>
        <w:tc>
          <w:tcPr>
            <w:tcW w:type="dxa" w:w="3373"/>
            <w:tcBorders>
              <w:top w:val="single" w:color="FFFFFF" w:sz="4"/>
              <w:left w:val="single" w:color="FFFFFF" w:sz="4"/>
              <w:bottom w:val="single" w:color="FFFFFF" w:sz="4"/>
              <w:right w:val="single" w:color="FFFFFF" w:sz="4"/>
            </w:tcBorders>
            <w:shd w:fill="1A4A5A" w:val="clear"/>
            <w:tcMar>
              <w:top w:type="dxa" w:w="100"/>
              <w:left w:type="dxa" w:w="140"/>
              <w:bottom w:type="dxa" w:w="100"/>
              <w:right w:type="dxa" w:w="140"/>
            </w:tcMar>
            <w:vAlign w:val="center"/>
          </w:tcPr>
          <w:p>
            <w:pPr>
              <w:bidi/>
              <w:jc w:val="center"/>
            </w:pPr>
            <w:r>
              <w:rPr>
                <w:rFonts w:ascii="Traditional Arabic" w:cs="Traditional Arabic" w:eastAsia="Traditional Arabic" w:hAnsi="Traditional Arabic"/>
                <w:b/>
                <w:bCs/>
                <w:color w:val="FFFFFF"/>
                <w:sz w:val="22"/>
                <w:szCs w:val="22"/>
              </w:rPr>
              <w:t xml:space="preserve">الاستحقاق الأكاديمي</w:t>
            </w:r>
          </w:p>
        </w:tc>
      </w:tr>
      <w:tr>
        <w:tc>
          <w:tcPr>
            <w:tcW w:type="dxa" w:w="30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إعادة أنطرة الاضطراب النفسي (Re-ontologizing Mental Disorder)</w:t>
            </w:r>
          </w:p>
        </w:tc>
        <w:tc>
          <w:tcPr>
            <w:tcW w:type="dxa" w:w="3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يُخرج الاضطراب من دائرة الخلل إلى دائرة المعنى الوجودي</w:t>
            </w:r>
          </w:p>
        </w:tc>
        <w:tc>
          <w:tcPr>
            <w:tcW w:type="dxa" w:w="3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يُسدُّ فراغاً حقيقياً لا تملأه نظريات الـ PTG ولا ACT ولا CBT</w:t>
            </w:r>
          </w:p>
        </w:tc>
      </w:tr>
      <w:tr>
        <w:tc>
          <w:tcPr>
            <w:tcW w:type="dxa" w:w="30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مبدأ التحويل الطاقي (Energy Transformation Principle)</w:t>
            </w:r>
          </w:p>
        </w:tc>
        <w:tc>
          <w:tcPr>
            <w:tcW w:type="dxa" w:w="33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يُحوِّل طاقة الاضطراب من مُهدِرة إلى بانية</w:t>
            </w:r>
          </w:p>
        </w:tc>
        <w:tc>
          <w:tcPr>
            <w:tcW w:type="dxa" w:w="33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يُقدِّم بديلاً نظرياً للنموذج الاختزالي البيولوجي</w:t>
            </w:r>
          </w:p>
        </w:tc>
      </w:tr>
      <w:tr>
        <w:tc>
          <w:tcPr>
            <w:tcW w:type="dxa" w:w="3000"/>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نموذج الخبير الحي كبنية علاجية اجتماعية</w:t>
            </w:r>
          </w:p>
        </w:tc>
        <w:tc>
          <w:tcPr>
            <w:tcW w:type="dxa" w:w="3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يُدمج الفرد المُتعافي في منظومة علاجية أوسع</w:t>
            </w:r>
          </w:p>
        </w:tc>
        <w:tc>
          <w:tcPr>
            <w:tcW w:type="dxa" w:w="3373"/>
            <w:tcBorders>
              <w:top w:val="single" w:color="D0D0D0" w:sz="1"/>
              <w:left w:val="single" w:color="C0C0C0" w:sz="2"/>
              <w:bottom w:val="single" w:color="D0D0D0" w:sz="1"/>
              <w:right w:val="single" w:color="C0C0C0" w:sz="2"/>
            </w:tcBorders>
            <w:shd w:fill="E8F4F8"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يُجدِّد نموذج Peer Support ويُضيف له بُعداً وجودياً</w:t>
            </w:r>
          </w:p>
        </w:tc>
      </w:tr>
      <w:tr>
        <w:tc>
          <w:tcPr>
            <w:tcW w:type="dxa" w:w="3000"/>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الكينتسوغي النفسي كفلسفة للجرح</w:t>
            </w:r>
          </w:p>
        </w:tc>
        <w:tc>
          <w:tcPr>
            <w:tcW w:type="dxa" w:w="33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يُعيد تعريف العلاقة مع الماضي المؤلم بشكل إيجابي فاعل</w:t>
            </w:r>
          </w:p>
        </w:tc>
        <w:tc>
          <w:tcPr>
            <w:tcW w:type="dxa" w:w="3373"/>
            <w:tcBorders>
              <w:top w:val="single" w:color="D0D0D0" w:sz="1"/>
              <w:left w:val="single" w:color="C0C0C0" w:sz="2"/>
              <w:bottom w:val="single" w:color="D0D0D0" w:sz="1"/>
              <w:right w:val="single" w:color="C0C0C0" w:sz="2"/>
            </w:tcBorders>
            <w:shd w:fill="FFFFFF" w:val="clear"/>
            <w:tcMar>
              <w:top w:type="dxa" w:w="80"/>
              <w:left w:type="dxa" w:w="120"/>
              <w:bottom w:type="dxa" w:w="80"/>
              <w:right w:type="dxa" w:w="120"/>
            </w:tcMar>
            <w:vAlign w:val="center"/>
          </w:tcPr>
          <w:p>
            <w:pPr>
              <w:bidi/>
              <w:spacing w:line="320"/>
              <w:jc w:val="right"/>
            </w:pPr>
            <w:r>
              <w:rPr>
                <w:rFonts w:ascii="Traditional Arabic" w:cs="Traditional Arabic" w:eastAsia="Traditional Arabic" w:hAnsi="Traditional Arabic"/>
                <w:color w:val="1A1A2E"/>
                <w:sz w:val="21"/>
                <w:szCs w:val="21"/>
              </w:rPr>
              <w:t xml:space="preserve">يُثري فلسفة الأخلاق الفضيلية بالبُعد الروحي الإسلامي</w:t>
            </w:r>
          </w:p>
        </w:tc>
      </w:tr>
    </w:tbl>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7.2 الحدود والأسئلة المفتوحة</w:t>
      </w:r>
    </w:p>
    <w:p>
      <w:pPr>
        <w:bidi/>
        <w:spacing w:after="60" w:before="60" w:line="340"/>
        <w:ind/>
        <w:jc w:val="both"/>
      </w:pPr>
      <w:r>
        <w:rPr>
          <w:rFonts w:ascii="Traditional Arabic" w:cs="Traditional Arabic" w:eastAsia="Traditional Arabic" w:hAnsi="Traditional Arabic"/>
          <w:color w:val="1A1A2E"/>
          <w:sz w:val="23"/>
          <w:szCs w:val="23"/>
        </w:rPr>
        <w:t xml:space="preserve">يستلزم الأمانة الأكاديمية الاعتراف بجملة من الحدود والأسئلة التي يُثيرها النموذج دون إجابة كافية في مرحلته الراهنة:</w:t>
      </w:r>
    </w:p>
    <w:p>
      <w:pPr>
        <w:bidi/>
        <w:spacing w:after="60" w:before="60" w:line="340"/>
        <w:ind/>
        <w:jc w:val="both"/>
      </w:pPr>
      <w:r>
        <w:rPr>
          <w:rFonts w:ascii="Traditional Arabic" w:cs="Traditional Arabic" w:eastAsia="Traditional Arabic" w:hAnsi="Traditional Arabic"/>
          <w:color w:val="1A1A2E"/>
          <w:sz w:val="23"/>
          <w:szCs w:val="23"/>
        </w:rPr>
        <w:t xml:space="preserve">السؤال الأول: ما معايير الاختيار الدقيقة لتحديد أي الحالات تصلح لتطبيق بروتوكول الجسر السلوكي ومتى؟ وما المؤشرات الإكلينيكية التي تُنبئ بجاهزية المريض للانتقال من مرحلة التثبيت إلى مرحلة التحويل؟</w:t>
      </w:r>
    </w:p>
    <w:p>
      <w:pPr>
        <w:bidi/>
        <w:spacing w:after="60" w:before="60" w:line="340"/>
        <w:ind/>
        <w:jc w:val="both"/>
      </w:pPr>
      <w:r>
        <w:rPr>
          <w:rFonts w:ascii="Traditional Arabic" w:cs="Traditional Arabic" w:eastAsia="Traditional Arabic" w:hAnsi="Traditional Arabic"/>
          <w:color w:val="1A1A2E"/>
          <w:sz w:val="23"/>
          <w:szCs w:val="23"/>
        </w:rPr>
        <w:t xml:space="preserve">السؤال الثاني: كيف يُمكن قياس "الاستخلاف" بوصفه مُخرَجاً علاجياً؟ ما المقاييس النفسية المقترحة لتتبع التحول من هوية الضحية إلى هوية الخبير الحي؟ يستلزم النموذج تطوير أدوات قياس خاصة به (مقياس الطاقة الوجودية المحتجزة، مقياس الجاهزية الاستخلافية...).</w:t>
      </w:r>
    </w:p>
    <w:p>
      <w:pPr>
        <w:bidi/>
        <w:spacing w:after="60" w:before="60" w:line="340"/>
        <w:ind/>
        <w:jc w:val="both"/>
      </w:pPr>
      <w:r>
        <w:rPr>
          <w:rFonts w:ascii="Traditional Arabic" w:cs="Traditional Arabic" w:eastAsia="Traditional Arabic" w:hAnsi="Traditional Arabic"/>
          <w:color w:val="1A1A2E"/>
          <w:sz w:val="23"/>
          <w:szCs w:val="23"/>
        </w:rPr>
        <w:t xml:space="preserve">السؤال الثالث: كيف يتعامل النموذج مع الاضطرابات ذات الأساس الوراثي القوي (كالفصام والاضطراب ثنائي القطب) حيث يكون مفهوم "الطاقة المحتجزة" غير كافٍ لتفسير التعقيد البيولوجي؟ وما موضع التدخل الدوائي في الخارطة الاستخلافية؟</w:t>
      </w:r>
    </w:p>
    <w:p>
      <w:pPr>
        <w:bidi/>
        <w:spacing w:after="60" w:before="60" w:line="340"/>
        <w:ind/>
        <w:jc w:val="both"/>
      </w:pPr>
      <w:r>
        <w:rPr>
          <w:rFonts w:ascii="Traditional Arabic" w:cs="Traditional Arabic" w:eastAsia="Traditional Arabic" w:hAnsi="Traditional Arabic"/>
          <w:color w:val="1A1A2E"/>
          <w:sz w:val="23"/>
          <w:szCs w:val="23"/>
        </w:rPr>
        <w:t xml:space="preserve">السؤال الرابع: ما آليات ضمان عدم توظيف خطاب "الاستخلاف والمسؤولية" في تبرير إهمال المؤسسات لواجباتها تجاه المرضى النفسيين تحت دعوى أن المريض "مسؤول عن تحويل طاقته"؟</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8B6914" w:sz="3"/>
              <w:left w:val="single" w:color="8B6914" w:sz="3"/>
              <w:bottom w:val="single" w:color="8B6914" w:sz="3"/>
              <w:right w:val="single" w:color="8B6914" w:sz="3"/>
            </w:tcBorders>
            <w:shd w:fill="D6EDEC" w:val="clear"/>
            <w:tcMar>
              <w:top w:type="dxa" w:w="120"/>
              <w:left w:type="dxa" w:w="200"/>
              <w:bottom w:type="dxa" w:w="120"/>
              <w:right w:type="dxa" w:w="200"/>
            </w:tcMar>
          </w:tcPr>
          <w:p>
            <w:pPr>
              <w:bidi/>
              <w:spacing w:after="40" w:before="40" w:line="340"/>
              <w:jc w:val="both"/>
            </w:pPr>
            <w:r>
              <w:rPr>
                <w:rFonts w:ascii="Traditional Arabic" w:cs="Traditional Arabic" w:eastAsia="Traditional Arabic" w:hAnsi="Traditional Arabic"/>
                <w:color w:val="1A4A5A"/>
                <w:sz w:val="23"/>
                <w:szCs w:val="23"/>
              </w:rPr>
              <w:t xml:space="preserve">هذه الأسئلة لا تُضعِف النموذج بل تُطور دائرته. وهي دعوة صريحة لفريق الباحث عبد السلام الزراع وشركائه لبناء الأجندة البحثية التجريبية التي تُحوِّل هذه الأطروحة الفلسفية العميقة إلى نموذج إكلينيكي مدعوم بالأدلة (Evidence-Based).</w:t>
            </w:r>
          </w:p>
        </w:tc>
      </w:tr>
    </w:tbl>
    <w:p>
      <w:r>
        <w:br w:type="page"/>
      </w:r>
    </w:p>
    <w:p>
      <w:pPr>
        <w:pBdr>
          <w:top w:val="single" w:color="8B6914" w:sz="8" w:space="4"/>
          <w:bottom w:val="single" w:color="8B6914" w:sz="8" w:space="4"/>
        </w:pBdr>
        <w:shd w:fill="0D7377" w:val="clear"/>
        <w:bidi/>
        <w:spacing w:after="200" w:before="320" w:line="340"/>
        <w:jc w:val="center"/>
      </w:pPr>
      <w:r>
        <w:rPr>
          <w:rFonts w:ascii="Traditional Arabic" w:cs="Traditional Arabic" w:eastAsia="Traditional Arabic" w:hAnsi="Traditional Arabic"/>
          <w:b/>
          <w:bCs/>
          <w:color w:val="FFFFFF"/>
          <w:sz w:val="32"/>
          <w:szCs w:val="32"/>
        </w:rPr>
        <w:t xml:space="preserve">خاتمة: وصم الجنون بوصفه مسألة حضارية</w:t>
      </w:r>
    </w:p>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حين يُصادف المعالجُ النفسي مريضاً يُخفي اضطرابه خوفاً من وصم عائلته، أو حين يرفض أحدهم طلب المساعدة لأن "الله يكفيه" —بتأويل ديني شعبي يُحوِّل التوكل إلى إهمال— فإنه يُدرك بحواسه كل أزمة الوصم بجلاء. وإن عمل علم النفس الاستخلافي في هذا السياق يمتد إلى ما هو أعمق من العلاج الفردي: إنه مشروع ثقافي حضاري لإعادة بناء العلاقة بين الإنسان العربي المسلم ومعاناته النفسية.</w:t>
      </w:r>
    </w:p>
    <w:p>
      <w:pPr>
        <w:bidi/>
        <w:spacing w:after="60" w:before="60" w:line="340"/>
        <w:ind/>
        <w:jc w:val="both"/>
      </w:pPr>
      <w:r>
        <w:rPr>
          <w:rFonts w:ascii="Traditional Arabic" w:cs="Traditional Arabic" w:eastAsia="Traditional Arabic" w:hAnsi="Traditional Arabic"/>
          <w:color w:val="1A1A2E"/>
          <w:sz w:val="23"/>
          <w:szCs w:val="23"/>
        </w:rPr>
        <w:t xml:space="preserve">ما يُقدِّمه هذا النموذج هو ما يمكن تسميته "اللاهوت العلاجي التحرري" (Liberation Therapeutic Theology): أي توظيف الرؤية الإيمانية في تحرير الإنسان من وصمة المعاناة، لا بإنكارها ولا بالهروب منها، بل بتحويلها إلى وقود للاستخلاف. وهو بذلك يُجمع بين عمق العلوم الشرعية وصرامة العلوم الإكلينيكية في معادلة نادرة الحدوث في تاريخ علم النفس.</w:t>
      </w:r>
    </w:p>
    <w:p>
      <w:pPr>
        <w:spacing w:after="40" w:before="4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8B6914" w:sz="6"/>
              <w:left w:val="single" w:color="8B6914" w:sz="6"/>
              <w:bottom w:val="single" w:color="8B6914" w:sz="6"/>
              <w:right w:val="single" w:color="8B6914" w:sz="6"/>
            </w:tcBorders>
            <w:shd w:fill="FFF8E7" w:val="clear"/>
            <w:tcMar>
              <w:top w:type="dxa" w:w="160"/>
              <w:left w:type="dxa" w:w="240"/>
              <w:bottom w:type="dxa" w:w="160"/>
              <w:right w:type="dxa" w:w="240"/>
            </w:tcMar>
          </w:tcPr>
          <w:p>
            <w:pPr>
              <w:bidi/>
              <w:spacing w:after="40" w:before="60" w:line="360"/>
              <w:jc w:val="center"/>
            </w:pPr>
            <w:r>
              <w:rPr>
                <w:rFonts w:ascii="Traditional Arabic" w:cs="Traditional Arabic" w:eastAsia="Traditional Arabic" w:hAnsi="Traditional Arabic"/>
                <w:b/>
                <w:bCs/>
                <w:color w:val="1A4A5A"/>
                <w:sz w:val="28"/>
                <w:szCs w:val="28"/>
              </w:rPr>
              <w:t xml:space="preserve">قُلْ هَٰذِهِ سَبِيلِي أَدْعُو إِلَى اللَّهِ ۚ عَلَىٰ بَصِيرَةٍ أَنَا وَمَنِ اتَّبَعَنِي ۖ وَسُبْحَانَ اللَّهِ وَمَا أَنَا مِنَ الْمُشْرِكِينَ</w:t>
            </w:r>
          </w:p>
          <w:p>
            <w:pPr>
              <w:bidi/>
              <w:jc w:val="center"/>
            </w:pPr>
            <w:r>
              <w:rPr>
                <w:rFonts w:ascii="Traditional Arabic" w:cs="Traditional Arabic" w:eastAsia="Traditional Arabic" w:hAnsi="Traditional Arabic"/>
                <w:color w:val="8B6914"/>
                <w:sz w:val="21"/>
                <w:szCs w:val="21"/>
              </w:rPr>
              <w:t xml:space="preserve">سورة يوسف: الآية 108</w:t>
            </w:r>
          </w:p>
        </w:tc>
      </w:tr>
    </w:tbl>
    <w:p>
      <w:pPr>
        <w:spacing w:after="40" w:before="40"/>
      </w:pPr>
      <w:r>
        <w:t xml:space="preserve"/>
      </w:r>
    </w:p>
    <w:p>
      <w:pPr>
        <w:bidi/>
        <w:spacing w:after="60" w:before="60" w:line="340"/>
        <w:ind/>
        <w:jc w:val="both"/>
      </w:pPr>
      <w:r>
        <w:rPr>
          <w:rFonts w:ascii="Traditional Arabic" w:cs="Traditional Arabic" w:eastAsia="Traditional Arabic" w:hAnsi="Traditional Arabic"/>
          <w:color w:val="1A1A2E"/>
          <w:sz w:val="23"/>
          <w:szCs w:val="23"/>
        </w:rPr>
        <w:t xml:space="preserve">الدعوة إلى الله "على بصيرة" هي دعوة إلى الاستخلاف بعلم وحكمة. وهذا ما يطمح إليه علم النفس الاستخلافي: أن يكون البصيرة التي تُحوِّل مسيرة العلاج النفسي من الاختزال الأعراضي إلى الاستخلاف الوجودي.</w:t>
      </w:r>
    </w:p>
    <w:p>
      <w:pPr>
        <w:bidi/>
        <w:spacing w:after="60" w:before="60" w:line="340"/>
        <w:ind/>
        <w:jc w:val="both"/>
      </w:pPr>
      <w:r>
        <w:rPr>
          <w:rFonts w:ascii="Traditional Arabic" w:cs="Traditional Arabic" w:eastAsia="Traditional Arabic" w:hAnsi="Traditional Arabic"/>
          <w:color w:val="1A1A2E"/>
          <w:sz w:val="23"/>
          <w:szCs w:val="23"/>
        </w:rPr>
        <w:t xml:space="preserve">وما توفيقي إلا بالله، عليه توكلت وإليه أنيب.</w:t>
      </w:r>
    </w:p>
    <w:p>
      <w:r>
        <w:br w:type="page"/>
      </w:r>
    </w:p>
    <w:p>
      <w:pPr>
        <w:pBdr>
          <w:top w:val="single" w:color="8B6914" w:sz="8" w:space="4"/>
          <w:bottom w:val="single" w:color="8B6914" w:sz="8" w:space="4"/>
        </w:pBdr>
        <w:shd w:fill="0D7377" w:val="clear"/>
        <w:bidi/>
        <w:spacing w:after="200" w:before="320" w:line="340"/>
        <w:jc w:val="center"/>
      </w:pPr>
      <w:r>
        <w:rPr>
          <w:rFonts w:ascii="Traditional Arabic" w:cs="Traditional Arabic" w:eastAsia="Traditional Arabic" w:hAnsi="Traditional Arabic"/>
          <w:b/>
          <w:bCs/>
          <w:color w:val="FFFFFF"/>
          <w:sz w:val="32"/>
          <w:szCs w:val="32"/>
        </w:rPr>
        <w:t xml:space="preserve">المراجع والمصادر</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أولاً: المصادر الأولية الاستخلافية</w:t>
      </w:r>
    </w:p>
    <w:p>
      <w:pPr>
        <w:bidi/>
        <w:spacing w:after="60" w:before="60" w:line="340"/>
        <w:ind/>
        <w:jc w:val="both"/>
      </w:pPr>
      <w:r>
        <w:rPr>
          <w:rFonts w:ascii="Traditional Arabic" w:cs="Traditional Arabic" w:eastAsia="Traditional Arabic" w:hAnsi="Traditional Arabic"/>
          <w:color w:val="1A1A2E"/>
          <w:sz w:val="23"/>
          <w:szCs w:val="23"/>
        </w:rPr>
        <w:t xml:space="preserve">الزراع، عبد السلام. (2023). علم النفس الاستخلافي: نموذج الأضلاع الثمانية (الأطروحة الاستخلافية). الصفحات: 1062-1066، 1102-1104، 1125-1127.</w:t>
      </w:r>
    </w:p>
    <w:p>
      <w:pPr>
        <w:bidi/>
        <w:spacing w:after="60" w:before="60" w:line="340"/>
        <w:ind/>
        <w:jc w:val="both"/>
      </w:pPr>
      <w:r>
        <w:rPr>
          <w:rFonts w:ascii="Traditional Arabic" w:cs="Traditional Arabic" w:eastAsia="Traditional Arabic" w:hAnsi="Traditional Arabic"/>
          <w:color w:val="1A1A2E"/>
          <w:sz w:val="23"/>
          <w:szCs w:val="23"/>
        </w:rPr>
        <w:t xml:space="preserve">TLRT (العلاج بحرث المصالحة التحويلية). (2026). الدليل النظري والإكلينيكي: نحو نموذج تكاملي لتحويل عقدة الذنب المرضية (الطبعة التجريبية الأولى). الصفحات: 34، 98-107، 185.</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ثانياً: المصادر الإسلامية الكلاسيكية</w:t>
      </w:r>
    </w:p>
    <w:p>
      <w:pPr>
        <w:bidi/>
        <w:spacing w:after="60" w:before="60" w:line="340"/>
        <w:ind/>
        <w:jc w:val="both"/>
      </w:pPr>
      <w:r>
        <w:rPr>
          <w:rFonts w:ascii="Traditional Arabic" w:cs="Traditional Arabic" w:eastAsia="Traditional Arabic" w:hAnsi="Traditional Arabic"/>
          <w:color w:val="1A1A2E"/>
          <w:sz w:val="23"/>
          <w:szCs w:val="23"/>
        </w:rPr>
        <w:t xml:space="preserve">ابن القيم الجوزية. (د.ت). مدارج السالكين بين منازل إياك نعبد وإياك نستعين. تحقيق: محمد حامد الفقي. دار الكتاب العربي، بيروت.</w:t>
      </w:r>
    </w:p>
    <w:p>
      <w:pPr>
        <w:bidi/>
        <w:spacing w:after="60" w:before="60" w:line="340"/>
        <w:ind/>
        <w:jc w:val="both"/>
      </w:pPr>
      <w:r>
        <w:rPr>
          <w:rFonts w:ascii="Traditional Arabic" w:cs="Traditional Arabic" w:eastAsia="Traditional Arabic" w:hAnsi="Traditional Arabic"/>
          <w:color w:val="1A1A2E"/>
          <w:sz w:val="23"/>
          <w:szCs w:val="23"/>
        </w:rPr>
        <w:t xml:space="preserve">ابن القيم الجوزية. (د.ت). روضة المحبين ونزهة المشتاقين. دار الكتب العلمية، بيروت.</w:t>
      </w:r>
    </w:p>
    <w:p>
      <w:pPr>
        <w:bidi/>
        <w:spacing w:after="60" w:before="60" w:line="340"/>
        <w:ind/>
        <w:jc w:val="both"/>
      </w:pPr>
      <w:r>
        <w:rPr>
          <w:rFonts w:ascii="Traditional Arabic" w:cs="Traditional Arabic" w:eastAsia="Traditional Arabic" w:hAnsi="Traditional Arabic"/>
          <w:color w:val="1A1A2E"/>
          <w:sz w:val="23"/>
          <w:szCs w:val="23"/>
        </w:rPr>
        <w:t xml:space="preserve">الغزالي، أبو حامد محمد. (د.ت). إحياء علوم الدين. دار المعرفة، بيروت.</w:t>
      </w:r>
    </w:p>
    <w:p>
      <w:pPr>
        <w:spacing w:after="40" w:before="40"/>
      </w:pPr>
      <w:r>
        <w:t xml:space="preserve"/>
      </w:r>
    </w:p>
    <w:p>
      <w:pPr>
        <w:pBdr>
          <w:right w:val="thick" w:color="8B6914" w:sz="12" w:space="4"/>
        </w:pBdr>
        <w:bidi/>
        <w:spacing w:after="120" w:before="240" w:line="320"/>
        <w:ind w:right="200"/>
        <w:jc w:val="right"/>
      </w:pPr>
      <w:r>
        <w:rPr>
          <w:rFonts w:ascii="Traditional Arabic" w:cs="Traditional Arabic" w:eastAsia="Traditional Arabic" w:hAnsi="Traditional Arabic"/>
          <w:b/>
          <w:bCs/>
          <w:color w:val="0D7377"/>
          <w:sz w:val="28"/>
          <w:szCs w:val="28"/>
        </w:rPr>
        <w:t xml:space="preserve">ثالثاً: المراجع الغربية</w:t>
      </w:r>
    </w:p>
    <w:p>
      <w:pPr>
        <w:bidi/>
        <w:spacing w:after="60" w:before="60" w:line="340"/>
        <w:ind/>
        <w:jc w:val="both"/>
      </w:pPr>
      <w:r>
        <w:rPr>
          <w:rFonts w:ascii="Traditional Arabic" w:cs="Traditional Arabic" w:eastAsia="Traditional Arabic" w:hAnsi="Traditional Arabic"/>
          <w:color w:val="1A1A2E"/>
          <w:sz w:val="23"/>
          <w:szCs w:val="23"/>
        </w:rPr>
        <w:t xml:space="preserve">Corrigan, P. W., Druss, B. G., &amp; Perlick, D. A. (2014). The Impact of Mental Illness Stigma on Seeking and Participating in Mental Health Care. Psychological Science in the Public Interest, 15(2), 37-70.</w:t>
      </w:r>
    </w:p>
    <w:p>
      <w:pPr>
        <w:bidi/>
        <w:spacing w:after="60" w:before="60" w:line="340"/>
        <w:ind/>
        <w:jc w:val="both"/>
      </w:pPr>
      <w:r>
        <w:rPr>
          <w:rFonts w:ascii="Traditional Arabic" w:cs="Traditional Arabic" w:eastAsia="Traditional Arabic" w:hAnsi="Traditional Arabic"/>
          <w:color w:val="1A1A2E"/>
          <w:sz w:val="23"/>
          <w:szCs w:val="23"/>
        </w:rPr>
        <w:t xml:space="preserve">Fanon, F. (1952/2008). Black Skin, White Masks (Trans. R. Philcox). Grove Press, New York.</w:t>
      </w:r>
    </w:p>
    <w:p>
      <w:pPr>
        <w:bidi/>
        <w:spacing w:after="60" w:before="60" w:line="340"/>
        <w:ind/>
        <w:jc w:val="both"/>
      </w:pPr>
      <w:r>
        <w:rPr>
          <w:rFonts w:ascii="Traditional Arabic" w:cs="Traditional Arabic" w:eastAsia="Traditional Arabic" w:hAnsi="Traditional Arabic"/>
          <w:color w:val="1A1A2E"/>
          <w:sz w:val="23"/>
          <w:szCs w:val="23"/>
        </w:rPr>
        <w:t xml:space="preserve">Fanon, F. (1961/2004). The Wretched of the Earth (Trans. R. Philcox). Grove Press, New York.</w:t>
      </w:r>
    </w:p>
    <w:p>
      <w:pPr>
        <w:bidi/>
        <w:spacing w:after="60" w:before="60" w:line="340"/>
        <w:ind/>
        <w:jc w:val="both"/>
      </w:pPr>
      <w:r>
        <w:rPr>
          <w:rFonts w:ascii="Traditional Arabic" w:cs="Traditional Arabic" w:eastAsia="Traditional Arabic" w:hAnsi="Traditional Arabic"/>
          <w:color w:val="1A1A2E"/>
          <w:sz w:val="23"/>
          <w:szCs w:val="23"/>
        </w:rPr>
        <w:t xml:space="preserve">Foucault, M. (1961/2006). History of Madness (Trans. J. Murphy &amp; J. Khalfa). Routledge, London.</w:t>
      </w:r>
    </w:p>
    <w:p>
      <w:pPr>
        <w:bidi/>
        <w:spacing w:after="60" w:before="60" w:line="340"/>
        <w:ind/>
        <w:jc w:val="both"/>
      </w:pPr>
      <w:r>
        <w:rPr>
          <w:rFonts w:ascii="Traditional Arabic" w:cs="Traditional Arabic" w:eastAsia="Traditional Arabic" w:hAnsi="Traditional Arabic"/>
          <w:color w:val="1A1A2E"/>
          <w:sz w:val="23"/>
          <w:szCs w:val="23"/>
        </w:rPr>
        <w:t xml:space="preserve">Frankl, V. E. (1946/2006). Man's Search for Meaning. Beacon Press, Boston.</w:t>
      </w:r>
    </w:p>
    <w:p>
      <w:pPr>
        <w:bidi/>
        <w:spacing w:after="60" w:before="60" w:line="340"/>
        <w:ind/>
        <w:jc w:val="both"/>
      </w:pPr>
      <w:r>
        <w:rPr>
          <w:rFonts w:ascii="Traditional Arabic" w:cs="Traditional Arabic" w:eastAsia="Traditional Arabic" w:hAnsi="Traditional Arabic"/>
          <w:color w:val="1A1A2E"/>
          <w:sz w:val="23"/>
          <w:szCs w:val="23"/>
        </w:rPr>
        <w:t xml:space="preserve">Friston, K. (2010). The free-energy principle: A unified brain theory? Nature Reviews Neuroscience, 11(2), 127-138.</w:t>
      </w:r>
    </w:p>
    <w:p>
      <w:pPr>
        <w:bidi/>
        <w:spacing w:after="60" w:before="60" w:line="340"/>
        <w:ind/>
        <w:jc w:val="both"/>
      </w:pPr>
      <w:r>
        <w:rPr>
          <w:rFonts w:ascii="Traditional Arabic" w:cs="Traditional Arabic" w:eastAsia="Traditional Arabic" w:hAnsi="Traditional Arabic"/>
          <w:color w:val="1A1A2E"/>
          <w:sz w:val="23"/>
          <w:szCs w:val="23"/>
        </w:rPr>
        <w:t xml:space="preserve">Goffman, E. (1963). Stigma: Notes on the Management of Spoiled Identity. Prentice-Hall, Englewood Cliffs.</w:t>
      </w:r>
    </w:p>
    <w:p>
      <w:pPr>
        <w:bidi/>
        <w:spacing w:after="60" w:before="60" w:line="340"/>
        <w:ind/>
        <w:jc w:val="both"/>
      </w:pPr>
      <w:r>
        <w:rPr>
          <w:rFonts w:ascii="Traditional Arabic" w:cs="Traditional Arabic" w:eastAsia="Traditional Arabic" w:hAnsi="Traditional Arabic"/>
          <w:color w:val="1A1A2E"/>
          <w:sz w:val="23"/>
          <w:szCs w:val="23"/>
        </w:rPr>
        <w:t xml:space="preserve">Guidano, V. F. (1991). The Self in Process: Toward a Post-Rationalist Cognitive Therapy. Guilford Press, New York.</w:t>
      </w:r>
    </w:p>
    <w:p>
      <w:pPr>
        <w:bidi/>
        <w:spacing w:after="60" w:before="60" w:line="340"/>
        <w:ind/>
        <w:jc w:val="both"/>
      </w:pPr>
      <w:r>
        <w:rPr>
          <w:rFonts w:ascii="Traditional Arabic" w:cs="Traditional Arabic" w:eastAsia="Traditional Arabic" w:hAnsi="Traditional Arabic"/>
          <w:color w:val="1A1A2E"/>
          <w:sz w:val="23"/>
          <w:szCs w:val="23"/>
        </w:rPr>
        <w:t xml:space="preserve">Kirmayer, L. J., Guzder, J., &amp; Rousseau, C. (Eds.). (2014). Cultural Consultation: Encountering the Other in Mental Health Care. Springer, New York.</w:t>
      </w:r>
    </w:p>
    <w:p>
      <w:pPr>
        <w:bidi/>
        <w:spacing w:after="60" w:before="60" w:line="340"/>
        <w:ind/>
        <w:jc w:val="both"/>
      </w:pPr>
      <w:r>
        <w:rPr>
          <w:rFonts w:ascii="Traditional Arabic" w:cs="Traditional Arabic" w:eastAsia="Traditional Arabic" w:hAnsi="Traditional Arabic"/>
          <w:color w:val="1A1A2E"/>
          <w:sz w:val="23"/>
          <w:szCs w:val="23"/>
        </w:rPr>
        <w:t xml:space="preserve">MacIntyre, A. (1981). After Virtue: A Study in Moral Theory. University of Notre Dame Press.</w:t>
      </w:r>
    </w:p>
    <w:p>
      <w:pPr>
        <w:bidi/>
        <w:spacing w:after="60" w:before="60" w:line="340"/>
        <w:ind/>
        <w:jc w:val="both"/>
      </w:pPr>
      <w:r>
        <w:rPr>
          <w:rFonts w:ascii="Traditional Arabic" w:cs="Traditional Arabic" w:eastAsia="Traditional Arabic" w:hAnsi="Traditional Arabic"/>
          <w:color w:val="1A1A2E"/>
          <w:sz w:val="23"/>
          <w:szCs w:val="23"/>
        </w:rPr>
        <w:t xml:space="preserve">McEwen, B. S. (1998). Stress, Adaptation, and Disease: Allostasis and Allostatic Load. Annals of the New York Academy of Sciences, 840(1), 33-44.</w:t>
      </w:r>
    </w:p>
    <w:p>
      <w:pPr>
        <w:bidi/>
        <w:spacing w:after="60" w:before="60" w:line="340"/>
        <w:ind/>
        <w:jc w:val="both"/>
      </w:pPr>
      <w:r>
        <w:rPr>
          <w:rFonts w:ascii="Traditional Arabic" w:cs="Traditional Arabic" w:eastAsia="Traditional Arabic" w:hAnsi="Traditional Arabic"/>
          <w:color w:val="1A1A2E"/>
          <w:sz w:val="23"/>
          <w:szCs w:val="23"/>
        </w:rPr>
        <w:t xml:space="preserve">Ricoeur, P. (1990/1992). Oneself as Another (Trans. K. Blamey). University of Chicago Press.</w:t>
      </w:r>
    </w:p>
    <w:p>
      <w:pPr>
        <w:bidi/>
        <w:spacing w:after="60" w:before="60" w:line="340"/>
        <w:ind/>
        <w:jc w:val="both"/>
      </w:pPr>
      <w:r>
        <w:rPr>
          <w:rFonts w:ascii="Traditional Arabic" w:cs="Traditional Arabic" w:eastAsia="Traditional Arabic" w:hAnsi="Traditional Arabic"/>
          <w:color w:val="1A1A2E"/>
          <w:sz w:val="23"/>
          <w:szCs w:val="23"/>
        </w:rPr>
        <w:t xml:space="preserve">Tedeschi, R. G., &amp; Calhoun, L. G. (1996). The Posttraumatic Growth Inventory: Measuring the Positive Legacy of Trauma. Journal of Traumatic Stress, 9(3), 455-471.</w:t>
      </w:r>
    </w:p>
    <w:p>
      <w:pPr>
        <w:bidi/>
        <w:spacing w:after="60" w:before="60" w:line="340"/>
        <w:ind/>
        <w:jc w:val="both"/>
      </w:pPr>
      <w:r>
        <w:rPr>
          <w:rFonts w:ascii="Traditional Arabic" w:cs="Traditional Arabic" w:eastAsia="Traditional Arabic" w:hAnsi="Traditional Arabic"/>
          <w:color w:val="1A1A2E"/>
          <w:sz w:val="23"/>
          <w:szCs w:val="23"/>
        </w:rPr>
        <w:t xml:space="preserve">Yalom, I. D. (1980). Existential Psychotherapy. Basic Books, New York.</w:t>
      </w:r>
    </w:p>
    <w:sectPr>
      <w:headerReference w:type="default" r:id="rId7"/>
      <w:footerReference w:type="default" r:id="rId8"/>
      <w:type w:val="nextPage"/>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8B6914" w:sz="2" w:space="4"/>
      </w:pBdr>
      <w:bidi/>
      <w:jc w:val="center"/>
    </w:pPr>
    <w:r>
      <w:rPr>
        <w:rFonts w:ascii="Traditional Arabic" w:cs="Traditional Arabic" w:eastAsia="Traditional Arabic" w:hAnsi="Traditional Arabic"/>
        <w:color w:val="888888"/>
        <w:sz w:val="18"/>
        <w:szCs w:val="18"/>
      </w:rPr>
      <w:t xml:space="preserve">سلسلة أبحاث علم النفس الاستخلافي — الفصل الرابع عشر   |   </w:t>
    </w:r>
    <w:r>
      <w:rPr>
        <w:rFonts w:ascii="Traditional Arabic" w:cs="Traditional Arabic" w:eastAsia="Traditional Arabic" w:hAnsi="Traditional Arabic"/>
        <w:color w:val="0D7377"/>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8B6914" w:sz="4" w:space="4"/>
      </w:pBdr>
      <w:bidi/>
      <w:jc w:val="center"/>
    </w:pPr>
    <w:r>
      <w:rPr>
        <w:rFonts w:ascii="Traditional Arabic" w:cs="Traditional Arabic" w:eastAsia="Traditional Arabic" w:hAnsi="Traditional Arabic"/>
        <w:color w:val="0D7377"/>
        <w:sz w:val="18"/>
        <w:szCs w:val="18"/>
      </w:rPr>
      <w:t xml:space="preserve">وصم الجنون في نظرية الاستخلاف | عبد السلام الزراع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color w:val="1A1A2E"/>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2026-04-29T11:31:26.421Z</dcterms:created>
  <dcterms:modified xsi:type="dcterms:W3CDTF">2026-04-29T11:31:26.423Z</dcterms:modified>
</cp:coreProperties>
</file>

<file path=docProps/custom.xml><?xml version="1.0" encoding="utf-8"?>
<Properties xmlns="http://schemas.openxmlformats.org/officeDocument/2006/custom-properties" xmlns:vt="http://schemas.openxmlformats.org/officeDocument/2006/docPropsVTypes"/>
</file>