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08FC" w14:textId="77777777" w:rsidR="00053B8D" w:rsidRDefault="003D1A67">
      <w:pPr>
        <w:spacing w:before="720" w:after="120"/>
        <w:jc w:val="center"/>
        <w:rPr>
          <w:rFonts w:cs="Arial"/>
        </w:rPr>
      </w:pPr>
      <w:r>
        <w:rPr>
          <w:rFonts w:hint="cs"/>
          <w:color w:val="0A5E5E"/>
          <w:sz w:val="30"/>
          <w:szCs w:val="30"/>
        </w:rPr>
        <w:t>ا</w:t>
      </w:r>
      <w:r>
        <w:rPr>
          <w:color w:val="0A5E5E"/>
          <w:sz w:val="30"/>
          <w:szCs w:val="30"/>
        </w:rPr>
        <w:t>لدليل النظري والإكلينيكي</w:t>
      </w:r>
    </w:p>
    <w:p w14:paraId="48F3811D" w14:textId="77777777" w:rsidR="00053B8D" w:rsidRDefault="003D1A67">
      <w:pPr>
        <w:spacing w:after="240"/>
        <w:jc w:val="center"/>
        <w:rPr>
          <w:rFonts w:cs="Arial"/>
        </w:rPr>
      </w:pPr>
      <w:r>
        <w:rPr>
          <w:b/>
          <w:bCs/>
          <w:color w:val="0D1B33"/>
          <w:sz w:val="32"/>
          <w:szCs w:val="32"/>
        </w:rPr>
        <w:t>العلاج بحرث المصالحة التحويلية</w:t>
      </w:r>
    </w:p>
    <w:p w14:paraId="40AD2002" w14:textId="77777777" w:rsidR="00053B8D" w:rsidRDefault="003D1A67">
      <w:pPr>
        <w:spacing w:after="480"/>
        <w:jc w:val="center"/>
        <w:rPr>
          <w:rFonts w:cs="Arial"/>
        </w:rPr>
      </w:pPr>
      <w:r>
        <w:rPr>
          <w:rFonts w:ascii="Times New Roman" w:eastAsia="Times New Roman" w:hAnsi="Times New Roman" w:cs="Times New Roman"/>
          <w:color w:val="0D1B33"/>
          <w:sz w:val="28"/>
          <w:szCs w:val="28"/>
        </w:rPr>
        <w:t>(TRTT)</w:t>
      </w:r>
    </w:p>
    <w:p w14:paraId="4CB1CAD6" w14:textId="77777777" w:rsidR="00053B8D" w:rsidRDefault="00053B8D">
      <w:pPr>
        <w:pBdr>
          <w:bottom w:val="single" w:sz="6" w:space="1" w:color="9A7B1A"/>
        </w:pBdr>
        <w:spacing w:before="80" w:after="80"/>
        <w:rPr>
          <w:rFonts w:cs="Arial"/>
        </w:rPr>
      </w:pPr>
    </w:p>
    <w:p w14:paraId="5BBF52FA" w14:textId="77777777" w:rsidR="00053B8D" w:rsidRDefault="003D1A67">
      <w:pPr>
        <w:spacing w:before="480" w:after="120"/>
        <w:jc w:val="center"/>
        <w:rPr>
          <w:rFonts w:cs="Arial"/>
        </w:rPr>
      </w:pPr>
      <w:r>
        <w:rPr>
          <w:color w:val="0A5E5E"/>
          <w:sz w:val="30"/>
          <w:szCs w:val="30"/>
        </w:rPr>
        <w:t>الجزء الثاني عشر</w:t>
      </w:r>
    </w:p>
    <w:p w14:paraId="55DF157D" w14:textId="77777777" w:rsidR="00053B8D" w:rsidRDefault="003D1A67">
      <w:pPr>
        <w:spacing w:after="60"/>
        <w:jc w:val="center"/>
        <w:rPr>
          <w:rFonts w:cs="Arial"/>
        </w:rPr>
      </w:pPr>
      <w:r>
        <w:rPr>
          <w:b/>
          <w:bCs/>
          <w:color w:val="0D1B33"/>
          <w:sz w:val="36"/>
          <w:szCs w:val="36"/>
        </w:rPr>
        <w:t>الفصل الخامس عشر</w:t>
      </w:r>
    </w:p>
    <w:p w14:paraId="6A483FFD" w14:textId="77777777" w:rsidR="00053B8D" w:rsidRDefault="003D1A67">
      <w:pPr>
        <w:spacing w:after="120"/>
        <w:jc w:val="center"/>
        <w:rPr>
          <w:rFonts w:cs="Arial"/>
        </w:rPr>
      </w:pPr>
      <w:r>
        <w:rPr>
          <w:b/>
          <w:bCs/>
          <w:color w:val="0D1B33"/>
          <w:sz w:val="48"/>
          <w:szCs w:val="48"/>
        </w:rPr>
        <w:t>الفصام الأخلاقي</w:t>
      </w:r>
    </w:p>
    <w:p w14:paraId="70CBB61B" w14:textId="77777777" w:rsidR="00053B8D" w:rsidRDefault="003D1A67">
      <w:pPr>
        <w:spacing w:after="360"/>
        <w:jc w:val="center"/>
        <w:rPr>
          <w:rFonts w:cs="Arial"/>
        </w:rPr>
      </w:pPr>
      <w:r>
        <w:rPr>
          <w:b/>
          <w:bCs/>
          <w:color w:val="0A5E5E"/>
          <w:sz w:val="40"/>
          <w:szCs w:val="40"/>
        </w:rPr>
        <w:t>ومصدر الأزمات النفسية</w:t>
      </w:r>
    </w:p>
    <w:p w14:paraId="52162AE9" w14:textId="77777777" w:rsidR="00053B8D" w:rsidRDefault="00053B8D">
      <w:pPr>
        <w:pBdr>
          <w:bottom w:val="single" w:sz="6" w:space="1" w:color="9A7B1A"/>
        </w:pBdr>
        <w:spacing w:before="80" w:after="80"/>
        <w:rPr>
          <w:rFonts w:cs="Arial"/>
        </w:rPr>
      </w:pPr>
    </w:p>
    <w:p w14:paraId="37790549" w14:textId="77777777" w:rsidR="00053B8D" w:rsidRDefault="00053B8D">
      <w:pPr>
        <w:spacing w:before="60" w:after="60"/>
        <w:rPr>
          <w:rFonts w:cs="Arial"/>
        </w:rPr>
      </w:pPr>
    </w:p>
    <w:tbl>
      <w:tblPr>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0"/>
      </w:tblGrid>
      <w:tr w:rsidR="00053B8D" w14:paraId="6C0A38C6" w14:textId="77777777">
        <w:trPr>
          <w:jc w:val="center"/>
        </w:trPr>
        <w:tc>
          <w:tcPr>
            <w:tcW w:w="8800" w:type="dxa"/>
            <w:tcBorders>
              <w:top w:val="none" w:sz="0" w:space="0" w:color="FFFFFF"/>
              <w:left w:val="single" w:sz="20" w:space="0" w:color="9A7B1A"/>
              <w:bottom w:val="none" w:sz="0" w:space="0" w:color="FFFFFF"/>
              <w:right w:val="none" w:sz="0" w:space="0" w:color="FFFFFF"/>
            </w:tcBorders>
            <w:shd w:val="clear" w:color="auto" w:fill="FDF8EC"/>
            <w:tcMar>
              <w:top w:w="120" w:type="dxa"/>
              <w:left w:w="240" w:type="dxa"/>
              <w:bottom w:w="120" w:type="dxa"/>
              <w:right w:w="240" w:type="dxa"/>
            </w:tcMar>
          </w:tcPr>
          <w:p w14:paraId="38CC96CA" w14:textId="77777777" w:rsidR="00053B8D" w:rsidRDefault="003D1A67">
            <w:pPr>
              <w:jc w:val="center"/>
              <w:rPr>
                <w:rFonts w:cs="Arial"/>
              </w:rPr>
            </w:pPr>
            <w:r>
              <w:rPr>
                <w:i/>
                <w:iCs/>
                <w:color w:val="0D1B33"/>
                <w:sz w:val="28"/>
                <w:szCs w:val="28"/>
              </w:rPr>
              <w:t>قُلْ يَا عِبَادِيَ الَّذِينَ أَسْرَفُوا عَلَى أَنفُسِهِمْ لَا تَقْنَطُوا مِن رَّحْمَةِ اللَّهِ ۚ إِنَّ اللَّهَ يَغْفِرُ الذُّنُوبَ جَمِيعًا</w:t>
            </w:r>
          </w:p>
          <w:p w14:paraId="1BC191FC" w14:textId="77777777" w:rsidR="00053B8D" w:rsidRDefault="003D1A67">
            <w:pPr>
              <w:spacing w:before="60"/>
              <w:jc w:val="center"/>
              <w:rPr>
                <w:rFonts w:cs="Arial"/>
              </w:rPr>
            </w:pPr>
            <w:r>
              <w:rPr>
                <w:color w:val="0A5E5E"/>
                <w:sz w:val="22"/>
                <w:szCs w:val="22"/>
              </w:rPr>
              <w:t>سورة الزمر: 53</w:t>
            </w:r>
          </w:p>
        </w:tc>
      </w:tr>
    </w:tbl>
    <w:p w14:paraId="5F310807" w14:textId="77777777" w:rsidR="00053B8D" w:rsidRDefault="00053B8D">
      <w:pPr>
        <w:spacing w:before="60" w:after="60"/>
        <w:rPr>
          <w:rFonts w:cs="Arial"/>
        </w:rPr>
      </w:pPr>
    </w:p>
    <w:p w14:paraId="770DD75F" w14:textId="77777777" w:rsidR="00053B8D" w:rsidRDefault="003D1A67">
      <w:pPr>
        <w:spacing w:before="360" w:after="120"/>
        <w:jc w:val="center"/>
        <w:rPr>
          <w:rFonts w:cs="Arial"/>
        </w:rPr>
      </w:pPr>
      <w:r>
        <w:rPr>
          <w:b/>
          <w:bCs/>
          <w:color w:val="9A7B1A"/>
          <w:sz w:val="28"/>
          <w:szCs w:val="28"/>
        </w:rPr>
        <w:t>عبد السلام الزراع</w:t>
      </w:r>
    </w:p>
    <w:p w14:paraId="690C47C1" w14:textId="77777777" w:rsidR="00053B8D" w:rsidRDefault="003D1A67">
      <w:pPr>
        <w:spacing w:after="60"/>
        <w:jc w:val="center"/>
        <w:rPr>
          <w:rFonts w:cs="Arial"/>
        </w:rPr>
      </w:pPr>
      <w:r>
        <w:rPr>
          <w:color w:val="0A5E5E"/>
          <w:sz w:val="24"/>
          <w:szCs w:val="24"/>
        </w:rPr>
        <w:t>zaraapsychology.com</w:t>
      </w:r>
    </w:p>
    <w:p w14:paraId="172994B4" w14:textId="77777777" w:rsidR="00053B8D" w:rsidRDefault="003D1A67">
      <w:pPr>
        <w:spacing w:after="480"/>
        <w:jc w:val="center"/>
        <w:rPr>
          <w:rFonts w:cs="Arial"/>
        </w:rPr>
      </w:pPr>
      <w:r>
        <w:rPr>
          <w:color w:val="0D1B33"/>
        </w:rPr>
        <w:t>2026</w:t>
      </w:r>
    </w:p>
    <w:p w14:paraId="313A6BD9" w14:textId="77777777" w:rsidR="00053B8D" w:rsidRDefault="003D1A67">
      <w:pPr>
        <w:rPr>
          <w:rFonts w:cs="Arial"/>
        </w:rPr>
      </w:pPr>
      <w:r>
        <w:br w:type="page"/>
      </w:r>
    </w:p>
    <w:p w14:paraId="29482EFD" w14:textId="77777777" w:rsidR="00053B8D" w:rsidRDefault="003D1A67">
      <w:pPr>
        <w:shd w:val="clear" w:color="auto" w:fill="1A3A6B"/>
        <w:spacing w:before="360" w:after="180"/>
        <w:jc w:val="right"/>
        <w:rPr>
          <w:rFonts w:cs="Arial"/>
        </w:rPr>
      </w:pPr>
      <w:r>
        <w:rPr>
          <w:b/>
          <w:bCs/>
          <w:color w:val="FFFFFF"/>
          <w:sz w:val="34"/>
          <w:szCs w:val="34"/>
        </w:rPr>
        <w:t>تمهيد: سؤال الجذور</w:t>
      </w:r>
    </w:p>
    <w:p w14:paraId="513F5A81" w14:textId="77777777" w:rsidR="00053B8D" w:rsidRDefault="00053B8D">
      <w:pPr>
        <w:spacing w:before="60" w:after="60"/>
        <w:rPr>
          <w:rFonts w:cs="Arial"/>
        </w:rPr>
      </w:pPr>
    </w:p>
    <w:p w14:paraId="067FE25B" w14:textId="77777777" w:rsidR="00053B8D" w:rsidRDefault="003D1A67">
      <w:pPr>
        <w:spacing w:before="80" w:after="80" w:line="340" w:lineRule="auto"/>
        <w:ind w:right="360"/>
        <w:jc w:val="both"/>
        <w:rPr>
          <w:rFonts w:cs="Arial"/>
        </w:rPr>
      </w:pPr>
      <w:r>
        <w:t xml:space="preserve">تنهض كل نظرية علاجية على سؤال تأسيسي جوهري: من أين تنبع المعاناة النفسية؟ وما هي منابعها العميقة التي تتجاوز الأعراض السطحية لتلامس البنى التحتية للنفس الإنسانية؟ لقد انصبّ تركيز الفصول السابقة من هذا الدليل على تحليل عُقدة الذنب بوصفها طاقة وجودية محتجزة، وتتبّعنا بدقة مسار تحولها عبر مراحل العلاج الخمس: من التشخيص الوجودي، مروراً بإعادة بناء صورة الله، والتحويل </w:t>
      </w:r>
      <w:proofErr w:type="spellStart"/>
      <w:r>
        <w:t>الطاقي</w:t>
      </w:r>
      <w:proofErr w:type="spellEnd"/>
      <w:r>
        <w:t xml:space="preserve"> عبر الجسر السلوكي، وإعادة كتابة السردية الذاتية، وصولاً إلى الاستدامة والنمو المستدام.</w:t>
      </w:r>
    </w:p>
    <w:p w14:paraId="731B6837" w14:textId="77777777" w:rsidR="00053B8D" w:rsidRDefault="00053B8D">
      <w:pPr>
        <w:spacing w:before="60" w:after="60"/>
        <w:rPr>
          <w:rFonts w:cs="Arial"/>
        </w:rPr>
      </w:pPr>
    </w:p>
    <w:p w14:paraId="7D79F7CB" w14:textId="77777777" w:rsidR="00053B8D" w:rsidRDefault="003D1A67">
      <w:pPr>
        <w:spacing w:before="80" w:after="80" w:line="340" w:lineRule="auto"/>
        <w:ind w:right="360"/>
        <w:jc w:val="both"/>
        <w:rPr>
          <w:rFonts w:cs="Arial"/>
        </w:rPr>
      </w:pPr>
      <w:r>
        <w:t>غير أن ثمة سؤالاً أعمق يظل مطروحاً بإلحاح: ما الذي يولّد هذه العُقدة في الأساس؟ ولماذا يعاني الإنسان المعاصر، ولا سيما في المجتمعات العربية والإسلامية، من شعور مزمن ومتغلغل بالذنب والصراع الداخلي والاغتراب الوجودي؟</w:t>
      </w:r>
    </w:p>
    <w:p w14:paraId="4B2423A7" w14:textId="77777777" w:rsidR="00053B8D" w:rsidRDefault="00053B8D">
      <w:pPr>
        <w:spacing w:before="60" w:after="60"/>
        <w:rPr>
          <w:rFonts w:cs="Arial"/>
        </w:rPr>
      </w:pPr>
    </w:p>
    <w:p w14:paraId="44788FB7" w14:textId="77777777" w:rsidR="00053B8D" w:rsidRDefault="003D1A67">
      <w:pPr>
        <w:spacing w:before="80" w:after="80" w:line="340" w:lineRule="auto"/>
        <w:ind w:right="360"/>
        <w:jc w:val="both"/>
        <w:rPr>
          <w:rFonts w:cs="Arial"/>
        </w:rPr>
      </w:pPr>
      <w:r>
        <w:t>يقدم هذا الفصل إجابة محورية عن هذا السؤال، تتمحور حول مفهوم "الفصام الأخلاقي" (</w:t>
      </w:r>
      <w:proofErr w:type="spellStart"/>
      <w:r>
        <w:t>Moral</w:t>
      </w:r>
      <w:proofErr w:type="spellEnd"/>
      <w:r>
        <w:t xml:space="preserve"> </w:t>
      </w:r>
      <w:proofErr w:type="spellStart"/>
      <w:r>
        <w:t>Schizophrenia</w:t>
      </w:r>
      <w:proofErr w:type="spellEnd"/>
      <w:r>
        <w:t>). ويُقصد به حالة العيش الدائم بين منظومتين قيميتين متصارعتين، بل ومتناقضتين في كثير من الأحيان: المنظومة الإسلامية المستمدة من الوحي الإلهي، والمرتكزة إلى مفاهيم التكليف والعبودية والغيب؛ والمنظومة العلمانية الحديثة المستمدة من القانون الوضعي والعقد الاجتماعي، والمرتكزة إلى مفاهيم المواطنة والحقوق الفردية والحرية الذاتية.</w:t>
      </w:r>
    </w:p>
    <w:p w14:paraId="602E3559" w14:textId="77777777" w:rsidR="00053B8D" w:rsidRDefault="00053B8D">
      <w:pPr>
        <w:spacing w:before="60" w:after="60"/>
        <w:rPr>
          <w:rFonts w:cs="Arial"/>
        </w:rPr>
      </w:pPr>
    </w:p>
    <w:p w14:paraId="67C17750" w14:textId="77777777" w:rsidR="00053B8D" w:rsidRDefault="003D1A67">
      <w:pPr>
        <w:spacing w:before="80" w:after="80" w:line="340" w:lineRule="auto"/>
        <w:ind w:right="360"/>
        <w:jc w:val="both"/>
        <w:rPr>
          <w:rFonts w:cs="Arial"/>
        </w:rPr>
      </w:pPr>
      <w:r>
        <w:t>وهذا الصراع البنيوي، المتجذر في نسيج الحياة اليومية وفي أعماق الوعي واللاوعي، يخلق تربة خصبة لنشوء عُقد الذنب المرضية، ويجعل رحلة العلاج النفسي أكثر تعقيداً وتشابكاً، ولكنه في الآن نفسه يفتح أفقاً لفهم أوسع وأكثر عمقاً، ويستدعي مقاربة علاجية أشمل وأكثر قدرة على استيعاب هذه الإشكالية الوجودية.</w:t>
      </w:r>
    </w:p>
    <w:p w14:paraId="040B2C0E" w14:textId="77777777" w:rsidR="00053B8D" w:rsidRDefault="00053B8D">
      <w:pPr>
        <w:spacing w:before="60" w:after="60"/>
        <w:rPr>
          <w:rFonts w:cs="Arial"/>
        </w:rPr>
      </w:pPr>
    </w:p>
    <w:p w14:paraId="3BA5CF75" w14:textId="77777777" w:rsidR="00053B8D" w:rsidRDefault="00053B8D">
      <w:pPr>
        <w:pBdr>
          <w:bottom w:val="single" w:sz="6" w:space="1" w:color="0A5E5E"/>
        </w:pBdr>
        <w:spacing w:before="80" w:after="80"/>
        <w:rPr>
          <w:rFonts w:cs="Arial"/>
        </w:rPr>
      </w:pPr>
    </w:p>
    <w:p w14:paraId="63148216" w14:textId="77777777" w:rsidR="00053B8D" w:rsidRDefault="003D1A67">
      <w:pPr>
        <w:pageBreakBefore/>
        <w:pBdr>
          <w:bottom w:val="single" w:sz="8" w:space="4" w:color="9A7B1A"/>
        </w:pBdr>
        <w:shd w:val="clear" w:color="auto" w:fill="0D1B33"/>
        <w:spacing w:before="480" w:after="240"/>
        <w:jc w:val="center"/>
        <w:rPr>
          <w:rFonts w:cs="Arial"/>
        </w:rPr>
      </w:pPr>
      <w:r>
        <w:rPr>
          <w:b/>
          <w:bCs/>
          <w:color w:val="FFFFFF"/>
          <w:sz w:val="44"/>
          <w:szCs w:val="44"/>
        </w:rPr>
        <w:t>أولاً: الازدواجية الأخلاقية بوصفها أزمة بنيوية متعددة المستويات</w:t>
      </w:r>
    </w:p>
    <w:p w14:paraId="24CF63E1" w14:textId="77777777" w:rsidR="00053B8D" w:rsidRDefault="00053B8D">
      <w:pPr>
        <w:spacing w:before="60" w:after="60"/>
        <w:rPr>
          <w:rFonts w:cs="Arial"/>
        </w:rPr>
      </w:pPr>
    </w:p>
    <w:p w14:paraId="43377911" w14:textId="77777777" w:rsidR="00053B8D" w:rsidRDefault="003D1A67">
      <w:pPr>
        <w:spacing w:before="80" w:after="80" w:line="340" w:lineRule="auto"/>
        <w:ind w:right="360"/>
        <w:jc w:val="both"/>
        <w:rPr>
          <w:rFonts w:cs="Arial"/>
        </w:rPr>
      </w:pPr>
      <w:r>
        <w:t>تشكل إشكالية الازدواجية الأخلاقية التي يعيشها الفرد في المجتمعات الإسلامية المعاصرة أزمة بنيوية لا يمكن اختزالها في مجرد ضعف إيماني فردي أو قصور في التربية الأخلاقية. فهي أزمة تمتد عبر ثلاثة مستويات متداخلة ومتفاعلة، يغذي بعضها بعضاً في حلقة مفرغة:</w:t>
      </w:r>
    </w:p>
    <w:p w14:paraId="422C6235" w14:textId="77777777" w:rsidR="00053B8D" w:rsidRDefault="00053B8D">
      <w:pPr>
        <w:spacing w:before="60" w:after="60"/>
        <w:rPr>
          <w:rFonts w:cs="Arial"/>
        </w:rPr>
      </w:pPr>
    </w:p>
    <w:p w14:paraId="3BC06DB6" w14:textId="77777777" w:rsidR="00053B8D" w:rsidRDefault="003D1A67">
      <w:pPr>
        <w:pBdr>
          <w:right w:val="single" w:sz="24" w:space="8" w:color="0A5E5E"/>
        </w:pBdr>
        <w:spacing w:before="280" w:after="120"/>
        <w:jc w:val="right"/>
        <w:rPr>
          <w:rFonts w:cs="Arial"/>
        </w:rPr>
      </w:pPr>
      <w:r>
        <w:rPr>
          <w:b/>
          <w:bCs/>
          <w:color w:val="0A5E5E"/>
          <w:sz w:val="28"/>
          <w:szCs w:val="28"/>
        </w:rPr>
        <w:t>المستوى الأول: المستوى البنيوي – تعارض المنظومات المرجعية</w:t>
      </w:r>
    </w:p>
    <w:p w14:paraId="603DAC84" w14:textId="77777777" w:rsidR="00053B8D" w:rsidRDefault="00053B8D">
      <w:pPr>
        <w:spacing w:before="60" w:after="60"/>
        <w:rPr>
          <w:rFonts w:cs="Arial"/>
        </w:rPr>
      </w:pPr>
    </w:p>
    <w:p w14:paraId="39103625" w14:textId="77777777" w:rsidR="00053B8D" w:rsidRDefault="003D1A67">
      <w:pPr>
        <w:spacing w:before="80" w:after="80" w:line="340" w:lineRule="auto"/>
        <w:ind w:right="360"/>
        <w:jc w:val="both"/>
        <w:rPr>
          <w:rFonts w:cs="Arial"/>
        </w:rPr>
      </w:pPr>
      <w:r>
        <w:t>يشير الواقع المعاش إلى وجود تعارض جوهري بين منظومتين مرجعيتين لا تقبلان التوفيق بسهولة، ولا يمكن التلفيق بينهما دون تكلف أو تناقض. فالمنظومة الوضعية الحديثة تنبني على أسس فلسفية وقانونية مغايرة تماماً لتلك التي تنبني عليها المنظومة الإسلامية:</w:t>
      </w:r>
    </w:p>
    <w:p w14:paraId="3DF9FC63" w14:textId="77777777" w:rsidR="00053B8D" w:rsidRDefault="00053B8D">
      <w:pPr>
        <w:spacing w:before="60" w:after="60"/>
        <w:rPr>
          <w:rFonts w:cs="Arial"/>
        </w:rPr>
      </w:pP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6600"/>
      </w:tblGrid>
      <w:tr w:rsidR="00053B8D" w14:paraId="438AB95A" w14:textId="77777777">
        <w:tc>
          <w:tcPr>
            <w:tcW w:w="2200" w:type="dxa"/>
            <w:tcBorders>
              <w:top w:val="single" w:sz="1" w:space="0" w:color="0A5E5E"/>
              <w:left w:val="single" w:sz="1" w:space="0" w:color="0A5E5E"/>
              <w:bottom w:val="single" w:sz="1" w:space="0" w:color="0A5E5E"/>
              <w:right w:val="none" w:sz="0" w:space="0" w:color="FFFFFF"/>
            </w:tcBorders>
            <w:shd w:val="clear" w:color="auto" w:fill="0A5E5E"/>
            <w:tcMar>
              <w:top w:w="100" w:type="dxa"/>
              <w:left w:w="120" w:type="dxa"/>
              <w:bottom w:w="100" w:type="dxa"/>
              <w:right w:w="120" w:type="dxa"/>
            </w:tcMar>
            <w:vAlign w:val="center"/>
          </w:tcPr>
          <w:p w14:paraId="3A543EBA" w14:textId="77777777" w:rsidR="00053B8D" w:rsidRDefault="003D1A67">
            <w:pPr>
              <w:jc w:val="center"/>
              <w:rPr>
                <w:rFonts w:cs="Arial"/>
              </w:rPr>
            </w:pPr>
            <w:r>
              <w:rPr>
                <w:b/>
                <w:bCs/>
                <w:color w:val="FFFFFF"/>
                <w:sz w:val="24"/>
                <w:szCs w:val="24"/>
              </w:rPr>
              <w:t>المنظومة الوضعية</w:t>
            </w:r>
          </w:p>
        </w:tc>
        <w:tc>
          <w:tcPr>
            <w:tcW w:w="6600" w:type="dxa"/>
            <w:tcBorders>
              <w:top w:val="single" w:sz="1" w:space="0" w:color="0A5E5E"/>
              <w:left w:val="none" w:sz="0" w:space="0" w:color="FFFFFF"/>
              <w:bottom w:val="single" w:sz="1" w:space="0" w:color="0A5E5E"/>
              <w:right w:val="single" w:sz="1" w:space="0" w:color="0A5E5E"/>
            </w:tcBorders>
            <w:shd w:val="clear" w:color="auto" w:fill="E8F4F4"/>
            <w:tcMar>
              <w:top w:w="100" w:type="dxa"/>
              <w:left w:w="200" w:type="dxa"/>
              <w:bottom w:w="100" w:type="dxa"/>
              <w:right w:w="200" w:type="dxa"/>
            </w:tcMar>
          </w:tcPr>
          <w:p w14:paraId="4CF73A77" w14:textId="77777777" w:rsidR="00053B8D" w:rsidRDefault="003D1A67">
            <w:pPr>
              <w:jc w:val="both"/>
              <w:rPr>
                <w:rFonts w:cs="Arial"/>
              </w:rPr>
            </w:pPr>
            <w:r>
              <w:rPr>
                <w:sz w:val="24"/>
                <w:szCs w:val="24"/>
              </w:rPr>
              <w:t>تستند إلى العقد الاجتماعي (</w:t>
            </w:r>
            <w:proofErr w:type="spellStart"/>
            <w:r>
              <w:rPr>
                <w:sz w:val="24"/>
                <w:szCs w:val="24"/>
              </w:rPr>
              <w:t>Social</w:t>
            </w:r>
            <w:proofErr w:type="spellEnd"/>
            <w:r>
              <w:rPr>
                <w:sz w:val="24"/>
                <w:szCs w:val="24"/>
              </w:rPr>
              <w:t xml:space="preserve"> </w:t>
            </w:r>
            <w:proofErr w:type="spellStart"/>
            <w:r>
              <w:rPr>
                <w:sz w:val="24"/>
                <w:szCs w:val="24"/>
              </w:rPr>
              <w:t>Contract</w:t>
            </w:r>
            <w:proofErr w:type="spellEnd"/>
            <w:r>
              <w:rPr>
                <w:sz w:val="24"/>
                <w:szCs w:val="24"/>
              </w:rPr>
              <w:t>) بوصفه مصدر الشرعية، وإلى المواطنة (</w:t>
            </w:r>
            <w:proofErr w:type="spellStart"/>
            <w:r>
              <w:rPr>
                <w:sz w:val="24"/>
                <w:szCs w:val="24"/>
              </w:rPr>
              <w:t>Citizenship</w:t>
            </w:r>
            <w:proofErr w:type="spellEnd"/>
            <w:r>
              <w:rPr>
                <w:sz w:val="24"/>
                <w:szCs w:val="24"/>
              </w:rPr>
              <w:t>) بوصفها أساس الحقوق والواجبات، وإلى القانون الوضعي بوصفه الحكم الفصل في النزاعات. والقيم فيها إنسانية محايدة، تفصل بين الدين والدولة، وبين الخاص والعام.</w:t>
            </w:r>
          </w:p>
        </w:tc>
      </w:tr>
    </w:tbl>
    <w:p w14:paraId="3BF58E88" w14:textId="77777777" w:rsidR="00053B8D" w:rsidRDefault="00053B8D">
      <w:pPr>
        <w:spacing w:before="60" w:after="60"/>
        <w:rPr>
          <w:rFonts w:cs="Arial"/>
        </w:rPr>
      </w:pP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6600"/>
      </w:tblGrid>
      <w:tr w:rsidR="00053B8D" w14:paraId="48D38563" w14:textId="77777777">
        <w:tc>
          <w:tcPr>
            <w:tcW w:w="2200" w:type="dxa"/>
            <w:tcBorders>
              <w:top w:val="single" w:sz="1" w:space="0" w:color="0A5E5E"/>
              <w:left w:val="single" w:sz="1" w:space="0" w:color="0A5E5E"/>
              <w:bottom w:val="single" w:sz="1" w:space="0" w:color="0A5E5E"/>
              <w:right w:val="none" w:sz="0" w:space="0" w:color="FFFFFF"/>
            </w:tcBorders>
            <w:shd w:val="clear" w:color="auto" w:fill="0A5E5E"/>
            <w:tcMar>
              <w:top w:w="100" w:type="dxa"/>
              <w:left w:w="120" w:type="dxa"/>
              <w:bottom w:w="100" w:type="dxa"/>
              <w:right w:w="120" w:type="dxa"/>
            </w:tcMar>
            <w:vAlign w:val="center"/>
          </w:tcPr>
          <w:p w14:paraId="5669D344" w14:textId="77777777" w:rsidR="00053B8D" w:rsidRDefault="003D1A67">
            <w:pPr>
              <w:jc w:val="center"/>
              <w:rPr>
                <w:rFonts w:cs="Arial"/>
              </w:rPr>
            </w:pPr>
            <w:r>
              <w:rPr>
                <w:b/>
                <w:bCs/>
                <w:color w:val="FFFFFF"/>
                <w:sz w:val="24"/>
                <w:szCs w:val="24"/>
              </w:rPr>
              <w:t>المنظومة الإسلامية</w:t>
            </w:r>
          </w:p>
        </w:tc>
        <w:tc>
          <w:tcPr>
            <w:tcW w:w="6600" w:type="dxa"/>
            <w:tcBorders>
              <w:top w:val="single" w:sz="1" w:space="0" w:color="0A5E5E"/>
              <w:left w:val="none" w:sz="0" w:space="0" w:color="FFFFFF"/>
              <w:bottom w:val="single" w:sz="1" w:space="0" w:color="0A5E5E"/>
              <w:right w:val="single" w:sz="1" w:space="0" w:color="0A5E5E"/>
            </w:tcBorders>
            <w:shd w:val="clear" w:color="auto" w:fill="E8F4F4"/>
            <w:tcMar>
              <w:top w:w="100" w:type="dxa"/>
              <w:left w:w="200" w:type="dxa"/>
              <w:bottom w:w="100" w:type="dxa"/>
              <w:right w:w="200" w:type="dxa"/>
            </w:tcMar>
          </w:tcPr>
          <w:p w14:paraId="34DACC11" w14:textId="77777777" w:rsidR="00053B8D" w:rsidRDefault="003D1A67">
            <w:pPr>
              <w:jc w:val="both"/>
              <w:rPr>
                <w:rFonts w:cs="Arial"/>
              </w:rPr>
            </w:pPr>
            <w:r>
              <w:rPr>
                <w:sz w:val="24"/>
                <w:szCs w:val="24"/>
              </w:rPr>
              <w:t>تستند إلى الوحي الإلهي (القرآن والسنة) بوصفه مصدر الشرعية المطلقة، وإلى التكليف الإلهي بوصفه أساس المسؤولية، وإلى الشريعة بوصفها الإطار الحاكم للعلاقات كلها. والقيم فيها ربانية شاملة، لا تفصل بين الدين والدولة، ولا بين العبادة والمعاملة.</w:t>
            </w:r>
          </w:p>
        </w:tc>
      </w:tr>
    </w:tbl>
    <w:p w14:paraId="75B0FF4D" w14:textId="77777777" w:rsidR="00053B8D" w:rsidRDefault="00053B8D">
      <w:pPr>
        <w:spacing w:before="60" w:after="60"/>
        <w:rPr>
          <w:rFonts w:cs="Arial"/>
        </w:rPr>
      </w:pPr>
    </w:p>
    <w:p w14:paraId="223F3319" w14:textId="77777777" w:rsidR="00053B8D" w:rsidRDefault="003D1A67">
      <w:pPr>
        <w:spacing w:before="80" w:after="80" w:line="340" w:lineRule="auto"/>
        <w:ind w:right="360"/>
        <w:jc w:val="both"/>
        <w:rPr>
          <w:rFonts w:cs="Arial"/>
        </w:rPr>
      </w:pPr>
      <w:r>
        <w:t xml:space="preserve">والمشكلة الكبرى لا تكمن فقط في وجود هاتين المنظومتين جنباً إلى جنب، بل في غياب أي وساطة فكرية أو مؤسسية قادرة على إنتاج تركيب منهجي بينهما، أو على الأقل إدارة التوتر الناشئ عن تعارضهما. والنتيجة هي حالة من "الازدواجية المعيارية" </w:t>
      </w:r>
      <w:r>
        <w:rPr>
          <w:rFonts w:ascii="Times New Roman" w:eastAsia="Times New Roman" w:hAnsi="Times New Roman" w:cs="Times New Roman"/>
          <w:color w:val="0A5E5E"/>
          <w:sz w:val="24"/>
          <w:szCs w:val="24"/>
        </w:rPr>
        <w:t>(</w:t>
      </w:r>
      <w:proofErr w:type="spellStart"/>
      <w:r>
        <w:rPr>
          <w:rFonts w:ascii="Times New Roman" w:eastAsia="Times New Roman" w:hAnsi="Times New Roman" w:cs="Times New Roman"/>
          <w:color w:val="0A5E5E"/>
          <w:sz w:val="24"/>
          <w:szCs w:val="24"/>
        </w:rPr>
        <w:t>Normative</w:t>
      </w:r>
      <w:proofErr w:type="spellEnd"/>
      <w:r>
        <w:rPr>
          <w:rFonts w:ascii="Times New Roman" w:eastAsia="Times New Roman" w:hAnsi="Times New Roman" w:cs="Times New Roman"/>
          <w:color w:val="0A5E5E"/>
          <w:sz w:val="24"/>
          <w:szCs w:val="24"/>
        </w:rPr>
        <w:t xml:space="preserve"> </w:t>
      </w:r>
      <w:proofErr w:type="spellStart"/>
      <w:r>
        <w:rPr>
          <w:rFonts w:ascii="Times New Roman" w:eastAsia="Times New Roman" w:hAnsi="Times New Roman" w:cs="Times New Roman"/>
          <w:color w:val="0A5E5E"/>
          <w:sz w:val="24"/>
          <w:szCs w:val="24"/>
        </w:rPr>
        <w:t>Duality</w:t>
      </w:r>
      <w:proofErr w:type="spellEnd"/>
      <w:r>
        <w:rPr>
          <w:rFonts w:ascii="Times New Roman" w:eastAsia="Times New Roman" w:hAnsi="Times New Roman" w:cs="Times New Roman"/>
          <w:color w:val="0A5E5E"/>
          <w:sz w:val="24"/>
          <w:szCs w:val="24"/>
        </w:rPr>
        <w:t>)</w:t>
      </w:r>
      <w:r>
        <w:t xml:space="preserve"> التي تجعل الفرد يعيش في عالمين متوازيين غير متصالحين. </w:t>
      </w:r>
      <w:r>
        <w:rPr>
          <w:rFonts w:ascii="Times New Roman" w:eastAsia="Times New Roman" w:hAnsi="Times New Roman" w:cs="Times New Roman"/>
          <w:color w:val="9A7B1A"/>
          <w:sz w:val="22"/>
          <w:szCs w:val="22"/>
        </w:rPr>
        <w:t>[1]</w:t>
      </w:r>
    </w:p>
    <w:p w14:paraId="6D97FECD" w14:textId="77777777" w:rsidR="00053B8D" w:rsidRDefault="00053B8D">
      <w:pPr>
        <w:spacing w:before="60" w:after="60"/>
        <w:rPr>
          <w:rFonts w:cs="Arial"/>
        </w:rPr>
      </w:pPr>
    </w:p>
    <w:p w14:paraId="7B16EB91" w14:textId="77777777" w:rsidR="00053B8D" w:rsidRDefault="003D1A67">
      <w:pPr>
        <w:pBdr>
          <w:right w:val="single" w:sz="24" w:space="8" w:color="0A5E5E"/>
        </w:pBdr>
        <w:spacing w:before="280" w:after="120"/>
        <w:jc w:val="right"/>
        <w:rPr>
          <w:rFonts w:cs="Arial"/>
        </w:rPr>
      </w:pPr>
      <w:r>
        <w:rPr>
          <w:b/>
          <w:bCs/>
          <w:color w:val="0A5E5E"/>
          <w:sz w:val="28"/>
          <w:szCs w:val="28"/>
        </w:rPr>
        <w:t>المستوى الثاني: المستوى النفسي – الصراع المعياري الداخلي</w:t>
      </w:r>
    </w:p>
    <w:p w14:paraId="39580580" w14:textId="77777777" w:rsidR="00053B8D" w:rsidRDefault="00053B8D">
      <w:pPr>
        <w:spacing w:before="60" w:after="60"/>
        <w:rPr>
          <w:rFonts w:cs="Arial"/>
        </w:rPr>
      </w:pPr>
    </w:p>
    <w:p w14:paraId="00D7C1AA" w14:textId="77777777" w:rsidR="00053B8D" w:rsidRDefault="003D1A67">
      <w:pPr>
        <w:spacing w:before="80" w:after="80" w:line="340" w:lineRule="auto"/>
        <w:ind w:right="360"/>
        <w:jc w:val="both"/>
        <w:rPr>
          <w:rFonts w:cs="Arial"/>
        </w:rPr>
      </w:pPr>
      <w:r>
        <w:t xml:space="preserve">يترجم هذا التعارض البنيوي على المستوى الفردي إلى حالة نفسية يمكن وصفها في علم النفس بـ "الصراع المعياري" </w:t>
      </w:r>
      <w:r>
        <w:rPr>
          <w:rFonts w:ascii="Times New Roman" w:eastAsia="Times New Roman" w:hAnsi="Times New Roman" w:cs="Times New Roman"/>
          <w:color w:val="0A5E5E"/>
          <w:sz w:val="24"/>
          <w:szCs w:val="24"/>
        </w:rPr>
        <w:t>(</w:t>
      </w:r>
      <w:proofErr w:type="spellStart"/>
      <w:r>
        <w:rPr>
          <w:rFonts w:ascii="Times New Roman" w:eastAsia="Times New Roman" w:hAnsi="Times New Roman" w:cs="Times New Roman"/>
          <w:color w:val="0A5E5E"/>
          <w:sz w:val="24"/>
          <w:szCs w:val="24"/>
        </w:rPr>
        <w:t>Normative</w:t>
      </w:r>
      <w:proofErr w:type="spellEnd"/>
      <w:r>
        <w:rPr>
          <w:rFonts w:ascii="Times New Roman" w:eastAsia="Times New Roman" w:hAnsi="Times New Roman" w:cs="Times New Roman"/>
          <w:color w:val="0A5E5E"/>
          <w:sz w:val="24"/>
          <w:szCs w:val="24"/>
        </w:rPr>
        <w:t xml:space="preserve"> </w:t>
      </w:r>
      <w:proofErr w:type="spellStart"/>
      <w:r>
        <w:rPr>
          <w:rFonts w:ascii="Times New Roman" w:eastAsia="Times New Roman" w:hAnsi="Times New Roman" w:cs="Times New Roman"/>
          <w:color w:val="0A5E5E"/>
          <w:sz w:val="24"/>
          <w:szCs w:val="24"/>
        </w:rPr>
        <w:t>Conflict</w:t>
      </w:r>
      <w:proofErr w:type="spellEnd"/>
      <w:r>
        <w:rPr>
          <w:rFonts w:ascii="Times New Roman" w:eastAsia="Times New Roman" w:hAnsi="Times New Roman" w:cs="Times New Roman"/>
          <w:color w:val="0A5E5E"/>
          <w:sz w:val="24"/>
          <w:szCs w:val="24"/>
        </w:rPr>
        <w:t>)</w:t>
      </w:r>
      <w:r>
        <w:t xml:space="preserve"> أو "التنافر المعرفي" </w:t>
      </w:r>
      <w:r>
        <w:rPr>
          <w:rFonts w:ascii="Times New Roman" w:eastAsia="Times New Roman" w:hAnsi="Times New Roman" w:cs="Times New Roman"/>
          <w:color w:val="0A5E5E"/>
          <w:sz w:val="24"/>
          <w:szCs w:val="24"/>
        </w:rPr>
        <w:t>(</w:t>
      </w:r>
      <w:proofErr w:type="spellStart"/>
      <w:r>
        <w:rPr>
          <w:rFonts w:ascii="Times New Roman" w:eastAsia="Times New Roman" w:hAnsi="Times New Roman" w:cs="Times New Roman"/>
          <w:color w:val="0A5E5E"/>
          <w:sz w:val="24"/>
          <w:szCs w:val="24"/>
        </w:rPr>
        <w:t>Cognitive</w:t>
      </w:r>
      <w:proofErr w:type="spellEnd"/>
      <w:r>
        <w:rPr>
          <w:rFonts w:ascii="Times New Roman" w:eastAsia="Times New Roman" w:hAnsi="Times New Roman" w:cs="Times New Roman"/>
          <w:color w:val="0A5E5E"/>
          <w:sz w:val="24"/>
          <w:szCs w:val="24"/>
        </w:rPr>
        <w:t xml:space="preserve"> </w:t>
      </w:r>
      <w:proofErr w:type="spellStart"/>
      <w:r>
        <w:rPr>
          <w:rFonts w:ascii="Times New Roman" w:eastAsia="Times New Roman" w:hAnsi="Times New Roman" w:cs="Times New Roman"/>
          <w:color w:val="0A5E5E"/>
          <w:sz w:val="24"/>
          <w:szCs w:val="24"/>
        </w:rPr>
        <w:t>Dissonance</w:t>
      </w:r>
      <w:proofErr w:type="spellEnd"/>
      <w:r>
        <w:rPr>
          <w:rFonts w:ascii="Times New Roman" w:eastAsia="Times New Roman" w:hAnsi="Times New Roman" w:cs="Times New Roman"/>
          <w:color w:val="0A5E5E"/>
          <w:sz w:val="24"/>
          <w:szCs w:val="24"/>
        </w:rPr>
        <w:t>)</w:t>
      </w:r>
      <w:r>
        <w:t>. فالفرد يحمل في داخله – بوعي أو بغير وعي – معايير متضاربة حول ما هو صحيح وما هو خاطئ، وحول ما ينبغي فعله وما ينبغي اجتنابه.</w:t>
      </w:r>
    </w:p>
    <w:p w14:paraId="702D5924" w14:textId="77777777" w:rsidR="00053B8D" w:rsidRDefault="00053B8D">
      <w:pPr>
        <w:spacing w:before="60" w:after="60"/>
        <w:rPr>
          <w:rFonts w:cs="Arial"/>
        </w:rPr>
      </w:pPr>
    </w:p>
    <w:p w14:paraId="16C1B7BD" w14:textId="77777777" w:rsidR="00053B8D" w:rsidRDefault="003D1A67">
      <w:pPr>
        <w:spacing w:before="80" w:after="80" w:line="340" w:lineRule="auto"/>
        <w:ind w:right="360"/>
        <w:jc w:val="both"/>
        <w:rPr>
          <w:rFonts w:cs="Arial"/>
        </w:rPr>
      </w:pPr>
      <w:r>
        <w:t xml:space="preserve">ويزداد هذا الصراع حدة في الفضاء العام، حيث تصبح القرارات اليومية البسيطة اختبارات وجودية معقدة: هل أتصرف بوصفي مواطناً خاضعاً للقانون الوضعي، أم بوصفي مسلماً ملتزماً بأحكام الشريعة؟ وهذا الصراع لا يفضي فقط إلى توتر داخلي مزمن، بل يؤدي أيضاً إلى حالة من "العجز المعياري" </w:t>
      </w:r>
      <w:r>
        <w:rPr>
          <w:rFonts w:ascii="Times New Roman" w:eastAsia="Times New Roman" w:hAnsi="Times New Roman" w:cs="Times New Roman"/>
          <w:color w:val="0A5E5E"/>
          <w:sz w:val="24"/>
          <w:szCs w:val="24"/>
        </w:rPr>
        <w:t>(</w:t>
      </w:r>
      <w:proofErr w:type="spellStart"/>
      <w:r>
        <w:rPr>
          <w:rFonts w:ascii="Times New Roman" w:eastAsia="Times New Roman" w:hAnsi="Times New Roman" w:cs="Times New Roman"/>
          <w:color w:val="0A5E5E"/>
          <w:sz w:val="24"/>
          <w:szCs w:val="24"/>
        </w:rPr>
        <w:t>Normative</w:t>
      </w:r>
      <w:proofErr w:type="spellEnd"/>
      <w:r>
        <w:rPr>
          <w:rFonts w:ascii="Times New Roman" w:eastAsia="Times New Roman" w:hAnsi="Times New Roman" w:cs="Times New Roman"/>
          <w:color w:val="0A5E5E"/>
          <w:sz w:val="24"/>
          <w:szCs w:val="24"/>
        </w:rPr>
        <w:t xml:space="preserve"> </w:t>
      </w:r>
      <w:proofErr w:type="spellStart"/>
      <w:r>
        <w:rPr>
          <w:rFonts w:ascii="Times New Roman" w:eastAsia="Times New Roman" w:hAnsi="Times New Roman" w:cs="Times New Roman"/>
          <w:color w:val="0A5E5E"/>
          <w:sz w:val="24"/>
          <w:szCs w:val="24"/>
        </w:rPr>
        <w:t>Paralysis</w:t>
      </w:r>
      <w:proofErr w:type="spellEnd"/>
      <w:r>
        <w:rPr>
          <w:rFonts w:ascii="Times New Roman" w:eastAsia="Times New Roman" w:hAnsi="Times New Roman" w:cs="Times New Roman"/>
          <w:color w:val="0A5E5E"/>
          <w:sz w:val="24"/>
          <w:szCs w:val="24"/>
        </w:rPr>
        <w:t>)</w:t>
      </w:r>
      <w:r>
        <w:t xml:space="preserve">؛ حيث يصبح الفرد عاجزاً عن اتخاذ القرارات الأخلاقية في الفضاء العام، مما يعمق شعوره بالاغتراب والعجز. </w:t>
      </w:r>
      <w:r>
        <w:rPr>
          <w:rFonts w:ascii="Times New Roman" w:eastAsia="Times New Roman" w:hAnsi="Times New Roman" w:cs="Times New Roman"/>
          <w:color w:val="9A7B1A"/>
          <w:sz w:val="22"/>
          <w:szCs w:val="22"/>
        </w:rPr>
        <w:t>[2]</w:t>
      </w:r>
    </w:p>
    <w:p w14:paraId="20B27DB1" w14:textId="77777777" w:rsidR="00053B8D" w:rsidRDefault="00053B8D">
      <w:pPr>
        <w:spacing w:before="60" w:after="60"/>
        <w:rPr>
          <w:rFonts w:cs="Arial"/>
        </w:rPr>
      </w:pPr>
    </w:p>
    <w:p w14:paraId="7A8CB355" w14:textId="77777777" w:rsidR="00053B8D" w:rsidRDefault="003D1A67">
      <w:pPr>
        <w:pBdr>
          <w:right w:val="single" w:sz="24" w:space="8" w:color="0A5E5E"/>
        </w:pBdr>
        <w:spacing w:before="280" w:after="120"/>
        <w:jc w:val="right"/>
        <w:rPr>
          <w:rFonts w:cs="Arial"/>
        </w:rPr>
      </w:pPr>
      <w:r>
        <w:rPr>
          <w:b/>
          <w:bCs/>
          <w:color w:val="0A5E5E"/>
          <w:sz w:val="28"/>
          <w:szCs w:val="28"/>
        </w:rPr>
        <w:t>المستوى الثالث: المستوى الاجتماعي-السياسي – غياب السياق المؤسسي</w:t>
      </w:r>
    </w:p>
    <w:p w14:paraId="02C8C163" w14:textId="77777777" w:rsidR="00053B8D" w:rsidRDefault="00053B8D">
      <w:pPr>
        <w:spacing w:before="60" w:after="60"/>
        <w:rPr>
          <w:rFonts w:cs="Arial"/>
        </w:rPr>
      </w:pPr>
    </w:p>
    <w:p w14:paraId="6AAFB007" w14:textId="77777777" w:rsidR="00053B8D" w:rsidRDefault="003D1A67">
      <w:pPr>
        <w:spacing w:before="80" w:after="80" w:line="340" w:lineRule="auto"/>
        <w:ind w:right="360"/>
        <w:jc w:val="both"/>
        <w:rPr>
          <w:rFonts w:cs="Arial"/>
        </w:rPr>
      </w:pPr>
      <w:r>
        <w:t>يستحضر هذا التحليل بالضرورة مشروع المفكر وائل حلاق الفكري، ولا سيما نقده العميق للدولة الحديثة في السياق الإسلامي، وتشخيصه للأزمة الأخلاقية بوصفها أزمة بنيوية لا فردية. فحلاق يجادل بأن المشكلة الأساسية لا تكمن في ضعف إيمان الأفراد أو تقصيرهم الذاتي، بل في غياب السياق المؤسسي والمعرفي الذي كان ينتج الذات الأخلاقية تاريخياً في المجتمعات الإسلامية.</w:t>
      </w:r>
    </w:p>
    <w:p w14:paraId="7100FE2B" w14:textId="77777777" w:rsidR="00053B8D" w:rsidRDefault="00053B8D">
      <w:pPr>
        <w:spacing w:before="60" w:after="60"/>
        <w:rPr>
          <w:rFonts w:cs="Arial"/>
        </w:rPr>
      </w:pPr>
    </w:p>
    <w:p w14:paraId="4E23B19B" w14:textId="77777777" w:rsidR="00053B8D" w:rsidRDefault="003D1A67">
      <w:pPr>
        <w:spacing w:before="80" w:after="80" w:line="340" w:lineRule="auto"/>
        <w:ind w:right="360"/>
        <w:jc w:val="both"/>
        <w:rPr>
          <w:rFonts w:cs="Arial"/>
        </w:rPr>
      </w:pPr>
      <w:r>
        <w:t xml:space="preserve">فالدولة الحديثة، بطبيعتها المركزية </w:t>
      </w:r>
      <w:proofErr w:type="spellStart"/>
      <w:r>
        <w:t>وبيروقراطيتها</w:t>
      </w:r>
      <w:proofErr w:type="spellEnd"/>
      <w:r>
        <w:t xml:space="preserve"> وقوانينها الوضعية، قد قوضت البنى التقليدية التي كانت ترعى تشكيل الذات الأخلاقية (كالمسجد، والمدرسة، والسوق، والأسرة الممتدة)، واستبدلت بها مؤسسات تنتج ذاتاً مختلفة، ذاتاً "مواطِنة" لا "مؤمنة". وهذا الغياب للسياق المؤسسي الداعم يجعل الفرد يواجه معركة أخلاقية خاسرة بمفرده، مما يضاعف من معاناته النفسية.</w:t>
      </w:r>
    </w:p>
    <w:p w14:paraId="4A61560F" w14:textId="77777777" w:rsidR="00053B8D" w:rsidRDefault="00053B8D">
      <w:pPr>
        <w:spacing w:before="60" w:after="60"/>
        <w:rPr>
          <w:rFonts w:cs="Arial"/>
        </w:rPr>
      </w:pPr>
    </w:p>
    <w:p w14:paraId="132F539F" w14:textId="77777777" w:rsidR="00053B8D" w:rsidRDefault="00053B8D">
      <w:pPr>
        <w:pBdr>
          <w:bottom w:val="single" w:sz="6" w:space="1" w:color="0A5E5E"/>
        </w:pBdr>
        <w:spacing w:before="80" w:after="80"/>
        <w:rPr>
          <w:rFonts w:cs="Arial"/>
        </w:rPr>
      </w:pPr>
    </w:p>
    <w:p w14:paraId="19A7A9E5" w14:textId="77777777" w:rsidR="00053B8D" w:rsidRDefault="003D1A67">
      <w:pPr>
        <w:pageBreakBefore/>
        <w:pBdr>
          <w:bottom w:val="single" w:sz="8" w:space="4" w:color="9A7B1A"/>
        </w:pBdr>
        <w:shd w:val="clear" w:color="auto" w:fill="0D1B33"/>
        <w:spacing w:before="480" w:after="240"/>
        <w:jc w:val="center"/>
        <w:rPr>
          <w:rFonts w:cs="Arial"/>
        </w:rPr>
      </w:pPr>
      <w:r>
        <w:rPr>
          <w:b/>
          <w:bCs/>
          <w:color w:val="FFFFFF"/>
          <w:sz w:val="44"/>
          <w:szCs w:val="44"/>
        </w:rPr>
        <w:t>الانعكاسات النفسية للفصام الأخلاقي</w:t>
      </w:r>
    </w:p>
    <w:p w14:paraId="502D7355" w14:textId="77777777" w:rsidR="00053B8D" w:rsidRDefault="00053B8D">
      <w:pPr>
        <w:spacing w:before="60" w:after="60"/>
        <w:rPr>
          <w:rFonts w:cs="Arial"/>
        </w:rPr>
      </w:pPr>
    </w:p>
    <w:p w14:paraId="7AAE661B" w14:textId="77777777" w:rsidR="00053B8D" w:rsidRDefault="003D1A67">
      <w:pPr>
        <w:spacing w:before="80" w:after="80" w:line="340" w:lineRule="auto"/>
        <w:ind w:right="360"/>
        <w:jc w:val="both"/>
        <w:rPr>
          <w:rFonts w:cs="Arial"/>
        </w:rPr>
      </w:pPr>
      <w:r>
        <w:t>ما العلاقة بين هذا التحليل الاجتماعي-البنيوي وبين المعاناة النفسية الفردية التي نشهدها في العيادات؟ يمكن تحديد خمسة انعكاسات مباشرة للفصام الأخلاقي على الصحة النفسية، وهي انعكاسات تصل حد إنتاج أمراض نفسية محددة أو مفاقمتها:</w:t>
      </w:r>
    </w:p>
    <w:p w14:paraId="0F901F09" w14:textId="77777777" w:rsidR="00053B8D" w:rsidRDefault="00053B8D">
      <w:pPr>
        <w:spacing w:before="60" w:after="60"/>
        <w:rPr>
          <w:rFonts w:cs="Arial"/>
        </w:rPr>
      </w:pPr>
    </w:p>
    <w:p w14:paraId="27034E19" w14:textId="77777777" w:rsidR="00053B8D" w:rsidRDefault="003D1A67">
      <w:pPr>
        <w:pBdr>
          <w:right w:val="single" w:sz="18" w:space="8" w:color="0D1B33"/>
        </w:pBdr>
        <w:shd w:val="clear" w:color="auto" w:fill="EBF0F8"/>
        <w:spacing w:before="200" w:after="80"/>
        <w:ind w:right="360"/>
        <w:jc w:val="right"/>
        <w:rPr>
          <w:rFonts w:cs="Arial"/>
        </w:rPr>
      </w:pPr>
      <w:r>
        <w:rPr>
          <w:b/>
          <w:bCs/>
          <w:color w:val="0D1B33"/>
          <w:sz w:val="28"/>
          <w:szCs w:val="28"/>
        </w:rPr>
        <w:t>1. الصراع الداخلي المزمن</w:t>
      </w:r>
      <w:r>
        <w:rPr>
          <w:sz w:val="24"/>
          <w:szCs w:val="24"/>
        </w:rPr>
        <w:t xml:space="preserve">  </w:t>
      </w:r>
      <w:r>
        <w:rPr>
          <w:rFonts w:ascii="Times New Roman" w:eastAsia="Times New Roman" w:hAnsi="Times New Roman" w:cs="Times New Roman"/>
          <w:i/>
          <w:iCs/>
          <w:color w:val="0A5E5E"/>
          <w:sz w:val="22"/>
          <w:szCs w:val="22"/>
        </w:rPr>
        <w:t>(</w:t>
      </w:r>
      <w:proofErr w:type="spellStart"/>
      <w:r>
        <w:rPr>
          <w:rFonts w:ascii="Times New Roman" w:eastAsia="Times New Roman" w:hAnsi="Times New Roman" w:cs="Times New Roman"/>
          <w:i/>
          <w:iCs/>
          <w:color w:val="0A5E5E"/>
          <w:sz w:val="22"/>
          <w:szCs w:val="22"/>
        </w:rPr>
        <w:t>Chronic</w:t>
      </w:r>
      <w:proofErr w:type="spellEnd"/>
      <w:r>
        <w:rPr>
          <w:rFonts w:ascii="Times New Roman" w:eastAsia="Times New Roman" w:hAnsi="Times New Roman" w:cs="Times New Roman"/>
          <w:i/>
          <w:iCs/>
          <w:color w:val="0A5E5E"/>
          <w:sz w:val="22"/>
          <w:szCs w:val="22"/>
        </w:rPr>
        <w:t xml:space="preserve"> </w:t>
      </w:r>
      <w:proofErr w:type="spellStart"/>
      <w:r>
        <w:rPr>
          <w:rFonts w:ascii="Times New Roman" w:eastAsia="Times New Roman" w:hAnsi="Times New Roman" w:cs="Times New Roman"/>
          <w:i/>
          <w:iCs/>
          <w:color w:val="0A5E5E"/>
          <w:sz w:val="22"/>
          <w:szCs w:val="22"/>
        </w:rPr>
        <w:t>Internal</w:t>
      </w:r>
      <w:proofErr w:type="spellEnd"/>
      <w:r>
        <w:rPr>
          <w:rFonts w:ascii="Times New Roman" w:eastAsia="Times New Roman" w:hAnsi="Times New Roman" w:cs="Times New Roman"/>
          <w:i/>
          <w:iCs/>
          <w:color w:val="0A5E5E"/>
          <w:sz w:val="22"/>
          <w:szCs w:val="22"/>
        </w:rPr>
        <w:t xml:space="preserve"> </w:t>
      </w:r>
      <w:proofErr w:type="spellStart"/>
      <w:r>
        <w:rPr>
          <w:rFonts w:ascii="Times New Roman" w:eastAsia="Times New Roman" w:hAnsi="Times New Roman" w:cs="Times New Roman"/>
          <w:i/>
          <w:iCs/>
          <w:color w:val="0A5E5E"/>
          <w:sz w:val="22"/>
          <w:szCs w:val="22"/>
        </w:rPr>
        <w:t>Conflict</w:t>
      </w:r>
      <w:proofErr w:type="spellEnd"/>
      <w:r>
        <w:rPr>
          <w:rFonts w:ascii="Times New Roman" w:eastAsia="Times New Roman" w:hAnsi="Times New Roman" w:cs="Times New Roman"/>
          <w:i/>
          <w:iCs/>
          <w:color w:val="0A5E5E"/>
          <w:sz w:val="22"/>
          <w:szCs w:val="22"/>
        </w:rPr>
        <w:t>)</w:t>
      </w:r>
      <w:r>
        <w:rPr>
          <w:sz w:val="24"/>
          <w:szCs w:val="24"/>
        </w:rPr>
        <w:t xml:space="preserve">  </w:t>
      </w:r>
      <w:r>
        <w:rPr>
          <w:rFonts w:ascii="Times New Roman" w:eastAsia="Times New Roman" w:hAnsi="Times New Roman" w:cs="Times New Roman"/>
          <w:color w:val="9A7B1A"/>
          <w:sz w:val="20"/>
          <w:szCs w:val="20"/>
        </w:rPr>
        <w:t>[4]</w:t>
      </w:r>
    </w:p>
    <w:p w14:paraId="44D7E6E7" w14:textId="77777777" w:rsidR="00053B8D" w:rsidRDefault="003D1A67">
      <w:pPr>
        <w:spacing w:before="80" w:after="80" w:line="340" w:lineRule="auto"/>
        <w:ind w:right="720"/>
        <w:jc w:val="both"/>
        <w:rPr>
          <w:rFonts w:cs="Arial"/>
        </w:rPr>
      </w:pPr>
      <w:r>
        <w:t>الفرد الذي يحمل في داخله منظومتين قيميتين متصارعتين يعيش في حالة حرب داخلية دائمة ومستنزفة للطاقة النفسية. فكل قرار يتخذه في الفضاء العام – من أبسط المعاملات المالية إلى أعقد القضايا الأسرية – يصبح اختباراً وجودياً مؤلماً. هذا الصراع الدائم يستهلك الموارد النفسية، ويرفع مستويات القلق والتوتر بشكل مزمن، وقد يؤدي إلى ما يسمى بـ "الإرهاق المعياري" (</w:t>
      </w:r>
      <w:proofErr w:type="spellStart"/>
      <w:r>
        <w:t>Normative</w:t>
      </w:r>
      <w:proofErr w:type="spellEnd"/>
      <w:r>
        <w:t xml:space="preserve"> </w:t>
      </w:r>
      <w:proofErr w:type="spellStart"/>
      <w:r>
        <w:t>Fatigue</w:t>
      </w:r>
      <w:proofErr w:type="spellEnd"/>
      <w:r>
        <w:t>).</w:t>
      </w:r>
    </w:p>
    <w:p w14:paraId="29C2133F" w14:textId="77777777" w:rsidR="00053B8D" w:rsidRDefault="00053B8D">
      <w:pPr>
        <w:spacing w:before="60" w:after="60"/>
        <w:rPr>
          <w:rFonts w:cs="Arial"/>
        </w:rPr>
      </w:pPr>
    </w:p>
    <w:p w14:paraId="15691DDF" w14:textId="77777777" w:rsidR="00053B8D" w:rsidRDefault="003D1A67">
      <w:pPr>
        <w:pBdr>
          <w:right w:val="single" w:sz="18" w:space="8" w:color="0D1B33"/>
        </w:pBdr>
        <w:shd w:val="clear" w:color="auto" w:fill="EBF0F8"/>
        <w:spacing w:before="200" w:after="80"/>
        <w:ind w:right="360"/>
        <w:jc w:val="right"/>
        <w:rPr>
          <w:rFonts w:cs="Arial"/>
        </w:rPr>
      </w:pPr>
      <w:r>
        <w:rPr>
          <w:b/>
          <w:bCs/>
          <w:color w:val="0D1B33"/>
          <w:sz w:val="28"/>
          <w:szCs w:val="28"/>
        </w:rPr>
        <w:t>2. الشعور المزدوج بالذنب</w:t>
      </w:r>
      <w:r>
        <w:rPr>
          <w:sz w:val="24"/>
          <w:szCs w:val="24"/>
        </w:rPr>
        <w:t xml:space="preserve">  </w:t>
      </w:r>
      <w:r>
        <w:rPr>
          <w:rFonts w:ascii="Times New Roman" w:eastAsia="Times New Roman" w:hAnsi="Times New Roman" w:cs="Times New Roman"/>
          <w:i/>
          <w:iCs/>
          <w:color w:val="0A5E5E"/>
          <w:sz w:val="22"/>
          <w:szCs w:val="22"/>
        </w:rPr>
        <w:t>(</w:t>
      </w:r>
      <w:proofErr w:type="spellStart"/>
      <w:r>
        <w:rPr>
          <w:rFonts w:ascii="Times New Roman" w:eastAsia="Times New Roman" w:hAnsi="Times New Roman" w:cs="Times New Roman"/>
          <w:i/>
          <w:iCs/>
          <w:color w:val="0A5E5E"/>
          <w:sz w:val="22"/>
          <w:szCs w:val="22"/>
        </w:rPr>
        <w:t>Double</w:t>
      </w:r>
      <w:proofErr w:type="spellEnd"/>
      <w:r>
        <w:rPr>
          <w:rFonts w:ascii="Times New Roman" w:eastAsia="Times New Roman" w:hAnsi="Times New Roman" w:cs="Times New Roman"/>
          <w:i/>
          <w:iCs/>
          <w:color w:val="0A5E5E"/>
          <w:sz w:val="22"/>
          <w:szCs w:val="22"/>
        </w:rPr>
        <w:t xml:space="preserve"> </w:t>
      </w:r>
      <w:proofErr w:type="spellStart"/>
      <w:r>
        <w:rPr>
          <w:rFonts w:ascii="Times New Roman" w:eastAsia="Times New Roman" w:hAnsi="Times New Roman" w:cs="Times New Roman"/>
          <w:i/>
          <w:iCs/>
          <w:color w:val="0A5E5E"/>
          <w:sz w:val="22"/>
          <w:szCs w:val="22"/>
        </w:rPr>
        <w:t>Guilt</w:t>
      </w:r>
      <w:proofErr w:type="spellEnd"/>
      <w:r>
        <w:rPr>
          <w:rFonts w:ascii="Times New Roman" w:eastAsia="Times New Roman" w:hAnsi="Times New Roman" w:cs="Times New Roman"/>
          <w:i/>
          <w:iCs/>
          <w:color w:val="0A5E5E"/>
          <w:sz w:val="22"/>
          <w:szCs w:val="22"/>
        </w:rPr>
        <w:t>)</w:t>
      </w:r>
      <w:r>
        <w:rPr>
          <w:sz w:val="24"/>
          <w:szCs w:val="24"/>
        </w:rPr>
        <w:t xml:space="preserve">  </w:t>
      </w:r>
      <w:r>
        <w:rPr>
          <w:rFonts w:ascii="Times New Roman" w:eastAsia="Times New Roman" w:hAnsi="Times New Roman" w:cs="Times New Roman"/>
          <w:color w:val="9A7B1A"/>
          <w:sz w:val="20"/>
          <w:szCs w:val="20"/>
        </w:rPr>
        <w:t>[5]</w:t>
      </w:r>
    </w:p>
    <w:p w14:paraId="7CABC083" w14:textId="77777777" w:rsidR="00053B8D" w:rsidRDefault="003D1A67">
      <w:pPr>
        <w:spacing w:before="80" w:after="80" w:line="340" w:lineRule="auto"/>
        <w:ind w:right="720"/>
        <w:jc w:val="both"/>
        <w:rPr>
          <w:rFonts w:cs="Arial"/>
        </w:rPr>
      </w:pPr>
      <w:r>
        <w:t>من أبرز سمات الفصام الأخلاقي أن أي قرار يتخذه الفرد قد يُشعره بالذنب من جهة المنظومة الأخرى. فإن اختار الامتثال للقانون الوضعي (في مسألة الميراث مثلاً)، قد يشعر بذنب ديني لأنه خالف حكم الشريعة. وإن اختار الامتثال للشريعة، قد يشعر بذنب "اجتماعي" أو "حداثي". هذا الذنب المزدوج أكثر إرهاقاً للنفس من الذنب الأحادي، لأنه لا يترك للفرد ملاذاً آمناً.</w:t>
      </w:r>
    </w:p>
    <w:p w14:paraId="64054CE3" w14:textId="77777777" w:rsidR="00053B8D" w:rsidRDefault="00053B8D">
      <w:pPr>
        <w:spacing w:before="60" w:after="60"/>
        <w:rPr>
          <w:rFonts w:cs="Arial"/>
        </w:rPr>
      </w:pPr>
    </w:p>
    <w:p w14:paraId="3A637E80" w14:textId="77777777" w:rsidR="00053B8D" w:rsidRDefault="003D1A67">
      <w:pPr>
        <w:pBdr>
          <w:right w:val="single" w:sz="18" w:space="8" w:color="0D1B33"/>
        </w:pBdr>
        <w:shd w:val="clear" w:color="auto" w:fill="EBF0F8"/>
        <w:spacing w:before="200" w:after="80"/>
        <w:ind w:right="360"/>
        <w:jc w:val="right"/>
        <w:rPr>
          <w:rFonts w:cs="Arial"/>
        </w:rPr>
      </w:pPr>
      <w:r>
        <w:rPr>
          <w:b/>
          <w:bCs/>
          <w:color w:val="0D1B33"/>
          <w:sz w:val="28"/>
          <w:szCs w:val="28"/>
        </w:rPr>
        <w:t>3. تشتت الهوية</w:t>
      </w:r>
      <w:r>
        <w:rPr>
          <w:sz w:val="24"/>
          <w:szCs w:val="24"/>
        </w:rPr>
        <w:t xml:space="preserve">  </w:t>
      </w:r>
      <w:r>
        <w:rPr>
          <w:rFonts w:ascii="Times New Roman" w:eastAsia="Times New Roman" w:hAnsi="Times New Roman" w:cs="Times New Roman"/>
          <w:i/>
          <w:iCs/>
          <w:color w:val="0A5E5E"/>
          <w:sz w:val="22"/>
          <w:szCs w:val="22"/>
        </w:rPr>
        <w:t>(</w:t>
      </w:r>
      <w:proofErr w:type="spellStart"/>
      <w:r>
        <w:rPr>
          <w:rFonts w:ascii="Times New Roman" w:eastAsia="Times New Roman" w:hAnsi="Times New Roman" w:cs="Times New Roman"/>
          <w:i/>
          <w:iCs/>
          <w:color w:val="0A5E5E"/>
          <w:sz w:val="22"/>
          <w:szCs w:val="22"/>
        </w:rPr>
        <w:t>Identity</w:t>
      </w:r>
      <w:proofErr w:type="spellEnd"/>
      <w:r>
        <w:rPr>
          <w:rFonts w:ascii="Times New Roman" w:eastAsia="Times New Roman" w:hAnsi="Times New Roman" w:cs="Times New Roman"/>
          <w:i/>
          <w:iCs/>
          <w:color w:val="0A5E5E"/>
          <w:sz w:val="22"/>
          <w:szCs w:val="22"/>
        </w:rPr>
        <w:t xml:space="preserve"> </w:t>
      </w:r>
      <w:proofErr w:type="spellStart"/>
      <w:r>
        <w:rPr>
          <w:rFonts w:ascii="Times New Roman" w:eastAsia="Times New Roman" w:hAnsi="Times New Roman" w:cs="Times New Roman"/>
          <w:i/>
          <w:iCs/>
          <w:color w:val="0A5E5E"/>
          <w:sz w:val="22"/>
          <w:szCs w:val="22"/>
        </w:rPr>
        <w:t>Diffusion</w:t>
      </w:r>
      <w:proofErr w:type="spellEnd"/>
      <w:r>
        <w:rPr>
          <w:rFonts w:ascii="Times New Roman" w:eastAsia="Times New Roman" w:hAnsi="Times New Roman" w:cs="Times New Roman"/>
          <w:i/>
          <w:iCs/>
          <w:color w:val="0A5E5E"/>
          <w:sz w:val="22"/>
          <w:szCs w:val="22"/>
        </w:rPr>
        <w:t>)</w:t>
      </w:r>
      <w:r>
        <w:rPr>
          <w:sz w:val="24"/>
          <w:szCs w:val="24"/>
        </w:rPr>
        <w:t xml:space="preserve">  </w:t>
      </w:r>
      <w:r>
        <w:rPr>
          <w:rFonts w:ascii="Times New Roman" w:eastAsia="Times New Roman" w:hAnsi="Times New Roman" w:cs="Times New Roman"/>
          <w:color w:val="9A7B1A"/>
          <w:sz w:val="20"/>
          <w:szCs w:val="20"/>
        </w:rPr>
        <w:t>[6]</w:t>
      </w:r>
    </w:p>
    <w:p w14:paraId="15F8CCC5" w14:textId="77777777" w:rsidR="00053B8D" w:rsidRDefault="003D1A67">
      <w:pPr>
        <w:spacing w:before="80" w:after="80" w:line="340" w:lineRule="auto"/>
        <w:ind w:right="720"/>
        <w:jc w:val="both"/>
        <w:rPr>
          <w:rFonts w:cs="Arial"/>
        </w:rPr>
      </w:pPr>
      <w:r>
        <w:t>الهوية النفسية السليمة تحتاج إلى قدر معقول من الاتساق المعياري (</w:t>
      </w:r>
      <w:proofErr w:type="spellStart"/>
      <w:r>
        <w:t>Normative</w:t>
      </w:r>
      <w:proofErr w:type="spellEnd"/>
      <w:r>
        <w:t xml:space="preserve"> </w:t>
      </w:r>
      <w:proofErr w:type="spellStart"/>
      <w:r>
        <w:t>Consistency</w:t>
      </w:r>
      <w:proofErr w:type="spellEnd"/>
      <w:r>
        <w:t>). فعندما تكون المعايير التي تحكم السلوك متضاربة ومتناقضة، تصبح الهوية مشتتة غير متماسكة. والفرد في هذه الحالة لا يعرف إجابة حاسمة عن سؤال: من أنا حقاً؟ هذا التشتت في الهوية يعد مصدراً رئيساً للأزمات الوجودية، ويرتبط ارتباطاً وثيقاً باضطرابات الشخصية الحدية والنرجسية في بعض الحالات.</w:t>
      </w:r>
    </w:p>
    <w:p w14:paraId="04D453FF" w14:textId="77777777" w:rsidR="00053B8D" w:rsidRDefault="00053B8D">
      <w:pPr>
        <w:spacing w:before="60" w:after="60"/>
        <w:rPr>
          <w:rFonts w:cs="Arial"/>
        </w:rPr>
      </w:pPr>
    </w:p>
    <w:p w14:paraId="60A71A7A" w14:textId="77777777" w:rsidR="00053B8D" w:rsidRDefault="003D1A67">
      <w:pPr>
        <w:pBdr>
          <w:right w:val="single" w:sz="18" w:space="8" w:color="0D1B33"/>
        </w:pBdr>
        <w:shd w:val="clear" w:color="auto" w:fill="EBF0F8"/>
        <w:spacing w:before="200" w:after="80"/>
        <w:ind w:right="360"/>
        <w:jc w:val="right"/>
        <w:rPr>
          <w:rFonts w:cs="Arial"/>
        </w:rPr>
      </w:pPr>
      <w:r>
        <w:rPr>
          <w:b/>
          <w:bCs/>
          <w:color w:val="0D1B33"/>
          <w:sz w:val="28"/>
          <w:szCs w:val="28"/>
        </w:rPr>
        <w:t>4. العجز عن اتخاذ القرار</w:t>
      </w:r>
      <w:r>
        <w:rPr>
          <w:sz w:val="24"/>
          <w:szCs w:val="24"/>
        </w:rPr>
        <w:t xml:space="preserve">  </w:t>
      </w:r>
      <w:r>
        <w:rPr>
          <w:rFonts w:ascii="Times New Roman" w:eastAsia="Times New Roman" w:hAnsi="Times New Roman" w:cs="Times New Roman"/>
          <w:i/>
          <w:iCs/>
          <w:color w:val="0A5E5E"/>
          <w:sz w:val="22"/>
          <w:szCs w:val="22"/>
        </w:rPr>
        <w:t>(</w:t>
      </w:r>
      <w:proofErr w:type="spellStart"/>
      <w:r>
        <w:rPr>
          <w:rFonts w:ascii="Times New Roman" w:eastAsia="Times New Roman" w:hAnsi="Times New Roman" w:cs="Times New Roman"/>
          <w:i/>
          <w:iCs/>
          <w:color w:val="0A5E5E"/>
          <w:sz w:val="22"/>
          <w:szCs w:val="22"/>
        </w:rPr>
        <w:t>Decisional</w:t>
      </w:r>
      <w:proofErr w:type="spellEnd"/>
      <w:r>
        <w:rPr>
          <w:rFonts w:ascii="Times New Roman" w:eastAsia="Times New Roman" w:hAnsi="Times New Roman" w:cs="Times New Roman"/>
          <w:i/>
          <w:iCs/>
          <w:color w:val="0A5E5E"/>
          <w:sz w:val="22"/>
          <w:szCs w:val="22"/>
        </w:rPr>
        <w:t xml:space="preserve"> </w:t>
      </w:r>
      <w:proofErr w:type="spellStart"/>
      <w:r>
        <w:rPr>
          <w:rFonts w:ascii="Times New Roman" w:eastAsia="Times New Roman" w:hAnsi="Times New Roman" w:cs="Times New Roman"/>
          <w:i/>
          <w:iCs/>
          <w:color w:val="0A5E5E"/>
          <w:sz w:val="22"/>
          <w:szCs w:val="22"/>
        </w:rPr>
        <w:t>Paralysis</w:t>
      </w:r>
      <w:proofErr w:type="spellEnd"/>
      <w:r>
        <w:rPr>
          <w:rFonts w:ascii="Times New Roman" w:eastAsia="Times New Roman" w:hAnsi="Times New Roman" w:cs="Times New Roman"/>
          <w:i/>
          <w:iCs/>
          <w:color w:val="0A5E5E"/>
          <w:sz w:val="22"/>
          <w:szCs w:val="22"/>
        </w:rPr>
        <w:t>)</w:t>
      </w:r>
      <w:r>
        <w:rPr>
          <w:sz w:val="24"/>
          <w:szCs w:val="24"/>
        </w:rPr>
        <w:t xml:space="preserve">  </w:t>
      </w:r>
      <w:r>
        <w:rPr>
          <w:rFonts w:ascii="Times New Roman" w:eastAsia="Times New Roman" w:hAnsi="Times New Roman" w:cs="Times New Roman"/>
          <w:color w:val="9A7B1A"/>
          <w:sz w:val="20"/>
          <w:szCs w:val="20"/>
        </w:rPr>
        <w:t>[7]</w:t>
      </w:r>
    </w:p>
    <w:p w14:paraId="05AFA70C" w14:textId="77777777" w:rsidR="00053B8D" w:rsidRDefault="003D1A67">
      <w:pPr>
        <w:spacing w:before="80" w:after="80" w:line="340" w:lineRule="auto"/>
        <w:ind w:right="720"/>
        <w:jc w:val="both"/>
        <w:rPr>
          <w:rFonts w:cs="Arial"/>
        </w:rPr>
      </w:pPr>
      <w:r>
        <w:t>في غياب معيار مرجعي واضح ومقبول داخلياً، يصبح اتخاذ أي قرار – خاصة في المسائل الأخلاقية – عملية مؤلمة ومعطلة. وهذا العجز قد يتجلى في عدة أشكال: التسويف المزمن (</w:t>
      </w:r>
      <w:proofErr w:type="spellStart"/>
      <w:r>
        <w:t>Procrastination</w:t>
      </w:r>
      <w:proofErr w:type="spellEnd"/>
      <w:r>
        <w:t>)، أو تجنب المواقف التي تتطلب قرارات أخلاقية، أو الاندفاع العشوائي دون وعي لتجنب ألم التردد. وكل هذه الأنماط السلوكية تزيد من مشاعر الفشل والإحباط.</w:t>
      </w:r>
    </w:p>
    <w:p w14:paraId="3EA819FA" w14:textId="77777777" w:rsidR="00053B8D" w:rsidRDefault="00053B8D">
      <w:pPr>
        <w:spacing w:before="60" w:after="60"/>
        <w:rPr>
          <w:rFonts w:cs="Arial"/>
        </w:rPr>
      </w:pPr>
    </w:p>
    <w:p w14:paraId="51F96283" w14:textId="77777777" w:rsidR="00053B8D" w:rsidRDefault="003D1A67">
      <w:pPr>
        <w:pBdr>
          <w:right w:val="single" w:sz="18" w:space="8" w:color="0D1B33"/>
        </w:pBdr>
        <w:shd w:val="clear" w:color="auto" w:fill="EBF0F8"/>
        <w:spacing w:before="200" w:after="80"/>
        <w:ind w:right="360"/>
        <w:jc w:val="right"/>
        <w:rPr>
          <w:rFonts w:cs="Arial"/>
        </w:rPr>
      </w:pPr>
      <w:r>
        <w:rPr>
          <w:b/>
          <w:bCs/>
          <w:color w:val="0D1B33"/>
          <w:sz w:val="28"/>
          <w:szCs w:val="28"/>
        </w:rPr>
        <w:t>5. الإحساس بالخيانة المزدوجة</w:t>
      </w:r>
      <w:r>
        <w:rPr>
          <w:sz w:val="24"/>
          <w:szCs w:val="24"/>
        </w:rPr>
        <w:t xml:space="preserve">  </w:t>
      </w:r>
      <w:r>
        <w:rPr>
          <w:rFonts w:ascii="Times New Roman" w:eastAsia="Times New Roman" w:hAnsi="Times New Roman" w:cs="Times New Roman"/>
          <w:i/>
          <w:iCs/>
          <w:color w:val="0A5E5E"/>
          <w:sz w:val="22"/>
          <w:szCs w:val="22"/>
        </w:rPr>
        <w:t>(</w:t>
      </w:r>
      <w:proofErr w:type="spellStart"/>
      <w:r>
        <w:rPr>
          <w:rFonts w:ascii="Times New Roman" w:eastAsia="Times New Roman" w:hAnsi="Times New Roman" w:cs="Times New Roman"/>
          <w:i/>
          <w:iCs/>
          <w:color w:val="0A5E5E"/>
          <w:sz w:val="22"/>
          <w:szCs w:val="22"/>
        </w:rPr>
        <w:t>Double</w:t>
      </w:r>
      <w:proofErr w:type="spellEnd"/>
      <w:r>
        <w:rPr>
          <w:rFonts w:ascii="Times New Roman" w:eastAsia="Times New Roman" w:hAnsi="Times New Roman" w:cs="Times New Roman"/>
          <w:i/>
          <w:iCs/>
          <w:color w:val="0A5E5E"/>
          <w:sz w:val="22"/>
          <w:szCs w:val="22"/>
        </w:rPr>
        <w:t xml:space="preserve"> </w:t>
      </w:r>
      <w:proofErr w:type="spellStart"/>
      <w:r>
        <w:rPr>
          <w:rFonts w:ascii="Times New Roman" w:eastAsia="Times New Roman" w:hAnsi="Times New Roman" w:cs="Times New Roman"/>
          <w:i/>
          <w:iCs/>
          <w:color w:val="0A5E5E"/>
          <w:sz w:val="22"/>
          <w:szCs w:val="22"/>
        </w:rPr>
        <w:t>Betrayal</w:t>
      </w:r>
      <w:proofErr w:type="spellEnd"/>
      <w:r>
        <w:rPr>
          <w:rFonts w:ascii="Times New Roman" w:eastAsia="Times New Roman" w:hAnsi="Times New Roman" w:cs="Times New Roman"/>
          <w:i/>
          <w:iCs/>
          <w:color w:val="0A5E5E"/>
          <w:sz w:val="22"/>
          <w:szCs w:val="22"/>
        </w:rPr>
        <w:t>)</w:t>
      </w:r>
      <w:r>
        <w:rPr>
          <w:sz w:val="24"/>
          <w:szCs w:val="24"/>
        </w:rPr>
        <w:t xml:space="preserve">  </w:t>
      </w:r>
      <w:r>
        <w:rPr>
          <w:rFonts w:ascii="Times New Roman" w:eastAsia="Times New Roman" w:hAnsi="Times New Roman" w:cs="Times New Roman"/>
          <w:color w:val="9A7B1A"/>
          <w:sz w:val="20"/>
          <w:szCs w:val="20"/>
        </w:rPr>
        <w:t>[8]</w:t>
      </w:r>
    </w:p>
    <w:p w14:paraId="67451B7F" w14:textId="77777777" w:rsidR="00053B8D" w:rsidRDefault="003D1A67">
      <w:pPr>
        <w:spacing w:before="80" w:after="80" w:line="340" w:lineRule="auto"/>
        <w:ind w:right="720"/>
        <w:jc w:val="both"/>
        <w:rPr>
          <w:rFonts w:cs="Arial"/>
        </w:rPr>
      </w:pPr>
      <w:r>
        <w:t>الفرد الذي يعيش الفصام الأخلاقي قد يشعر في أعماقه أنه يخون المنظومتين معاً. فهو يخون الإسلام حين يضطر للامتثال للقانون الوضعي، ويخون الحداثة وقيمها حين يتمسك ببعض الأحكام الإسلامية. وهذا الإحساس بالخيانة المزدوجة – أي أنك خائن أينما توجهت – يغذي عُقدة الذنب المرضية بشكل عميق، ويجعل التسامح مع الذات مهمة شبه مستحيلة.</w:t>
      </w:r>
    </w:p>
    <w:p w14:paraId="613CC428" w14:textId="77777777" w:rsidR="00053B8D" w:rsidRDefault="00053B8D">
      <w:pPr>
        <w:spacing w:before="60" w:after="60"/>
        <w:rPr>
          <w:rFonts w:cs="Arial"/>
        </w:rPr>
      </w:pPr>
    </w:p>
    <w:p w14:paraId="733E1762" w14:textId="77777777" w:rsidR="00053B8D" w:rsidRDefault="00053B8D">
      <w:pPr>
        <w:pBdr>
          <w:bottom w:val="single" w:sz="6" w:space="1" w:color="0A5E5E"/>
        </w:pBdr>
        <w:spacing w:before="80" w:after="80"/>
        <w:rPr>
          <w:rFonts w:cs="Arial"/>
        </w:rPr>
      </w:pPr>
    </w:p>
    <w:p w14:paraId="3013F72D" w14:textId="680EC25F" w:rsidR="00053B8D" w:rsidRDefault="003D1A67">
      <w:pPr>
        <w:pageBreakBefore/>
        <w:pBdr>
          <w:bottom w:val="single" w:sz="8" w:space="4" w:color="9A7B1A"/>
        </w:pBdr>
        <w:shd w:val="clear" w:color="auto" w:fill="0D1B33"/>
        <w:spacing w:before="480" w:after="240"/>
        <w:jc w:val="center"/>
        <w:rPr>
          <w:rFonts w:cs="Arial"/>
        </w:rPr>
      </w:pPr>
      <w:r>
        <w:rPr>
          <w:b/>
          <w:bCs/>
          <w:color w:val="FFFFFF"/>
          <w:sz w:val="44"/>
          <w:szCs w:val="44"/>
        </w:rPr>
        <w:t xml:space="preserve">ثانياً: الفصام الأخلاقي في ضوء مفاهيم </w:t>
      </w:r>
      <w:r w:rsidR="00CF665B">
        <w:rPr>
          <w:rFonts w:hint="cs"/>
          <w:b/>
          <w:bCs/>
          <w:color w:val="FFFFFF"/>
          <w:sz w:val="44"/>
          <w:szCs w:val="44"/>
          <w:rtl w:val="0"/>
          <w:lang w:bidi="ar-EG"/>
        </w:rPr>
        <w:t>T</w:t>
      </w:r>
      <w:r w:rsidR="00C56B15">
        <w:rPr>
          <w:rFonts w:hint="cs"/>
          <w:b/>
          <w:bCs/>
          <w:color w:val="FFFFFF"/>
          <w:sz w:val="44"/>
          <w:szCs w:val="44"/>
          <w:rtl w:val="0"/>
          <w:lang w:bidi="ar-EG"/>
        </w:rPr>
        <w:t xml:space="preserve">LRT </w:t>
      </w:r>
    </w:p>
    <w:p w14:paraId="08FE3478" w14:textId="77777777" w:rsidR="00053B8D" w:rsidRDefault="00053B8D">
      <w:pPr>
        <w:spacing w:before="60" w:after="60"/>
        <w:rPr>
          <w:rFonts w:cs="Arial"/>
        </w:rPr>
      </w:pPr>
    </w:p>
    <w:p w14:paraId="1B2F9F23" w14:textId="6A4B6055" w:rsidR="00053B8D" w:rsidRDefault="003D1A67">
      <w:pPr>
        <w:spacing w:before="80" w:after="80" w:line="340" w:lineRule="auto"/>
        <w:ind w:right="360"/>
        <w:jc w:val="both"/>
        <w:rPr>
          <w:rFonts w:cs="Arial"/>
        </w:rPr>
      </w:pPr>
      <w:r>
        <w:t>كيف يمكن لنظرية العلاج بحرث المصالحة التحويلية (</w:t>
      </w:r>
      <w:r w:rsidR="00C56B15">
        <w:rPr>
          <w:rFonts w:hint="cs"/>
          <w:rtl w:val="0"/>
          <w:lang w:bidi="ar-EG"/>
        </w:rPr>
        <w:t>TLRT</w:t>
      </w:r>
      <w:r>
        <w:t>)، بأدواتها التشخيصية والعلاجية، أن تستوعب إشكالية الفصام الأخلاقي وتحولها من مصدر للألم والعجز إلى أداة للنمو والتكامل؟ هذا ما سنفصله في المحاور الآتية:</w:t>
      </w:r>
    </w:p>
    <w:p w14:paraId="0CF8B665" w14:textId="77777777" w:rsidR="00053B8D" w:rsidRDefault="00053B8D">
      <w:pPr>
        <w:spacing w:before="60" w:after="60"/>
        <w:rPr>
          <w:rFonts w:cs="Arial"/>
        </w:rPr>
      </w:pPr>
    </w:p>
    <w:p w14:paraId="3C79E867" w14:textId="77777777" w:rsidR="00053B8D" w:rsidRDefault="003D1A67">
      <w:pPr>
        <w:spacing w:before="200" w:after="100"/>
        <w:jc w:val="right"/>
        <w:rPr>
          <w:rFonts w:cs="Arial"/>
        </w:rPr>
      </w:pPr>
      <w:r>
        <w:rPr>
          <w:b/>
          <w:bCs/>
          <w:color w:val="1A3A6B"/>
        </w:rPr>
        <w:t>2.1  إعادة قراءة "النفس اللوامة" في سياق الفصام الأخلاقي</w:t>
      </w:r>
    </w:p>
    <w:p w14:paraId="2BD59B99" w14:textId="77777777" w:rsidR="00053B8D" w:rsidRDefault="00053B8D">
      <w:pPr>
        <w:spacing w:before="60" w:after="60"/>
        <w:rPr>
          <w:rFonts w:cs="Arial"/>
        </w:rPr>
      </w:pPr>
    </w:p>
    <w:p w14:paraId="3CBF10CD" w14:textId="77777777" w:rsidR="00053B8D" w:rsidRDefault="003D1A67">
      <w:pPr>
        <w:spacing w:before="80" w:after="80" w:line="340" w:lineRule="auto"/>
        <w:ind w:right="360"/>
        <w:jc w:val="both"/>
        <w:rPr>
          <w:rFonts w:cs="Arial"/>
        </w:rPr>
      </w:pPr>
      <w:r>
        <w:t xml:space="preserve">في الفصول السابقة، عرّفنا "النفس اللوامة" بأنها تلك القوة الداخلية التي تلوم صاحبها على الخطأ والتقصير، والتي تمثل البوابة الحاسمة للتحول من النفس الأمارة إلى النفس المطمئنة. </w:t>
      </w:r>
      <w:r>
        <w:rPr>
          <w:rFonts w:ascii="Times New Roman" w:eastAsia="Times New Roman" w:hAnsi="Times New Roman" w:cs="Times New Roman"/>
          <w:color w:val="9A7B1A"/>
          <w:sz w:val="22"/>
          <w:szCs w:val="22"/>
        </w:rPr>
        <w:t>[9]</w:t>
      </w:r>
    </w:p>
    <w:p w14:paraId="08F4689C" w14:textId="77777777" w:rsidR="00053B8D" w:rsidRDefault="00053B8D">
      <w:pPr>
        <w:spacing w:before="60" w:after="60"/>
        <w:rPr>
          <w:rFonts w:cs="Arial"/>
        </w:rPr>
      </w:pPr>
    </w:p>
    <w:p w14:paraId="235DDDDF" w14:textId="77777777" w:rsidR="00053B8D" w:rsidRDefault="003D1A67">
      <w:pPr>
        <w:spacing w:before="80" w:after="80" w:line="340" w:lineRule="auto"/>
        <w:ind w:right="360"/>
        <w:jc w:val="both"/>
        <w:rPr>
          <w:rFonts w:cs="Arial"/>
        </w:rPr>
      </w:pPr>
      <w:r>
        <w:t>غير أن هذه النفس اللوامة تصبح في سياق الفصام الأخلاقي أكثر تعقيداً وإرهاقاً: إنها تلوم صاحبها على كل حال، لأن أي خيار يتخذه سيترك ندوباً من المنظومة الأخرى التي لم يخترها. فإذا اختار المسلم الامتثال للقانون الوضعي، لامته نفسه من جهة الدين. وإذا اختار الامتثال للشريعة، لامته نفسه من جهة العصر ومتطلباته.</w:t>
      </w:r>
    </w:p>
    <w:p w14:paraId="63158C80" w14:textId="77777777" w:rsidR="00053B8D" w:rsidRDefault="00053B8D">
      <w:pPr>
        <w:spacing w:before="60" w:after="60"/>
        <w:rPr>
          <w:rFonts w:cs="Arial"/>
        </w:rPr>
      </w:pPr>
    </w:p>
    <w:p w14:paraId="4CBBF832" w14:textId="77777777" w:rsidR="00053B8D" w:rsidRDefault="003D1A67">
      <w:pPr>
        <w:spacing w:before="80" w:after="80" w:line="340" w:lineRule="auto"/>
        <w:ind w:right="360"/>
        <w:jc w:val="both"/>
        <w:rPr>
          <w:rFonts w:cs="Arial"/>
        </w:rPr>
      </w:pPr>
      <w:r>
        <w:t xml:space="preserve">وهذا يفسر لنا لماذا يعاني بعض المرضى من ذنب مزمن وشامل، على الرغم من أن أفعالهم الظاهرية قد تبدو "طبيعية" أو "مقبولة" في نظر المجتمع المحيط. إنهم يعيشون في جحيم المعايير المتضاربة، حيث لا مفر من الشعور بالذنب، وحيث تصبح النفس اللوامة سجاناً لا مرشداً. </w:t>
      </w:r>
      <w:r>
        <w:rPr>
          <w:rFonts w:ascii="Times New Roman" w:eastAsia="Times New Roman" w:hAnsi="Times New Roman" w:cs="Times New Roman"/>
          <w:color w:val="9A7B1A"/>
          <w:sz w:val="22"/>
          <w:szCs w:val="22"/>
        </w:rPr>
        <w:t>[10]</w:t>
      </w:r>
    </w:p>
    <w:p w14:paraId="622D6D01" w14:textId="77777777" w:rsidR="00053B8D" w:rsidRDefault="00053B8D">
      <w:pPr>
        <w:spacing w:before="60" w:after="60"/>
        <w:rPr>
          <w:rFonts w:cs="Arial"/>
        </w:rPr>
      </w:pPr>
    </w:p>
    <w:p w14:paraId="03BBAD36" w14:textId="77777777" w:rsidR="00053B8D" w:rsidRDefault="003D1A67">
      <w:pPr>
        <w:spacing w:before="200" w:after="100"/>
        <w:jc w:val="right"/>
        <w:rPr>
          <w:rFonts w:cs="Arial"/>
        </w:rPr>
      </w:pPr>
      <w:r>
        <w:rPr>
          <w:b/>
          <w:bCs/>
          <w:color w:val="1A3A6B"/>
        </w:rPr>
        <w:t>2.2  "خريطة الدين النفسي" الموسّعة: تشخيص الازدواجية</w:t>
      </w:r>
    </w:p>
    <w:p w14:paraId="51F0AF08" w14:textId="77777777" w:rsidR="00053B8D" w:rsidRDefault="00053B8D">
      <w:pPr>
        <w:spacing w:before="60" w:after="60"/>
        <w:rPr>
          <w:rFonts w:cs="Arial"/>
        </w:rPr>
      </w:pPr>
    </w:p>
    <w:p w14:paraId="1977AB83" w14:textId="77777777" w:rsidR="00053B8D" w:rsidRDefault="003D1A67">
      <w:pPr>
        <w:spacing w:before="80" w:after="80" w:line="340" w:lineRule="auto"/>
        <w:ind w:right="360"/>
        <w:jc w:val="both"/>
        <w:rPr>
          <w:rFonts w:cs="Arial"/>
        </w:rPr>
      </w:pPr>
      <w:r>
        <w:t xml:space="preserve">قدمنا في مرحلة التشخيص الوجودي أداة "خريطة الدين النفسي" للتمييز بين الديون النفسية الحقيقية والديون الوهمية. </w:t>
      </w:r>
      <w:r>
        <w:rPr>
          <w:rFonts w:ascii="Times New Roman" w:eastAsia="Times New Roman" w:hAnsi="Times New Roman" w:cs="Times New Roman"/>
          <w:color w:val="9A7B1A"/>
          <w:sz w:val="22"/>
          <w:szCs w:val="22"/>
        </w:rPr>
        <w:t>[11]</w:t>
      </w:r>
      <w:r>
        <w:t xml:space="preserve"> وفي سياق الفصام الأخلاقي، يمكننا توسيع هذه الخريطة لتشمل مستويات جديدة من التحليل:</w:t>
      </w:r>
    </w:p>
    <w:p w14:paraId="1EFB7FC2" w14:textId="77777777" w:rsidR="00053B8D" w:rsidRDefault="00053B8D">
      <w:pPr>
        <w:spacing w:before="60" w:after="60"/>
        <w:rPr>
          <w:rFonts w:cs="Arial"/>
        </w:rPr>
      </w:pPr>
    </w:p>
    <w:p w14:paraId="3160EDAD" w14:textId="77777777" w:rsidR="00053B8D" w:rsidRDefault="003D1A67">
      <w:pPr>
        <w:spacing w:before="60" w:after="60" w:line="320" w:lineRule="auto"/>
        <w:ind w:left="360" w:right="720" w:hanging="360"/>
        <w:jc w:val="both"/>
        <w:rPr>
          <w:rFonts w:cs="Arial"/>
        </w:rPr>
      </w:pPr>
      <w:r>
        <w:rPr>
          <w:b/>
          <w:bCs/>
          <w:color w:val="0A5E5E"/>
        </w:rPr>
        <w:t xml:space="preserve">● </w:t>
      </w:r>
      <w:r>
        <w:t>الديون تجاه المنظومة الإسلامية: ما الذي يشعر المريض أنه مدين به لله وللتراث الإسلامي ولأحكام الشريعة؟ (مثل: التزامات تعبدية، أخلاقيات إسلامية، أحكام فقهية).</w:t>
      </w:r>
    </w:p>
    <w:p w14:paraId="6E8AC22A" w14:textId="77777777" w:rsidR="00053B8D" w:rsidRDefault="00053B8D">
      <w:pPr>
        <w:spacing w:before="60" w:after="60"/>
        <w:rPr>
          <w:rFonts w:cs="Arial"/>
        </w:rPr>
      </w:pPr>
    </w:p>
    <w:p w14:paraId="5C47A790" w14:textId="77777777" w:rsidR="00053B8D" w:rsidRDefault="003D1A67">
      <w:pPr>
        <w:spacing w:before="60" w:after="60" w:line="320" w:lineRule="auto"/>
        <w:ind w:left="360" w:right="720" w:hanging="360"/>
        <w:jc w:val="both"/>
        <w:rPr>
          <w:rFonts w:cs="Arial"/>
        </w:rPr>
      </w:pPr>
      <w:r>
        <w:rPr>
          <w:b/>
          <w:bCs/>
          <w:color w:val="0A5E5E"/>
        </w:rPr>
        <w:t xml:space="preserve">● </w:t>
      </w:r>
      <w:r>
        <w:t>الديون تجاه المنظومة العلمانية: ما الذي يشعر المريض أنه مدين به للمجتمع الحديث ولقيم المواطنة والقانون الوضعي؟ (مثل: الالتزام بالقوانين، احترام الحريات الفردية، قيم المساواة).</w:t>
      </w:r>
    </w:p>
    <w:p w14:paraId="43F42524" w14:textId="77777777" w:rsidR="00053B8D" w:rsidRDefault="00053B8D">
      <w:pPr>
        <w:spacing w:before="60" w:after="60"/>
        <w:rPr>
          <w:rFonts w:cs="Arial"/>
        </w:rPr>
      </w:pPr>
    </w:p>
    <w:p w14:paraId="0841AA27" w14:textId="77777777" w:rsidR="00053B8D" w:rsidRDefault="003D1A67">
      <w:pPr>
        <w:spacing w:before="60" w:after="60" w:line="320" w:lineRule="auto"/>
        <w:ind w:left="360" w:right="720" w:hanging="360"/>
        <w:jc w:val="both"/>
        <w:rPr>
          <w:rFonts w:cs="Arial"/>
        </w:rPr>
      </w:pPr>
      <w:r>
        <w:rPr>
          <w:b/>
          <w:bCs/>
          <w:color w:val="0A5E5E"/>
        </w:rPr>
        <w:t xml:space="preserve">● </w:t>
      </w:r>
      <w:r>
        <w:t>الديون المتضاربة: كيف يتعامل المريض عندما يكون سداد دين لجهة ما يعني – بالضرورة – إهمال دين للجهة الأخرى؟ وما هي المشاعر المصاحبة لهذا التضارب؟ (مثل: ذنب، حيرة، غضب، استياء).</w:t>
      </w:r>
    </w:p>
    <w:p w14:paraId="5A294600" w14:textId="77777777" w:rsidR="00053B8D" w:rsidRDefault="00053B8D">
      <w:pPr>
        <w:spacing w:before="60" w:after="60"/>
        <w:rPr>
          <w:rFonts w:cs="Arial"/>
        </w:rPr>
      </w:pPr>
    </w:p>
    <w:p w14:paraId="7C6F51CD" w14:textId="77777777" w:rsidR="00053B8D" w:rsidRDefault="003D1A67">
      <w:pPr>
        <w:spacing w:before="80" w:after="80" w:line="340" w:lineRule="auto"/>
        <w:ind w:right="360"/>
        <w:jc w:val="both"/>
        <w:rPr>
          <w:rFonts w:cs="Arial"/>
        </w:rPr>
      </w:pPr>
      <w:r>
        <w:t xml:space="preserve">هذه الخريطة الموسعة تساعد المريض والمعالج معاً على رؤية الصراع بوضوح، وعلى تمييز الديون الحقيقية من الديون المستحيلة. وهذا التمييز وحده يمكن أن يكون بداية للتحرر من عبء الذنب المستحيل. </w:t>
      </w:r>
      <w:r>
        <w:rPr>
          <w:rFonts w:ascii="Times New Roman" w:eastAsia="Times New Roman" w:hAnsi="Times New Roman" w:cs="Times New Roman"/>
          <w:color w:val="9A7B1A"/>
          <w:sz w:val="22"/>
          <w:szCs w:val="22"/>
        </w:rPr>
        <w:t>[12]</w:t>
      </w:r>
    </w:p>
    <w:p w14:paraId="55A22393" w14:textId="77777777" w:rsidR="00053B8D" w:rsidRDefault="00053B8D">
      <w:pPr>
        <w:spacing w:before="60" w:after="60"/>
        <w:rPr>
          <w:rFonts w:cs="Arial"/>
        </w:rPr>
      </w:pPr>
    </w:p>
    <w:p w14:paraId="483BB337" w14:textId="77777777" w:rsidR="00053B8D" w:rsidRDefault="003D1A67">
      <w:pPr>
        <w:spacing w:before="200" w:after="100"/>
        <w:jc w:val="right"/>
        <w:rPr>
          <w:rFonts w:cs="Arial"/>
        </w:rPr>
      </w:pPr>
      <w:r>
        <w:rPr>
          <w:b/>
          <w:bCs/>
          <w:color w:val="1A3A6B"/>
        </w:rPr>
        <w:t>2.3  إعادة بناء صورة الله في سياق الأزمة المعيارية</w:t>
      </w:r>
    </w:p>
    <w:p w14:paraId="355725A4" w14:textId="77777777" w:rsidR="00053B8D" w:rsidRDefault="00053B8D">
      <w:pPr>
        <w:spacing w:before="60" w:after="60"/>
        <w:rPr>
          <w:rFonts w:cs="Arial"/>
        </w:rPr>
      </w:pPr>
    </w:p>
    <w:p w14:paraId="6B4BC431" w14:textId="77777777" w:rsidR="00053B8D" w:rsidRDefault="003D1A67">
      <w:pPr>
        <w:spacing w:before="80" w:after="80" w:line="340" w:lineRule="auto"/>
        <w:ind w:right="360"/>
        <w:jc w:val="both"/>
        <w:rPr>
          <w:rFonts w:cs="Arial"/>
        </w:rPr>
      </w:pPr>
      <w:r>
        <w:t xml:space="preserve">في مرحلة إعادة بناء صورة الله، نركز على تصحيح </w:t>
      </w:r>
      <w:proofErr w:type="spellStart"/>
      <w:r>
        <w:t>التمثلات</w:t>
      </w:r>
      <w:proofErr w:type="spellEnd"/>
      <w:r>
        <w:t xml:space="preserve"> الداخلية المشوهة للإله، والانتقال من صورة "الإله المعاقب" إلى "الرب الرحيم الشاهد". </w:t>
      </w:r>
      <w:r>
        <w:rPr>
          <w:rFonts w:ascii="Times New Roman" w:eastAsia="Times New Roman" w:hAnsi="Times New Roman" w:cs="Times New Roman"/>
          <w:color w:val="9A7B1A"/>
          <w:sz w:val="22"/>
          <w:szCs w:val="22"/>
        </w:rPr>
        <w:t>[13]</w:t>
      </w:r>
      <w:r>
        <w:t xml:space="preserve"> وفي سياق الفصام الأخلاقي، قد تكون صورة الله مشوهة بطرق خاصة ومعقدة:</w:t>
      </w:r>
    </w:p>
    <w:p w14:paraId="54B26DCE" w14:textId="77777777" w:rsidR="00053B8D" w:rsidRDefault="00053B8D">
      <w:pPr>
        <w:spacing w:before="60" w:after="60"/>
        <w:rPr>
          <w:rFonts w:cs="Arial"/>
        </w:rPr>
      </w:pP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6600"/>
      </w:tblGrid>
      <w:tr w:rsidR="00053B8D" w14:paraId="3ABB7DE8" w14:textId="77777777">
        <w:tc>
          <w:tcPr>
            <w:tcW w:w="2200" w:type="dxa"/>
            <w:tcBorders>
              <w:top w:val="single" w:sz="1" w:space="0" w:color="0A5E5E"/>
              <w:left w:val="single" w:sz="1" w:space="0" w:color="0A5E5E"/>
              <w:bottom w:val="single" w:sz="1" w:space="0" w:color="0A5E5E"/>
              <w:right w:val="none" w:sz="0" w:space="0" w:color="FFFFFF"/>
            </w:tcBorders>
            <w:shd w:val="clear" w:color="auto" w:fill="0A5E5E"/>
            <w:tcMar>
              <w:top w:w="100" w:type="dxa"/>
              <w:left w:w="120" w:type="dxa"/>
              <w:bottom w:w="100" w:type="dxa"/>
              <w:right w:w="120" w:type="dxa"/>
            </w:tcMar>
            <w:vAlign w:val="center"/>
          </w:tcPr>
          <w:p w14:paraId="5C2B6827" w14:textId="77777777" w:rsidR="00053B8D" w:rsidRDefault="003D1A67">
            <w:pPr>
              <w:jc w:val="center"/>
              <w:rPr>
                <w:rFonts w:cs="Arial"/>
              </w:rPr>
            </w:pPr>
            <w:r>
              <w:rPr>
                <w:b/>
                <w:bCs/>
                <w:color w:val="FFFFFF"/>
                <w:sz w:val="24"/>
                <w:szCs w:val="24"/>
              </w:rPr>
              <w:t>الله بوصفه قاضياً علمانياً</w:t>
            </w:r>
          </w:p>
        </w:tc>
        <w:tc>
          <w:tcPr>
            <w:tcW w:w="6600" w:type="dxa"/>
            <w:tcBorders>
              <w:top w:val="single" w:sz="1" w:space="0" w:color="0A5E5E"/>
              <w:left w:val="none" w:sz="0" w:space="0" w:color="FFFFFF"/>
              <w:bottom w:val="single" w:sz="1" w:space="0" w:color="0A5E5E"/>
              <w:right w:val="single" w:sz="1" w:space="0" w:color="0A5E5E"/>
            </w:tcBorders>
            <w:shd w:val="clear" w:color="auto" w:fill="E8F4F4"/>
            <w:tcMar>
              <w:top w:w="100" w:type="dxa"/>
              <w:left w:w="200" w:type="dxa"/>
              <w:bottom w:w="100" w:type="dxa"/>
              <w:right w:w="200" w:type="dxa"/>
            </w:tcMar>
          </w:tcPr>
          <w:p w14:paraId="084784BA" w14:textId="77777777" w:rsidR="00053B8D" w:rsidRDefault="003D1A67">
            <w:pPr>
              <w:jc w:val="both"/>
              <w:rPr>
                <w:rFonts w:cs="Arial"/>
              </w:rPr>
            </w:pPr>
            <w:r>
              <w:rPr>
                <w:sz w:val="24"/>
                <w:szCs w:val="24"/>
              </w:rPr>
              <w:t>قد يُسقط المريض على الله صورة القانون الوضعي المحايد، فيتصوره ككيان مجرد لا يهتم إلا بتطبيق القوانين بشكل آلي، دون رحمة أو نظر إلى الظروف والبواعث.</w:t>
            </w:r>
          </w:p>
        </w:tc>
      </w:tr>
    </w:tbl>
    <w:p w14:paraId="45D9F8CF" w14:textId="77777777" w:rsidR="00053B8D" w:rsidRDefault="00053B8D">
      <w:pPr>
        <w:spacing w:before="60" w:after="60"/>
        <w:rPr>
          <w:rFonts w:cs="Arial"/>
        </w:rPr>
      </w:pP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6600"/>
      </w:tblGrid>
      <w:tr w:rsidR="00053B8D" w14:paraId="659CC07A" w14:textId="77777777">
        <w:tc>
          <w:tcPr>
            <w:tcW w:w="2200" w:type="dxa"/>
            <w:tcBorders>
              <w:top w:val="single" w:sz="1" w:space="0" w:color="0A5E5E"/>
              <w:left w:val="single" w:sz="1" w:space="0" w:color="0A5E5E"/>
              <w:bottom w:val="single" w:sz="1" w:space="0" w:color="0A5E5E"/>
              <w:right w:val="none" w:sz="0" w:space="0" w:color="FFFFFF"/>
            </w:tcBorders>
            <w:shd w:val="clear" w:color="auto" w:fill="0A5E5E"/>
            <w:tcMar>
              <w:top w:w="100" w:type="dxa"/>
              <w:left w:w="120" w:type="dxa"/>
              <w:bottom w:w="100" w:type="dxa"/>
              <w:right w:w="120" w:type="dxa"/>
            </w:tcMar>
            <w:vAlign w:val="center"/>
          </w:tcPr>
          <w:p w14:paraId="562AFAA2" w14:textId="77777777" w:rsidR="00053B8D" w:rsidRDefault="003D1A67">
            <w:pPr>
              <w:jc w:val="center"/>
              <w:rPr>
                <w:rFonts w:cs="Arial"/>
              </w:rPr>
            </w:pPr>
            <w:r>
              <w:rPr>
                <w:b/>
                <w:bCs/>
                <w:color w:val="FFFFFF"/>
                <w:sz w:val="24"/>
                <w:szCs w:val="24"/>
              </w:rPr>
              <w:t>الله بوصفه قاضياً إسلامياً صارماً</w:t>
            </w:r>
          </w:p>
        </w:tc>
        <w:tc>
          <w:tcPr>
            <w:tcW w:w="6600" w:type="dxa"/>
            <w:tcBorders>
              <w:top w:val="single" w:sz="1" w:space="0" w:color="0A5E5E"/>
              <w:left w:val="none" w:sz="0" w:space="0" w:color="FFFFFF"/>
              <w:bottom w:val="single" w:sz="1" w:space="0" w:color="0A5E5E"/>
              <w:right w:val="single" w:sz="1" w:space="0" w:color="0A5E5E"/>
            </w:tcBorders>
            <w:shd w:val="clear" w:color="auto" w:fill="E8F4F4"/>
            <w:tcMar>
              <w:top w:w="100" w:type="dxa"/>
              <w:left w:w="200" w:type="dxa"/>
              <w:bottom w:w="100" w:type="dxa"/>
              <w:right w:w="200" w:type="dxa"/>
            </w:tcMar>
          </w:tcPr>
          <w:p w14:paraId="49DE0619" w14:textId="77777777" w:rsidR="00053B8D" w:rsidRDefault="003D1A67">
            <w:pPr>
              <w:jc w:val="both"/>
              <w:rPr>
                <w:rFonts w:cs="Arial"/>
              </w:rPr>
            </w:pPr>
            <w:r>
              <w:rPr>
                <w:sz w:val="24"/>
                <w:szCs w:val="24"/>
              </w:rPr>
              <w:t>على النقيض، قد تكون صورة الله مشوهة نحو التشدد المفرط، بحيث يصبح كل خطأ – مهما صغر – جريمة كبرى تستوجب عقاباً أبدياً، مما يعمق عُقدة الذنب ويجعل التوبة مستحيلة نفسياً.</w:t>
            </w:r>
          </w:p>
        </w:tc>
      </w:tr>
    </w:tbl>
    <w:p w14:paraId="4990E887" w14:textId="77777777" w:rsidR="00053B8D" w:rsidRDefault="00053B8D">
      <w:pPr>
        <w:spacing w:before="60" w:after="60"/>
        <w:rPr>
          <w:rFonts w:cs="Arial"/>
        </w:rPr>
      </w:pPr>
    </w:p>
    <w:p w14:paraId="57356593" w14:textId="77777777" w:rsidR="00053B8D" w:rsidRDefault="003D1A67">
      <w:pPr>
        <w:spacing w:before="80" w:after="80" w:line="340" w:lineRule="auto"/>
        <w:ind w:right="360"/>
        <w:jc w:val="both"/>
        <w:rPr>
          <w:rFonts w:cs="Arial"/>
        </w:rPr>
      </w:pPr>
      <w:r>
        <w:t xml:space="preserve">العلاج هنا يتطلب تمييزاً دقيقاً بين صورة الله </w:t>
      </w:r>
      <w:proofErr w:type="spellStart"/>
      <w:r>
        <w:t>المستقاة</w:t>
      </w:r>
      <w:proofErr w:type="spellEnd"/>
      <w:r>
        <w:t xml:space="preserve"> من النص الديني نفسه (القرآن والسنة)، وتلك الصورة المشوهة </w:t>
      </w:r>
      <w:proofErr w:type="spellStart"/>
      <w:r>
        <w:t>المستقاة</w:t>
      </w:r>
      <w:proofErr w:type="spellEnd"/>
      <w:r>
        <w:t xml:space="preserve"> من الصراع الثقافي والضغوط الاجتماعية. فالله في التصور الإسلامي الأصيل ليس طرفاً في هذا الصراع الدنيوي بين المنظومات، بل هو الحَكَم العدل الرحيم الذي يسع الجميع. </w:t>
      </w:r>
      <w:r>
        <w:rPr>
          <w:rFonts w:ascii="Times New Roman" w:eastAsia="Times New Roman" w:hAnsi="Times New Roman" w:cs="Times New Roman"/>
          <w:color w:val="9A7B1A"/>
          <w:sz w:val="22"/>
          <w:szCs w:val="22"/>
        </w:rPr>
        <w:t>[14]</w:t>
      </w:r>
    </w:p>
    <w:p w14:paraId="36868CC6" w14:textId="77777777" w:rsidR="00053B8D" w:rsidRDefault="00053B8D">
      <w:pPr>
        <w:spacing w:before="60" w:after="60"/>
        <w:rPr>
          <w:rFonts w:cs="Arial"/>
        </w:rPr>
      </w:pPr>
    </w:p>
    <w:tbl>
      <w:tblPr>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0"/>
      </w:tblGrid>
      <w:tr w:rsidR="00053B8D" w14:paraId="0965A803" w14:textId="77777777">
        <w:trPr>
          <w:jc w:val="center"/>
        </w:trPr>
        <w:tc>
          <w:tcPr>
            <w:tcW w:w="8800" w:type="dxa"/>
            <w:tcBorders>
              <w:top w:val="none" w:sz="0" w:space="0" w:color="FFFFFF"/>
              <w:left w:val="single" w:sz="20" w:space="0" w:color="9A7B1A"/>
              <w:bottom w:val="none" w:sz="0" w:space="0" w:color="FFFFFF"/>
              <w:right w:val="none" w:sz="0" w:space="0" w:color="FFFFFF"/>
            </w:tcBorders>
            <w:shd w:val="clear" w:color="auto" w:fill="FDF8EC"/>
            <w:tcMar>
              <w:top w:w="120" w:type="dxa"/>
              <w:left w:w="240" w:type="dxa"/>
              <w:bottom w:w="120" w:type="dxa"/>
              <w:right w:w="240" w:type="dxa"/>
            </w:tcMar>
          </w:tcPr>
          <w:p w14:paraId="62D34FA2" w14:textId="77777777" w:rsidR="00053B8D" w:rsidRDefault="003D1A67">
            <w:pPr>
              <w:jc w:val="center"/>
              <w:rPr>
                <w:rFonts w:cs="Arial"/>
              </w:rPr>
            </w:pPr>
            <w:r>
              <w:rPr>
                <w:i/>
                <w:iCs/>
                <w:color w:val="0D1B33"/>
                <w:sz w:val="28"/>
                <w:szCs w:val="28"/>
              </w:rPr>
              <w:t>قُلْ يَا عِبَادِيَ الَّذِينَ أَسْرَفُوا عَلَى أَنفُسِهِمْ لَا تَقْنَطُوا مِن رَّحْمَةِ اللَّهِ ۚ إِنَّ اللَّهَ يَغْفِرُ الذُّنُوبَ جَمِيعًا</w:t>
            </w:r>
          </w:p>
          <w:p w14:paraId="5FA2F389" w14:textId="77777777" w:rsidR="00053B8D" w:rsidRDefault="003D1A67">
            <w:pPr>
              <w:spacing w:before="60"/>
              <w:jc w:val="center"/>
              <w:rPr>
                <w:rFonts w:cs="Arial"/>
              </w:rPr>
            </w:pPr>
            <w:r>
              <w:rPr>
                <w:color w:val="0A5E5E"/>
                <w:sz w:val="22"/>
                <w:szCs w:val="22"/>
              </w:rPr>
              <w:t>سورة الزمر: 53</w:t>
            </w:r>
          </w:p>
        </w:tc>
      </w:tr>
    </w:tbl>
    <w:p w14:paraId="1BEB3B61" w14:textId="77777777" w:rsidR="00053B8D" w:rsidRDefault="00053B8D">
      <w:pPr>
        <w:spacing w:before="60" w:after="60"/>
        <w:rPr>
          <w:rFonts w:cs="Arial"/>
        </w:rPr>
      </w:pPr>
    </w:p>
    <w:p w14:paraId="2A51CC3C" w14:textId="77777777" w:rsidR="00053B8D" w:rsidRDefault="003D1A67">
      <w:pPr>
        <w:spacing w:before="200" w:after="100"/>
        <w:jc w:val="right"/>
        <w:rPr>
          <w:rFonts w:cs="Arial"/>
        </w:rPr>
      </w:pPr>
      <w:r>
        <w:rPr>
          <w:b/>
          <w:bCs/>
          <w:color w:val="1A3A6B"/>
        </w:rPr>
        <w:t>2.4  الجسر السلوكي بين المنظومتين: الإحسان بوصفه لغة جامعة</w:t>
      </w:r>
    </w:p>
    <w:p w14:paraId="1F14E507" w14:textId="77777777" w:rsidR="00053B8D" w:rsidRDefault="00053B8D">
      <w:pPr>
        <w:spacing w:before="60" w:after="60"/>
        <w:rPr>
          <w:rFonts w:cs="Arial"/>
        </w:rPr>
      </w:pPr>
    </w:p>
    <w:p w14:paraId="7FA2FF1A" w14:textId="05B54FAC" w:rsidR="00053B8D" w:rsidRDefault="003D1A67">
      <w:pPr>
        <w:spacing w:before="80" w:after="80" w:line="340" w:lineRule="auto"/>
        <w:ind w:right="360"/>
        <w:jc w:val="both"/>
        <w:rPr>
          <w:rFonts w:cs="Arial"/>
        </w:rPr>
      </w:pPr>
      <w:r>
        <w:t xml:space="preserve">يمثل "الجسر السلوكي" في </w:t>
      </w:r>
      <w:r w:rsidR="007E6C5A">
        <w:rPr>
          <w:rFonts w:hint="cs"/>
          <w:rtl w:val="0"/>
          <w:lang w:bidi="ar-EG"/>
        </w:rPr>
        <w:t xml:space="preserve">TLRT </w:t>
      </w:r>
      <w:r>
        <w:t xml:space="preserve">فعلاً إحسانياً محدداً يحول طاقة الندم المحتجزة إلى عطاء إيجابي ملموس. </w:t>
      </w:r>
      <w:r>
        <w:rPr>
          <w:rFonts w:ascii="Times New Roman" w:eastAsia="Times New Roman" w:hAnsi="Times New Roman" w:cs="Times New Roman"/>
          <w:color w:val="9A7B1A"/>
          <w:sz w:val="22"/>
          <w:szCs w:val="22"/>
        </w:rPr>
        <w:t>[15]</w:t>
      </w:r>
      <w:r>
        <w:t xml:space="preserve"> وفي سياق الفصام الأخلاقي، يمكن تصميم جسور سلوكية ذكية توفق – في الممارسة العملية – بين متطلبات المنظومتين، وتتجاوز الانقسام النظري:</w:t>
      </w:r>
    </w:p>
    <w:p w14:paraId="2B21862D" w14:textId="77777777" w:rsidR="00053B8D" w:rsidRDefault="00053B8D">
      <w:pPr>
        <w:spacing w:before="60" w:after="60"/>
        <w:rPr>
          <w:rFonts w:cs="Arial"/>
        </w:rPr>
      </w:pPr>
    </w:p>
    <w:p w14:paraId="40253E3F" w14:textId="77777777" w:rsidR="00053B8D" w:rsidRDefault="003D1A67">
      <w:pPr>
        <w:spacing w:before="60" w:after="60" w:line="320" w:lineRule="auto"/>
        <w:ind w:left="360" w:right="720" w:hanging="360"/>
        <w:jc w:val="both"/>
        <w:rPr>
          <w:rFonts w:cs="Arial"/>
        </w:rPr>
      </w:pPr>
      <w:r>
        <w:rPr>
          <w:b/>
          <w:bCs/>
          <w:color w:val="0A5E5E"/>
        </w:rPr>
        <w:t xml:space="preserve">● </w:t>
      </w:r>
      <w:r>
        <w:t xml:space="preserve">أعمال </w:t>
      </w:r>
      <w:proofErr w:type="spellStart"/>
      <w:r>
        <w:t>إحسانية</w:t>
      </w:r>
      <w:proofErr w:type="spellEnd"/>
      <w:r>
        <w:t xml:space="preserve"> تجمع بين القيم الإسلامية والقيم الإنسانية العالمية: كالصدقة الجارية التي تخدم المجتمع بأسره بغض النظر عن دين المستفيدين، أو التطوع في مؤسسات خيرية غير إسلامية، أو المشاركة في مشاريع بيئية تعبر عن قيمة الاستخلاف وعمارة الأرض.</w:t>
      </w:r>
    </w:p>
    <w:p w14:paraId="6FD1BED1" w14:textId="77777777" w:rsidR="00053B8D" w:rsidRDefault="00053B8D">
      <w:pPr>
        <w:spacing w:before="60" w:after="60"/>
        <w:rPr>
          <w:rFonts w:cs="Arial"/>
        </w:rPr>
      </w:pPr>
    </w:p>
    <w:p w14:paraId="5C924026" w14:textId="77777777" w:rsidR="00053B8D" w:rsidRDefault="003D1A67">
      <w:pPr>
        <w:spacing w:before="60" w:after="60" w:line="320" w:lineRule="auto"/>
        <w:ind w:left="360" w:right="720" w:hanging="360"/>
        <w:jc w:val="both"/>
        <w:rPr>
          <w:rFonts w:cs="Arial"/>
        </w:rPr>
      </w:pPr>
      <w:r>
        <w:rPr>
          <w:b/>
          <w:bCs/>
          <w:color w:val="0A5E5E"/>
        </w:rPr>
        <w:t xml:space="preserve">● </w:t>
      </w:r>
      <w:r>
        <w:t>مشاريع كفارة إبداعية تعيد بناء الثقة بين الذات والمجتمع: عبر إظهار أن الالتزام بالإسلام لا يعني بالضرورة معاداة الحداثة أو الانعزال عنها، بل يمكن أن يكون مصدراً للخير والإبداع في السياق الحديث.</w:t>
      </w:r>
    </w:p>
    <w:p w14:paraId="71B3E51E" w14:textId="77777777" w:rsidR="00053B8D" w:rsidRDefault="00053B8D">
      <w:pPr>
        <w:spacing w:before="60" w:after="60"/>
        <w:rPr>
          <w:rFonts w:cs="Arial"/>
        </w:rPr>
      </w:pPr>
    </w:p>
    <w:p w14:paraId="1D699EA5" w14:textId="77777777" w:rsidR="00053B8D" w:rsidRDefault="003D1A67">
      <w:pPr>
        <w:spacing w:before="80" w:after="80" w:line="340" w:lineRule="auto"/>
        <w:ind w:right="360"/>
        <w:jc w:val="both"/>
        <w:rPr>
          <w:rFonts w:cs="Arial"/>
        </w:rPr>
      </w:pPr>
      <w:r>
        <w:t>هذه الجسور السلوكية تقدم للمريض تجربة عملية تثبت له أن التعايش بين المنظومتين ممكن في فضاء الفعل الإنساني، حتى لو استعصى التوفيق بينهما على المستوى النظري المجرد.</w:t>
      </w:r>
    </w:p>
    <w:p w14:paraId="77F7E53F" w14:textId="77777777" w:rsidR="00053B8D" w:rsidRDefault="00053B8D">
      <w:pPr>
        <w:spacing w:before="60" w:after="60"/>
        <w:rPr>
          <w:rFonts w:cs="Arial"/>
        </w:rPr>
      </w:pPr>
    </w:p>
    <w:p w14:paraId="7C22A2C3" w14:textId="77777777" w:rsidR="00053B8D" w:rsidRDefault="003D1A67">
      <w:pPr>
        <w:spacing w:before="200" w:after="100"/>
        <w:jc w:val="right"/>
        <w:rPr>
          <w:rFonts w:cs="Arial"/>
        </w:rPr>
      </w:pPr>
      <w:r>
        <w:rPr>
          <w:b/>
          <w:bCs/>
          <w:color w:val="1A3A6B"/>
        </w:rPr>
        <w:t>2.5  إعادة كتابة السردية: من سردية الازدواجية إلى سردية التكامل</w:t>
      </w:r>
    </w:p>
    <w:p w14:paraId="57CAFCDD" w14:textId="77777777" w:rsidR="00053B8D" w:rsidRDefault="00053B8D">
      <w:pPr>
        <w:spacing w:before="60" w:after="60"/>
        <w:rPr>
          <w:rFonts w:cs="Arial"/>
        </w:rPr>
      </w:pPr>
    </w:p>
    <w:p w14:paraId="21538507" w14:textId="77777777" w:rsidR="00053B8D" w:rsidRDefault="003D1A67">
      <w:pPr>
        <w:spacing w:before="80" w:after="80" w:line="340" w:lineRule="auto"/>
        <w:ind w:right="360"/>
        <w:jc w:val="both"/>
        <w:rPr>
          <w:rFonts w:cs="Arial"/>
        </w:rPr>
      </w:pPr>
      <w:r>
        <w:t xml:space="preserve">تصبح مرحلة إعادة كتابة السردية الذاتية </w:t>
      </w:r>
      <w:r>
        <w:rPr>
          <w:rFonts w:ascii="Times New Roman" w:eastAsia="Times New Roman" w:hAnsi="Times New Roman" w:cs="Times New Roman"/>
          <w:color w:val="9A7B1A"/>
          <w:sz w:val="22"/>
          <w:szCs w:val="22"/>
        </w:rPr>
        <w:t>[16]</w:t>
      </w:r>
      <w:r>
        <w:t xml:space="preserve"> حاسمة في معالجة الفصام الأخلاقي. فالمطلوب هنا ليس اختيار منظومة على حساب الأخرى بشكل قسري، ولا التظاهر بأن التعارض غير موجود، بل بناء سردية تكاملية جديدة تعترف بالتوتر التاريخي والوجودي، وتقر بالصعوبة، لكنها في الآن نفسه تبني هوية قادرة على العيش مع التعقيد والغموض دون أن تنهار أو تستسلم للشعور بالذنب.</w:t>
      </w:r>
    </w:p>
    <w:p w14:paraId="1C230FBF" w14:textId="77777777" w:rsidR="00053B8D" w:rsidRDefault="00053B8D">
      <w:pPr>
        <w:spacing w:before="60" w:after="60"/>
        <w:rPr>
          <w:rFonts w:cs="Arial"/>
        </w:rPr>
      </w:pPr>
    </w:p>
    <w:tbl>
      <w:tblPr>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0"/>
      </w:tblGrid>
      <w:tr w:rsidR="00053B8D" w14:paraId="53362540" w14:textId="77777777">
        <w:trPr>
          <w:jc w:val="center"/>
        </w:trPr>
        <w:tc>
          <w:tcPr>
            <w:tcW w:w="8800" w:type="dxa"/>
            <w:tcBorders>
              <w:top w:val="none" w:sz="0" w:space="0" w:color="FFFFFF"/>
              <w:left w:val="single" w:sz="20" w:space="0" w:color="9A7B1A"/>
              <w:bottom w:val="none" w:sz="0" w:space="0" w:color="FFFFFF"/>
              <w:right w:val="none" w:sz="0" w:space="0" w:color="FFFFFF"/>
            </w:tcBorders>
            <w:shd w:val="clear" w:color="auto" w:fill="FDF8EC"/>
            <w:tcMar>
              <w:top w:w="120" w:type="dxa"/>
              <w:left w:w="240" w:type="dxa"/>
              <w:bottom w:w="120" w:type="dxa"/>
              <w:right w:w="240" w:type="dxa"/>
            </w:tcMar>
          </w:tcPr>
          <w:p w14:paraId="081FE0B1" w14:textId="77777777" w:rsidR="00053B8D" w:rsidRDefault="003D1A67">
            <w:pPr>
              <w:jc w:val="center"/>
              <w:rPr>
                <w:rFonts w:cs="Arial"/>
              </w:rPr>
            </w:pPr>
            <w:r>
              <w:rPr>
                <w:i/>
                <w:iCs/>
                <w:color w:val="0D1B33"/>
                <w:sz w:val="28"/>
                <w:szCs w:val="28"/>
              </w:rPr>
              <w:t>"نعم، أعيش في زمن الازدواجية والتمزق، ولست مسؤولاً وحدي عن هذا الواقع التاريخي المعقد. لكن يمكنني، على الرغم من ذلك، أن أبني حياة أخلاقية أصيلة تجمع بين جوهر قيم الإسلام وروح العصر. يمكنني أن أكون مسلماً ملتزماً ومواطناً فاعلاً في آن، حتى لو كان الطريق شاقاً والثمن باهظاً."</w:t>
            </w:r>
          </w:p>
          <w:p w14:paraId="49FB92A8" w14:textId="77777777" w:rsidR="00053B8D" w:rsidRDefault="003D1A67">
            <w:pPr>
              <w:spacing w:before="60"/>
              <w:jc w:val="center"/>
              <w:rPr>
                <w:rFonts w:cs="Arial"/>
              </w:rPr>
            </w:pPr>
            <w:r>
              <w:rPr>
                <w:color w:val="0A5E5E"/>
                <w:sz w:val="22"/>
                <w:szCs w:val="22"/>
              </w:rPr>
              <w:t>نموذج السردية التكاملية الجديدة</w:t>
            </w:r>
          </w:p>
        </w:tc>
      </w:tr>
    </w:tbl>
    <w:p w14:paraId="5F3FE981" w14:textId="77777777" w:rsidR="00053B8D" w:rsidRDefault="00053B8D">
      <w:pPr>
        <w:spacing w:before="60" w:after="60"/>
        <w:rPr>
          <w:rFonts w:cs="Arial"/>
        </w:rPr>
      </w:pPr>
    </w:p>
    <w:p w14:paraId="31EDF13A" w14:textId="77777777" w:rsidR="00053B8D" w:rsidRDefault="00053B8D">
      <w:pPr>
        <w:pBdr>
          <w:bottom w:val="single" w:sz="6" w:space="1" w:color="0A5E5E"/>
        </w:pBdr>
        <w:spacing w:before="80" w:after="80"/>
        <w:rPr>
          <w:rFonts w:cs="Arial"/>
        </w:rPr>
      </w:pPr>
    </w:p>
    <w:p w14:paraId="104BFF1C" w14:textId="77777777" w:rsidR="00053B8D" w:rsidRDefault="003D1A67">
      <w:pPr>
        <w:pageBreakBefore/>
        <w:pBdr>
          <w:bottom w:val="single" w:sz="8" w:space="4" w:color="9A7B1A"/>
        </w:pBdr>
        <w:shd w:val="clear" w:color="auto" w:fill="0D1B33"/>
        <w:spacing w:before="480" w:after="240"/>
        <w:jc w:val="center"/>
        <w:rPr>
          <w:rFonts w:cs="Arial"/>
        </w:rPr>
      </w:pPr>
      <w:r>
        <w:rPr>
          <w:b/>
          <w:bCs/>
          <w:color w:val="FFFFFF"/>
          <w:sz w:val="44"/>
          <w:szCs w:val="44"/>
        </w:rPr>
        <w:t>ثالثاً: تخليق الذات بين المشروع الفكري والعلاج النفسي – مشروع وائل حلاق</w:t>
      </w:r>
    </w:p>
    <w:p w14:paraId="4E86A21F" w14:textId="77777777" w:rsidR="00053B8D" w:rsidRDefault="00053B8D">
      <w:pPr>
        <w:spacing w:before="60" w:after="60"/>
        <w:rPr>
          <w:rFonts w:cs="Arial"/>
        </w:rPr>
      </w:pPr>
    </w:p>
    <w:p w14:paraId="1E066E02" w14:textId="229A6C1D" w:rsidR="00053B8D" w:rsidRDefault="003D1A67">
      <w:pPr>
        <w:pBdr>
          <w:right w:val="single" w:sz="24" w:space="8" w:color="0A5E5E"/>
        </w:pBdr>
        <w:spacing w:before="280" w:after="120"/>
        <w:jc w:val="right"/>
        <w:rPr>
          <w:rFonts w:cs="Arial"/>
        </w:rPr>
      </w:pPr>
      <w:r>
        <w:rPr>
          <w:b/>
          <w:bCs/>
          <w:color w:val="0A5E5E"/>
          <w:sz w:val="28"/>
          <w:szCs w:val="28"/>
        </w:rPr>
        <w:t>3.1  مشروع حلاق في سياق</w:t>
      </w:r>
      <w:r w:rsidR="0037569A">
        <w:rPr>
          <w:rFonts w:hint="cs"/>
          <w:b/>
          <w:bCs/>
          <w:color w:val="0A5E5E"/>
          <w:sz w:val="28"/>
          <w:szCs w:val="28"/>
          <w:rtl w:val="0"/>
          <w:lang w:bidi="ar-EG"/>
        </w:rPr>
        <w:t>T</w:t>
      </w:r>
      <w:r w:rsidR="00534B21">
        <w:rPr>
          <w:rFonts w:hint="cs"/>
          <w:b/>
          <w:bCs/>
          <w:color w:val="0A5E5E"/>
          <w:sz w:val="28"/>
          <w:szCs w:val="28"/>
          <w:rtl w:val="0"/>
          <w:lang w:bidi="ar-EG"/>
        </w:rPr>
        <w:t>RLT</w:t>
      </w:r>
      <w:r>
        <w:rPr>
          <w:b/>
          <w:bCs/>
          <w:color w:val="0A5E5E"/>
          <w:sz w:val="28"/>
          <w:szCs w:val="28"/>
        </w:rPr>
        <w:t>: من النقد البنيوي إلى الأمل العلاجي</w:t>
      </w:r>
    </w:p>
    <w:p w14:paraId="77B70808" w14:textId="77777777" w:rsidR="00053B8D" w:rsidRDefault="00053B8D">
      <w:pPr>
        <w:spacing w:before="60" w:after="60"/>
        <w:rPr>
          <w:rFonts w:cs="Arial"/>
        </w:rPr>
      </w:pPr>
    </w:p>
    <w:p w14:paraId="43BC1BC8" w14:textId="77777777" w:rsidR="00053B8D" w:rsidRDefault="003D1A67">
      <w:pPr>
        <w:spacing w:before="80" w:after="80" w:line="340" w:lineRule="auto"/>
        <w:ind w:right="360"/>
        <w:jc w:val="both"/>
        <w:rPr>
          <w:rFonts w:cs="Arial"/>
        </w:rPr>
      </w:pPr>
      <w:r>
        <w:t xml:space="preserve">يرى وائل حلاق، كما ورد في كتابه "الدولة المستحيلة" وغيره من مؤلفاته، أن الأخلاق في المجتمعات الإسلامية المعاصرة قد انهارت عموماً، ليس لفساد الأفراد وحدهم، بل لغياب السياق المؤسسي الذي كان ينتج الذات الأخلاقية تاريخياً. فالفرد في هذه المجتمعات يعيش حالة من العجز عن إدارة شؤونه في الفضاء العام، إذ لا يدري بأي مرجعية يديرها: بالأخلاق الإسلامية أم بالقوانين الوضعية. </w:t>
      </w:r>
      <w:r>
        <w:rPr>
          <w:rFonts w:ascii="Times New Roman" w:eastAsia="Times New Roman" w:hAnsi="Times New Roman" w:cs="Times New Roman"/>
          <w:color w:val="9A7B1A"/>
          <w:sz w:val="22"/>
          <w:szCs w:val="22"/>
        </w:rPr>
        <w:t>[17]</w:t>
      </w:r>
    </w:p>
    <w:p w14:paraId="2282B1AF" w14:textId="77777777" w:rsidR="00053B8D" w:rsidRDefault="00053B8D">
      <w:pPr>
        <w:spacing w:before="60" w:after="60"/>
        <w:rPr>
          <w:rFonts w:cs="Arial"/>
        </w:rPr>
      </w:pPr>
    </w:p>
    <w:p w14:paraId="0AE73AE1" w14:textId="0192CCB7" w:rsidR="00053B8D" w:rsidRDefault="003D1A67">
      <w:pPr>
        <w:spacing w:before="80" w:after="80" w:line="340" w:lineRule="auto"/>
        <w:ind w:right="360"/>
        <w:jc w:val="both"/>
        <w:rPr>
          <w:rFonts w:cs="Arial"/>
        </w:rPr>
      </w:pPr>
      <w:r>
        <w:t xml:space="preserve">وهذا التشخيص يتوافق تماماً مع ما نسميه في </w:t>
      </w:r>
      <w:r w:rsidR="00E95F92">
        <w:rPr>
          <w:rFonts w:hint="cs"/>
          <w:rtl w:val="0"/>
          <w:lang w:bidi="ar-EG"/>
        </w:rPr>
        <w:t>TLRT</w:t>
      </w:r>
      <w:r w:rsidR="00E95F92">
        <w:rPr>
          <w:rFonts w:hint="cs"/>
        </w:rPr>
        <w:t xml:space="preserve"> </w:t>
      </w:r>
      <w:r>
        <w:t>"انهيار خريطة الدين النفسي": ففي غياب معيار مرجعي واضح ومقبول، يصبح "الدين النفسي" – أي مجموع الالتزامات المعنوية التي يشعر بها الفرد – غير قابل للسداد، مما يولد شعوراً مزمناً بالعجز والذنب.</w:t>
      </w:r>
    </w:p>
    <w:p w14:paraId="63CA74F8" w14:textId="77777777" w:rsidR="00053B8D" w:rsidRDefault="00053B8D">
      <w:pPr>
        <w:spacing w:before="60" w:after="60"/>
        <w:rPr>
          <w:rFonts w:cs="Arial"/>
        </w:rPr>
      </w:pPr>
    </w:p>
    <w:p w14:paraId="68F646E0" w14:textId="3753E45F" w:rsidR="00053B8D" w:rsidRDefault="003D1A67">
      <w:pPr>
        <w:spacing w:before="80" w:after="80" w:line="340" w:lineRule="auto"/>
        <w:ind w:right="360"/>
        <w:jc w:val="both"/>
        <w:rPr>
          <w:rFonts w:cs="Arial"/>
        </w:rPr>
      </w:pPr>
      <w:r>
        <w:t xml:space="preserve">ويدعو حلاق إلى "تخليق الذات" </w:t>
      </w:r>
      <w:r>
        <w:rPr>
          <w:rFonts w:ascii="Times New Roman" w:eastAsia="Times New Roman" w:hAnsi="Times New Roman" w:cs="Times New Roman"/>
          <w:color w:val="0A5E5E"/>
          <w:sz w:val="24"/>
          <w:szCs w:val="24"/>
        </w:rPr>
        <w:t>(</w:t>
      </w:r>
      <w:proofErr w:type="spellStart"/>
      <w:r>
        <w:rPr>
          <w:rFonts w:ascii="Times New Roman" w:eastAsia="Times New Roman" w:hAnsi="Times New Roman" w:cs="Times New Roman"/>
          <w:color w:val="0A5E5E"/>
          <w:sz w:val="24"/>
          <w:szCs w:val="24"/>
        </w:rPr>
        <w:t>Moral</w:t>
      </w:r>
      <w:proofErr w:type="spellEnd"/>
      <w:r>
        <w:rPr>
          <w:rFonts w:ascii="Times New Roman" w:eastAsia="Times New Roman" w:hAnsi="Times New Roman" w:cs="Times New Roman"/>
          <w:color w:val="0A5E5E"/>
          <w:sz w:val="24"/>
          <w:szCs w:val="24"/>
        </w:rPr>
        <w:t xml:space="preserve"> </w:t>
      </w:r>
      <w:proofErr w:type="spellStart"/>
      <w:r>
        <w:rPr>
          <w:rFonts w:ascii="Times New Roman" w:eastAsia="Times New Roman" w:hAnsi="Times New Roman" w:cs="Times New Roman"/>
          <w:color w:val="0A5E5E"/>
          <w:sz w:val="24"/>
          <w:szCs w:val="24"/>
        </w:rPr>
        <w:t>Cultivation</w:t>
      </w:r>
      <w:proofErr w:type="spellEnd"/>
      <w:r>
        <w:rPr>
          <w:rFonts w:ascii="Times New Roman" w:eastAsia="Times New Roman" w:hAnsi="Times New Roman" w:cs="Times New Roman"/>
          <w:color w:val="0A5E5E"/>
          <w:sz w:val="24"/>
          <w:szCs w:val="24"/>
        </w:rPr>
        <w:t xml:space="preserve"> </w:t>
      </w:r>
      <w:proofErr w:type="spellStart"/>
      <w:r>
        <w:rPr>
          <w:rFonts w:ascii="Times New Roman" w:eastAsia="Times New Roman" w:hAnsi="Times New Roman" w:cs="Times New Roman"/>
          <w:color w:val="0A5E5E"/>
          <w:sz w:val="24"/>
          <w:szCs w:val="24"/>
        </w:rPr>
        <w:t>of</w:t>
      </w:r>
      <w:proofErr w:type="spellEnd"/>
      <w:r>
        <w:rPr>
          <w:rFonts w:ascii="Times New Roman" w:eastAsia="Times New Roman" w:hAnsi="Times New Roman" w:cs="Times New Roman"/>
          <w:color w:val="0A5E5E"/>
          <w:sz w:val="24"/>
          <w:szCs w:val="24"/>
        </w:rPr>
        <w:t xml:space="preserve"> </w:t>
      </w:r>
      <w:proofErr w:type="spellStart"/>
      <w:r>
        <w:rPr>
          <w:rFonts w:ascii="Times New Roman" w:eastAsia="Times New Roman" w:hAnsi="Times New Roman" w:cs="Times New Roman"/>
          <w:color w:val="0A5E5E"/>
          <w:sz w:val="24"/>
          <w:szCs w:val="24"/>
        </w:rPr>
        <w:t>the</w:t>
      </w:r>
      <w:proofErr w:type="spellEnd"/>
      <w:r>
        <w:rPr>
          <w:rFonts w:ascii="Times New Roman" w:eastAsia="Times New Roman" w:hAnsi="Times New Roman" w:cs="Times New Roman"/>
          <w:color w:val="0A5E5E"/>
          <w:sz w:val="24"/>
          <w:szCs w:val="24"/>
        </w:rPr>
        <w:t xml:space="preserve"> </w:t>
      </w:r>
      <w:proofErr w:type="spellStart"/>
      <w:r>
        <w:rPr>
          <w:rFonts w:ascii="Times New Roman" w:eastAsia="Times New Roman" w:hAnsi="Times New Roman" w:cs="Times New Roman"/>
          <w:color w:val="0A5E5E"/>
          <w:sz w:val="24"/>
          <w:szCs w:val="24"/>
        </w:rPr>
        <w:t>Self</w:t>
      </w:r>
      <w:proofErr w:type="spellEnd"/>
      <w:r>
        <w:rPr>
          <w:rFonts w:ascii="Times New Roman" w:eastAsia="Times New Roman" w:hAnsi="Times New Roman" w:cs="Times New Roman"/>
          <w:color w:val="0A5E5E"/>
          <w:sz w:val="24"/>
          <w:szCs w:val="24"/>
        </w:rPr>
        <w:t>)</w:t>
      </w:r>
      <w:r>
        <w:t xml:space="preserve">، وهي عملية شاقة ومعقدة لإعادة بناء الذات الأخلاقية من الداخل، في غياب المؤسسات التقليدية الداعمة. </w:t>
      </w:r>
      <w:r>
        <w:rPr>
          <w:rFonts w:ascii="Times New Roman" w:eastAsia="Times New Roman" w:hAnsi="Times New Roman" w:cs="Times New Roman"/>
          <w:color w:val="9A7B1A"/>
          <w:sz w:val="22"/>
          <w:szCs w:val="22"/>
        </w:rPr>
        <w:t>[18]</w:t>
      </w:r>
      <w:r>
        <w:t xml:space="preserve"> وهذا يتوافق بعمق مع أهداف </w:t>
      </w:r>
      <w:r w:rsidR="00E95F92">
        <w:rPr>
          <w:rFonts w:hint="cs"/>
          <w:rtl w:val="0"/>
          <w:lang w:bidi="ar-EG"/>
        </w:rPr>
        <w:t>TLRT</w:t>
      </w:r>
      <w:r w:rsidR="00E95F92">
        <w:rPr>
          <w:rFonts w:hint="cs"/>
        </w:rPr>
        <w:t xml:space="preserve"> </w:t>
      </w:r>
      <w:r>
        <w:t>في بناء "النفس المطمئنة" عبر إعادة بناء العلاقة مع المتعالي أولاً، ثم مع الذات، ثم مع المجتمع.</w:t>
      </w:r>
    </w:p>
    <w:p w14:paraId="4B09F816" w14:textId="77777777" w:rsidR="00053B8D" w:rsidRDefault="00053B8D">
      <w:pPr>
        <w:spacing w:before="60" w:after="60"/>
        <w:rPr>
          <w:rFonts w:cs="Arial"/>
        </w:rPr>
      </w:pPr>
    </w:p>
    <w:p w14:paraId="587F2F5E" w14:textId="77777777" w:rsidR="00053B8D" w:rsidRDefault="003D1A67">
      <w:pPr>
        <w:pBdr>
          <w:right w:val="single" w:sz="24" w:space="8" w:color="0A5E5E"/>
        </w:pBdr>
        <w:spacing w:before="280" w:after="120"/>
        <w:jc w:val="right"/>
        <w:rPr>
          <w:rFonts w:cs="Arial"/>
        </w:rPr>
      </w:pPr>
      <w:r>
        <w:rPr>
          <w:b/>
          <w:bCs/>
          <w:color w:val="0A5E5E"/>
          <w:sz w:val="28"/>
          <w:szCs w:val="28"/>
        </w:rPr>
        <w:t>3.2  من التخليق الفلسفي إلى التخليق العلاجي: جدول مقارن</w:t>
      </w:r>
    </w:p>
    <w:p w14:paraId="22491F03" w14:textId="77777777" w:rsidR="00053B8D" w:rsidRDefault="00053B8D">
      <w:pPr>
        <w:spacing w:before="60" w:after="60"/>
        <w:rPr>
          <w:rFonts w:cs="Arial"/>
        </w:rPr>
      </w:pPr>
    </w:p>
    <w:p w14:paraId="6A378536" w14:textId="3C9E0214" w:rsidR="00053B8D" w:rsidRDefault="003D1A67">
      <w:pPr>
        <w:spacing w:before="80" w:after="80" w:line="340" w:lineRule="auto"/>
        <w:ind w:right="360"/>
        <w:jc w:val="both"/>
        <w:rPr>
          <w:rFonts w:cs="Arial"/>
        </w:rPr>
      </w:pPr>
      <w:r>
        <w:t xml:space="preserve">ما يقدمه حلاق على المستوى الفلسفي-السياسي من تشخيص وحلول، يحاول </w:t>
      </w:r>
      <w:r w:rsidR="002F39CE">
        <w:rPr>
          <w:rFonts w:hint="cs"/>
          <w:rtl w:val="0"/>
          <w:lang w:bidi="ar-EG"/>
        </w:rPr>
        <w:t>TLRT</w:t>
      </w:r>
      <w:r w:rsidR="002F39CE">
        <w:rPr>
          <w:rFonts w:hint="cs"/>
        </w:rPr>
        <w:t xml:space="preserve"> </w:t>
      </w:r>
      <w:r>
        <w:t>ترجمته إلى أدوات علاجية عملية على المستوى الفردي الإكلينيكي. ويوضح الجدول الآتي أوجه التوازي والتكامل بين المشروعين:</w:t>
      </w:r>
    </w:p>
    <w:p w14:paraId="6EFE61A0" w14:textId="77777777" w:rsidR="00053B8D" w:rsidRDefault="00053B8D">
      <w:pPr>
        <w:spacing w:before="60" w:after="60"/>
        <w:rPr>
          <w:rFonts w:cs="Arial"/>
        </w:rPr>
      </w:pP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34"/>
        <w:gridCol w:w="2933"/>
        <w:gridCol w:w="2933"/>
      </w:tblGrid>
      <w:tr w:rsidR="00053B8D" w14:paraId="51239CB8" w14:textId="77777777">
        <w:tc>
          <w:tcPr>
            <w:tcW w:w="2933" w:type="dxa"/>
            <w:tcBorders>
              <w:top w:val="single" w:sz="1" w:space="0" w:color="B0C0D0"/>
              <w:left w:val="single" w:sz="1" w:space="0" w:color="B0C0D0"/>
              <w:bottom w:val="single" w:sz="1" w:space="0" w:color="B0C0D0"/>
              <w:right w:val="single" w:sz="1" w:space="0" w:color="B0C0D0"/>
            </w:tcBorders>
            <w:shd w:val="clear" w:color="auto" w:fill="0D1B33"/>
            <w:tcMar>
              <w:top w:w="100" w:type="dxa"/>
              <w:left w:w="120" w:type="dxa"/>
              <w:bottom w:w="100" w:type="dxa"/>
              <w:right w:w="120" w:type="dxa"/>
            </w:tcMar>
            <w:vAlign w:val="center"/>
          </w:tcPr>
          <w:p w14:paraId="2FF41E61" w14:textId="77777777" w:rsidR="00053B8D" w:rsidRDefault="003D1A67">
            <w:pPr>
              <w:jc w:val="center"/>
              <w:rPr>
                <w:rFonts w:cs="Arial"/>
              </w:rPr>
            </w:pPr>
            <w:r>
              <w:rPr>
                <w:b/>
                <w:bCs/>
                <w:color w:val="FFFFFF"/>
                <w:sz w:val="24"/>
                <w:szCs w:val="24"/>
              </w:rPr>
              <w:t>المحور</w:t>
            </w:r>
          </w:p>
        </w:tc>
        <w:tc>
          <w:tcPr>
            <w:tcW w:w="2933" w:type="dxa"/>
            <w:tcBorders>
              <w:top w:val="single" w:sz="1" w:space="0" w:color="B0C0D0"/>
              <w:left w:val="single" w:sz="1" w:space="0" w:color="B0C0D0"/>
              <w:bottom w:val="single" w:sz="1" w:space="0" w:color="B0C0D0"/>
              <w:right w:val="single" w:sz="1" w:space="0" w:color="B0C0D0"/>
            </w:tcBorders>
            <w:shd w:val="clear" w:color="auto" w:fill="0D1B33"/>
            <w:tcMar>
              <w:top w:w="100" w:type="dxa"/>
              <w:left w:w="120" w:type="dxa"/>
              <w:bottom w:w="100" w:type="dxa"/>
              <w:right w:w="120" w:type="dxa"/>
            </w:tcMar>
            <w:vAlign w:val="center"/>
          </w:tcPr>
          <w:p w14:paraId="433E2E41" w14:textId="77777777" w:rsidR="00053B8D" w:rsidRDefault="003D1A67">
            <w:pPr>
              <w:jc w:val="center"/>
              <w:rPr>
                <w:rFonts w:cs="Arial"/>
              </w:rPr>
            </w:pPr>
            <w:r>
              <w:rPr>
                <w:b/>
                <w:bCs/>
                <w:color w:val="FFFFFF"/>
                <w:sz w:val="24"/>
                <w:szCs w:val="24"/>
              </w:rPr>
              <w:t>وائل حلاق (المستوى الاجتماعي-السياسي)</w:t>
            </w:r>
          </w:p>
        </w:tc>
        <w:tc>
          <w:tcPr>
            <w:tcW w:w="2933" w:type="dxa"/>
            <w:tcBorders>
              <w:top w:val="single" w:sz="1" w:space="0" w:color="B0C0D0"/>
              <w:left w:val="single" w:sz="1" w:space="0" w:color="B0C0D0"/>
              <w:bottom w:val="single" w:sz="1" w:space="0" w:color="B0C0D0"/>
              <w:right w:val="single" w:sz="1" w:space="0" w:color="B0C0D0"/>
            </w:tcBorders>
            <w:shd w:val="clear" w:color="auto" w:fill="0D1B33"/>
            <w:tcMar>
              <w:top w:w="100" w:type="dxa"/>
              <w:left w:w="120" w:type="dxa"/>
              <w:bottom w:w="100" w:type="dxa"/>
              <w:right w:w="120" w:type="dxa"/>
            </w:tcMar>
            <w:vAlign w:val="center"/>
          </w:tcPr>
          <w:p w14:paraId="4381443C" w14:textId="77777777" w:rsidR="00053B8D" w:rsidRDefault="003D1A67">
            <w:pPr>
              <w:jc w:val="center"/>
              <w:rPr>
                <w:rFonts w:cs="Arial"/>
              </w:rPr>
            </w:pPr>
            <w:r>
              <w:rPr>
                <w:b/>
                <w:bCs/>
                <w:color w:val="FFFFFF"/>
                <w:sz w:val="24"/>
                <w:szCs w:val="24"/>
              </w:rPr>
              <w:t>TRTT (المستوى الفردي العلاجي)</w:t>
            </w:r>
          </w:p>
        </w:tc>
      </w:tr>
      <w:tr w:rsidR="00053B8D" w14:paraId="20A7B3E8" w14:textId="77777777">
        <w:tc>
          <w:tcPr>
            <w:tcW w:w="2933" w:type="dxa"/>
            <w:tcBorders>
              <w:top w:val="single" w:sz="1" w:space="0" w:color="B0C0D0"/>
              <w:left w:val="single" w:sz="1" w:space="0" w:color="B0C0D0"/>
              <w:bottom w:val="single" w:sz="1" w:space="0" w:color="B0C0D0"/>
              <w:right w:val="single" w:sz="1" w:space="0" w:color="B0C0D0"/>
            </w:tcBorders>
            <w:shd w:val="clear" w:color="auto" w:fill="FDF8EC"/>
            <w:tcMar>
              <w:top w:w="80" w:type="dxa"/>
              <w:left w:w="120" w:type="dxa"/>
              <w:bottom w:w="80" w:type="dxa"/>
              <w:right w:w="120" w:type="dxa"/>
            </w:tcMar>
          </w:tcPr>
          <w:p w14:paraId="5E402066" w14:textId="77777777" w:rsidR="00053B8D" w:rsidRDefault="003D1A67">
            <w:pPr>
              <w:jc w:val="both"/>
              <w:rPr>
                <w:rFonts w:cs="Arial"/>
              </w:rPr>
            </w:pPr>
            <w:r>
              <w:rPr>
                <w:sz w:val="22"/>
                <w:szCs w:val="22"/>
              </w:rPr>
              <w:t>التشخيص</w:t>
            </w:r>
          </w:p>
        </w:tc>
        <w:tc>
          <w:tcPr>
            <w:tcW w:w="2933" w:type="dxa"/>
            <w:tcBorders>
              <w:top w:val="single" w:sz="1" w:space="0" w:color="B0C0D0"/>
              <w:left w:val="single" w:sz="1" w:space="0" w:color="B0C0D0"/>
              <w:bottom w:val="single" w:sz="1" w:space="0" w:color="B0C0D0"/>
              <w:right w:val="single" w:sz="1" w:space="0" w:color="B0C0D0"/>
            </w:tcBorders>
            <w:shd w:val="clear" w:color="auto" w:fill="EBF0F8"/>
            <w:tcMar>
              <w:top w:w="80" w:type="dxa"/>
              <w:left w:w="120" w:type="dxa"/>
              <w:bottom w:w="80" w:type="dxa"/>
              <w:right w:w="120" w:type="dxa"/>
            </w:tcMar>
          </w:tcPr>
          <w:p w14:paraId="5D27D5ED" w14:textId="77777777" w:rsidR="00053B8D" w:rsidRDefault="003D1A67">
            <w:pPr>
              <w:jc w:val="both"/>
              <w:rPr>
                <w:rFonts w:cs="Arial"/>
              </w:rPr>
            </w:pPr>
            <w:r>
              <w:rPr>
                <w:sz w:val="22"/>
                <w:szCs w:val="22"/>
              </w:rPr>
              <w:t>نقد انهيار المؤسسات التقليدية المنتجة للأخلاق</w:t>
            </w:r>
          </w:p>
        </w:tc>
        <w:tc>
          <w:tcPr>
            <w:tcW w:w="2933" w:type="dxa"/>
            <w:tcBorders>
              <w:top w:val="single" w:sz="1" w:space="0" w:color="B0C0D0"/>
              <w:left w:val="single" w:sz="1" w:space="0" w:color="B0C0D0"/>
              <w:bottom w:val="single" w:sz="1" w:space="0" w:color="B0C0D0"/>
              <w:right w:val="single" w:sz="1" w:space="0" w:color="B0C0D0"/>
            </w:tcBorders>
            <w:shd w:val="clear" w:color="auto" w:fill="E8F4F4"/>
            <w:tcMar>
              <w:top w:w="80" w:type="dxa"/>
              <w:left w:w="120" w:type="dxa"/>
              <w:bottom w:w="80" w:type="dxa"/>
              <w:right w:w="120" w:type="dxa"/>
            </w:tcMar>
          </w:tcPr>
          <w:p w14:paraId="5C46BC03" w14:textId="77777777" w:rsidR="00053B8D" w:rsidRDefault="003D1A67">
            <w:pPr>
              <w:jc w:val="both"/>
              <w:rPr>
                <w:rFonts w:cs="Arial"/>
              </w:rPr>
            </w:pPr>
            <w:r>
              <w:rPr>
                <w:sz w:val="22"/>
                <w:szCs w:val="22"/>
              </w:rPr>
              <w:t>تشخيص انهيار "خريطة الدين النفسي" لدى الفرد</w:t>
            </w:r>
          </w:p>
        </w:tc>
      </w:tr>
      <w:tr w:rsidR="00053B8D" w14:paraId="6E9EC7D7" w14:textId="77777777">
        <w:tc>
          <w:tcPr>
            <w:tcW w:w="2933" w:type="dxa"/>
            <w:tcBorders>
              <w:top w:val="single" w:sz="1" w:space="0" w:color="B0C0D0"/>
              <w:left w:val="single" w:sz="1" w:space="0" w:color="B0C0D0"/>
              <w:bottom w:val="single" w:sz="1" w:space="0" w:color="B0C0D0"/>
              <w:right w:val="single" w:sz="1" w:space="0" w:color="B0C0D0"/>
            </w:tcBorders>
            <w:shd w:val="clear" w:color="auto" w:fill="FDF8EC"/>
            <w:tcMar>
              <w:top w:w="80" w:type="dxa"/>
              <w:left w:w="120" w:type="dxa"/>
              <w:bottom w:w="80" w:type="dxa"/>
              <w:right w:w="120" w:type="dxa"/>
            </w:tcMar>
          </w:tcPr>
          <w:p w14:paraId="5CAD8593" w14:textId="77777777" w:rsidR="00053B8D" w:rsidRDefault="003D1A67">
            <w:pPr>
              <w:jc w:val="both"/>
              <w:rPr>
                <w:rFonts w:cs="Arial"/>
              </w:rPr>
            </w:pPr>
            <w:r>
              <w:rPr>
                <w:sz w:val="22"/>
                <w:szCs w:val="22"/>
              </w:rPr>
              <w:t>المشكلة</w:t>
            </w:r>
          </w:p>
        </w:tc>
        <w:tc>
          <w:tcPr>
            <w:tcW w:w="2933" w:type="dxa"/>
            <w:tcBorders>
              <w:top w:val="single" w:sz="1" w:space="0" w:color="B0C0D0"/>
              <w:left w:val="single" w:sz="1" w:space="0" w:color="B0C0D0"/>
              <w:bottom w:val="single" w:sz="1" w:space="0" w:color="B0C0D0"/>
              <w:right w:val="single" w:sz="1" w:space="0" w:color="B0C0D0"/>
            </w:tcBorders>
            <w:shd w:val="clear" w:color="auto" w:fill="EBF0F8"/>
            <w:tcMar>
              <w:top w:w="80" w:type="dxa"/>
              <w:left w:w="120" w:type="dxa"/>
              <w:bottom w:w="80" w:type="dxa"/>
              <w:right w:w="120" w:type="dxa"/>
            </w:tcMar>
          </w:tcPr>
          <w:p w14:paraId="07EA3E62" w14:textId="77777777" w:rsidR="00053B8D" w:rsidRDefault="003D1A67">
            <w:pPr>
              <w:jc w:val="both"/>
              <w:rPr>
                <w:rFonts w:cs="Arial"/>
              </w:rPr>
            </w:pPr>
            <w:r>
              <w:rPr>
                <w:sz w:val="22"/>
                <w:szCs w:val="22"/>
              </w:rPr>
              <w:t>الازدواجية الأخلاقية بين الإسلام والحداثة</w:t>
            </w:r>
          </w:p>
        </w:tc>
        <w:tc>
          <w:tcPr>
            <w:tcW w:w="2933" w:type="dxa"/>
            <w:tcBorders>
              <w:top w:val="single" w:sz="1" w:space="0" w:color="B0C0D0"/>
              <w:left w:val="single" w:sz="1" w:space="0" w:color="B0C0D0"/>
              <w:bottom w:val="single" w:sz="1" w:space="0" w:color="B0C0D0"/>
              <w:right w:val="single" w:sz="1" w:space="0" w:color="B0C0D0"/>
            </w:tcBorders>
            <w:shd w:val="clear" w:color="auto" w:fill="E8F4F4"/>
            <w:tcMar>
              <w:top w:w="80" w:type="dxa"/>
              <w:left w:w="120" w:type="dxa"/>
              <w:bottom w:w="80" w:type="dxa"/>
              <w:right w:w="120" w:type="dxa"/>
            </w:tcMar>
          </w:tcPr>
          <w:p w14:paraId="4067F13F" w14:textId="77777777" w:rsidR="00053B8D" w:rsidRDefault="003D1A67">
            <w:pPr>
              <w:jc w:val="both"/>
              <w:rPr>
                <w:rFonts w:cs="Arial"/>
              </w:rPr>
            </w:pPr>
            <w:r>
              <w:rPr>
                <w:sz w:val="22"/>
                <w:szCs w:val="22"/>
              </w:rPr>
              <w:t>الصراع المعياري الداخلي وعُقدة الذنب المزمنة</w:t>
            </w:r>
          </w:p>
        </w:tc>
      </w:tr>
      <w:tr w:rsidR="00053B8D" w14:paraId="1FDBE953" w14:textId="77777777">
        <w:tc>
          <w:tcPr>
            <w:tcW w:w="2933" w:type="dxa"/>
            <w:tcBorders>
              <w:top w:val="single" w:sz="1" w:space="0" w:color="B0C0D0"/>
              <w:left w:val="single" w:sz="1" w:space="0" w:color="B0C0D0"/>
              <w:bottom w:val="single" w:sz="1" w:space="0" w:color="B0C0D0"/>
              <w:right w:val="single" w:sz="1" w:space="0" w:color="B0C0D0"/>
            </w:tcBorders>
            <w:shd w:val="clear" w:color="auto" w:fill="FDF8EC"/>
            <w:tcMar>
              <w:top w:w="80" w:type="dxa"/>
              <w:left w:w="120" w:type="dxa"/>
              <w:bottom w:w="80" w:type="dxa"/>
              <w:right w:w="120" w:type="dxa"/>
            </w:tcMar>
          </w:tcPr>
          <w:p w14:paraId="5C6567A8" w14:textId="77777777" w:rsidR="00053B8D" w:rsidRDefault="003D1A67">
            <w:pPr>
              <w:jc w:val="both"/>
              <w:rPr>
                <w:rFonts w:cs="Arial"/>
              </w:rPr>
            </w:pPr>
            <w:r>
              <w:rPr>
                <w:sz w:val="22"/>
                <w:szCs w:val="22"/>
              </w:rPr>
              <w:t>الحل المقترح</w:t>
            </w:r>
          </w:p>
        </w:tc>
        <w:tc>
          <w:tcPr>
            <w:tcW w:w="2933" w:type="dxa"/>
            <w:tcBorders>
              <w:top w:val="single" w:sz="1" w:space="0" w:color="B0C0D0"/>
              <w:left w:val="single" w:sz="1" w:space="0" w:color="B0C0D0"/>
              <w:bottom w:val="single" w:sz="1" w:space="0" w:color="B0C0D0"/>
              <w:right w:val="single" w:sz="1" w:space="0" w:color="B0C0D0"/>
            </w:tcBorders>
            <w:shd w:val="clear" w:color="auto" w:fill="EBF0F8"/>
            <w:tcMar>
              <w:top w:w="80" w:type="dxa"/>
              <w:left w:w="120" w:type="dxa"/>
              <w:bottom w:w="80" w:type="dxa"/>
              <w:right w:w="120" w:type="dxa"/>
            </w:tcMar>
          </w:tcPr>
          <w:p w14:paraId="39468F18" w14:textId="77777777" w:rsidR="00053B8D" w:rsidRDefault="003D1A67">
            <w:pPr>
              <w:jc w:val="both"/>
              <w:rPr>
                <w:rFonts w:cs="Arial"/>
              </w:rPr>
            </w:pPr>
            <w:r>
              <w:rPr>
                <w:sz w:val="22"/>
                <w:szCs w:val="22"/>
              </w:rPr>
              <w:t>الدعوة إلى "تخليق الذات" (</w:t>
            </w:r>
            <w:proofErr w:type="spellStart"/>
            <w:r>
              <w:rPr>
                <w:sz w:val="22"/>
                <w:szCs w:val="22"/>
              </w:rPr>
              <w:t>Moral</w:t>
            </w:r>
            <w:proofErr w:type="spellEnd"/>
            <w:r>
              <w:rPr>
                <w:sz w:val="22"/>
                <w:szCs w:val="22"/>
              </w:rPr>
              <w:t xml:space="preserve"> </w:t>
            </w:r>
            <w:proofErr w:type="spellStart"/>
            <w:r>
              <w:rPr>
                <w:sz w:val="22"/>
                <w:szCs w:val="22"/>
              </w:rPr>
              <w:t>Cultivation</w:t>
            </w:r>
            <w:proofErr w:type="spellEnd"/>
            <w:r>
              <w:rPr>
                <w:sz w:val="22"/>
                <w:szCs w:val="22"/>
              </w:rPr>
              <w:t>)</w:t>
            </w:r>
          </w:p>
        </w:tc>
        <w:tc>
          <w:tcPr>
            <w:tcW w:w="2933" w:type="dxa"/>
            <w:tcBorders>
              <w:top w:val="single" w:sz="1" w:space="0" w:color="B0C0D0"/>
              <w:left w:val="single" w:sz="1" w:space="0" w:color="B0C0D0"/>
              <w:bottom w:val="single" w:sz="1" w:space="0" w:color="B0C0D0"/>
              <w:right w:val="single" w:sz="1" w:space="0" w:color="B0C0D0"/>
            </w:tcBorders>
            <w:shd w:val="clear" w:color="auto" w:fill="E8F4F4"/>
            <w:tcMar>
              <w:top w:w="80" w:type="dxa"/>
              <w:left w:w="120" w:type="dxa"/>
              <w:bottom w:w="80" w:type="dxa"/>
              <w:right w:w="120" w:type="dxa"/>
            </w:tcMar>
          </w:tcPr>
          <w:p w14:paraId="62EC573F" w14:textId="77777777" w:rsidR="00053B8D" w:rsidRDefault="003D1A67">
            <w:pPr>
              <w:jc w:val="both"/>
              <w:rPr>
                <w:rFonts w:cs="Arial"/>
              </w:rPr>
            </w:pPr>
            <w:r>
              <w:rPr>
                <w:sz w:val="22"/>
                <w:szCs w:val="22"/>
              </w:rPr>
              <w:t>بناء "النفس المطمئنة" عبر المراحل العلاجية الخمس</w:t>
            </w:r>
          </w:p>
        </w:tc>
      </w:tr>
      <w:tr w:rsidR="00053B8D" w14:paraId="5EB11342" w14:textId="77777777">
        <w:tc>
          <w:tcPr>
            <w:tcW w:w="2933" w:type="dxa"/>
            <w:tcBorders>
              <w:top w:val="single" w:sz="1" w:space="0" w:color="B0C0D0"/>
              <w:left w:val="single" w:sz="1" w:space="0" w:color="B0C0D0"/>
              <w:bottom w:val="single" w:sz="1" w:space="0" w:color="B0C0D0"/>
              <w:right w:val="single" w:sz="1" w:space="0" w:color="B0C0D0"/>
            </w:tcBorders>
            <w:shd w:val="clear" w:color="auto" w:fill="FDF8EC"/>
            <w:tcMar>
              <w:top w:w="80" w:type="dxa"/>
              <w:left w:w="120" w:type="dxa"/>
              <w:bottom w:w="80" w:type="dxa"/>
              <w:right w:w="120" w:type="dxa"/>
            </w:tcMar>
          </w:tcPr>
          <w:p w14:paraId="5292DC09" w14:textId="77777777" w:rsidR="00053B8D" w:rsidRDefault="003D1A67">
            <w:pPr>
              <w:jc w:val="both"/>
              <w:rPr>
                <w:rFonts w:cs="Arial"/>
              </w:rPr>
            </w:pPr>
            <w:r>
              <w:rPr>
                <w:sz w:val="22"/>
                <w:szCs w:val="22"/>
              </w:rPr>
              <w:t>الهدف</w:t>
            </w:r>
          </w:p>
        </w:tc>
        <w:tc>
          <w:tcPr>
            <w:tcW w:w="2933" w:type="dxa"/>
            <w:tcBorders>
              <w:top w:val="single" w:sz="1" w:space="0" w:color="B0C0D0"/>
              <w:left w:val="single" w:sz="1" w:space="0" w:color="B0C0D0"/>
              <w:bottom w:val="single" w:sz="1" w:space="0" w:color="B0C0D0"/>
              <w:right w:val="single" w:sz="1" w:space="0" w:color="B0C0D0"/>
            </w:tcBorders>
            <w:shd w:val="clear" w:color="auto" w:fill="EBF0F8"/>
            <w:tcMar>
              <w:top w:w="80" w:type="dxa"/>
              <w:left w:w="120" w:type="dxa"/>
              <w:bottom w:w="80" w:type="dxa"/>
              <w:right w:w="120" w:type="dxa"/>
            </w:tcMar>
          </w:tcPr>
          <w:p w14:paraId="671018AA" w14:textId="77777777" w:rsidR="00053B8D" w:rsidRDefault="003D1A67">
            <w:pPr>
              <w:jc w:val="both"/>
              <w:rPr>
                <w:rFonts w:cs="Arial"/>
              </w:rPr>
            </w:pPr>
            <w:r>
              <w:rPr>
                <w:sz w:val="22"/>
                <w:szCs w:val="22"/>
              </w:rPr>
              <w:t>إعادة بناء الأخلاق في الفضاء العام</w:t>
            </w:r>
          </w:p>
        </w:tc>
        <w:tc>
          <w:tcPr>
            <w:tcW w:w="2933" w:type="dxa"/>
            <w:tcBorders>
              <w:top w:val="single" w:sz="1" w:space="0" w:color="B0C0D0"/>
              <w:left w:val="single" w:sz="1" w:space="0" w:color="B0C0D0"/>
              <w:bottom w:val="single" w:sz="1" w:space="0" w:color="B0C0D0"/>
              <w:right w:val="single" w:sz="1" w:space="0" w:color="B0C0D0"/>
            </w:tcBorders>
            <w:shd w:val="clear" w:color="auto" w:fill="E8F4F4"/>
            <w:tcMar>
              <w:top w:w="80" w:type="dxa"/>
              <w:left w:w="120" w:type="dxa"/>
              <w:bottom w:w="80" w:type="dxa"/>
              <w:right w:w="120" w:type="dxa"/>
            </w:tcMar>
          </w:tcPr>
          <w:p w14:paraId="6F8F11F7" w14:textId="77777777" w:rsidR="00053B8D" w:rsidRDefault="003D1A67">
            <w:pPr>
              <w:jc w:val="both"/>
              <w:rPr>
                <w:rFonts w:cs="Arial"/>
              </w:rPr>
            </w:pPr>
            <w:r>
              <w:rPr>
                <w:sz w:val="22"/>
                <w:szCs w:val="22"/>
              </w:rPr>
              <w:t>إعادة بناء العلاقة مع المتعالي والذات والآخرين</w:t>
            </w:r>
          </w:p>
        </w:tc>
      </w:tr>
      <w:tr w:rsidR="00053B8D" w14:paraId="798C94E5" w14:textId="77777777">
        <w:tc>
          <w:tcPr>
            <w:tcW w:w="2933" w:type="dxa"/>
            <w:tcBorders>
              <w:top w:val="single" w:sz="1" w:space="0" w:color="B0C0D0"/>
              <w:left w:val="single" w:sz="1" w:space="0" w:color="B0C0D0"/>
              <w:bottom w:val="single" w:sz="1" w:space="0" w:color="B0C0D0"/>
              <w:right w:val="single" w:sz="1" w:space="0" w:color="B0C0D0"/>
            </w:tcBorders>
            <w:shd w:val="clear" w:color="auto" w:fill="FDF8EC"/>
            <w:tcMar>
              <w:top w:w="80" w:type="dxa"/>
              <w:left w:w="120" w:type="dxa"/>
              <w:bottom w:w="80" w:type="dxa"/>
              <w:right w:w="120" w:type="dxa"/>
            </w:tcMar>
          </w:tcPr>
          <w:p w14:paraId="4A3CC5C9" w14:textId="77777777" w:rsidR="00053B8D" w:rsidRDefault="003D1A67">
            <w:pPr>
              <w:jc w:val="both"/>
              <w:rPr>
                <w:rFonts w:cs="Arial"/>
              </w:rPr>
            </w:pPr>
            <w:r>
              <w:rPr>
                <w:sz w:val="22"/>
                <w:szCs w:val="22"/>
              </w:rPr>
              <w:t>النتيجة</w:t>
            </w:r>
          </w:p>
        </w:tc>
        <w:tc>
          <w:tcPr>
            <w:tcW w:w="2933" w:type="dxa"/>
            <w:tcBorders>
              <w:top w:val="single" w:sz="1" w:space="0" w:color="B0C0D0"/>
              <w:left w:val="single" w:sz="1" w:space="0" w:color="B0C0D0"/>
              <w:bottom w:val="single" w:sz="1" w:space="0" w:color="B0C0D0"/>
              <w:right w:val="single" w:sz="1" w:space="0" w:color="B0C0D0"/>
            </w:tcBorders>
            <w:shd w:val="clear" w:color="auto" w:fill="EBF0F8"/>
            <w:tcMar>
              <w:top w:w="80" w:type="dxa"/>
              <w:left w:w="120" w:type="dxa"/>
              <w:bottom w:w="80" w:type="dxa"/>
              <w:right w:w="120" w:type="dxa"/>
            </w:tcMar>
          </w:tcPr>
          <w:p w14:paraId="187C7EB2" w14:textId="77777777" w:rsidR="00053B8D" w:rsidRDefault="003D1A67">
            <w:pPr>
              <w:jc w:val="both"/>
              <w:rPr>
                <w:rFonts w:cs="Arial"/>
              </w:rPr>
            </w:pPr>
            <w:r>
              <w:rPr>
                <w:sz w:val="22"/>
                <w:szCs w:val="22"/>
              </w:rPr>
              <w:t>تجاوز الازدواجية عبر وعي تاريخي نقدي</w:t>
            </w:r>
          </w:p>
        </w:tc>
        <w:tc>
          <w:tcPr>
            <w:tcW w:w="2933" w:type="dxa"/>
            <w:tcBorders>
              <w:top w:val="single" w:sz="1" w:space="0" w:color="B0C0D0"/>
              <w:left w:val="single" w:sz="1" w:space="0" w:color="B0C0D0"/>
              <w:bottom w:val="single" w:sz="1" w:space="0" w:color="B0C0D0"/>
              <w:right w:val="single" w:sz="1" w:space="0" w:color="B0C0D0"/>
            </w:tcBorders>
            <w:shd w:val="clear" w:color="auto" w:fill="E8F4F4"/>
            <w:tcMar>
              <w:top w:w="80" w:type="dxa"/>
              <w:left w:w="120" w:type="dxa"/>
              <w:bottom w:w="80" w:type="dxa"/>
              <w:right w:w="120" w:type="dxa"/>
            </w:tcMar>
          </w:tcPr>
          <w:p w14:paraId="7B1541DC" w14:textId="77777777" w:rsidR="00053B8D" w:rsidRDefault="003D1A67">
            <w:pPr>
              <w:jc w:val="both"/>
              <w:rPr>
                <w:rFonts w:cs="Arial"/>
              </w:rPr>
            </w:pPr>
            <w:r>
              <w:rPr>
                <w:sz w:val="22"/>
                <w:szCs w:val="22"/>
              </w:rPr>
              <w:t>تحقيق التكامل النفسي عبر إعادة كتابة السردية</w:t>
            </w:r>
          </w:p>
        </w:tc>
      </w:tr>
    </w:tbl>
    <w:p w14:paraId="21391EB0" w14:textId="77777777" w:rsidR="00053B8D" w:rsidRDefault="00053B8D">
      <w:pPr>
        <w:spacing w:before="60" w:after="60"/>
        <w:rPr>
          <w:rFonts w:cs="Arial"/>
        </w:rPr>
      </w:pPr>
    </w:p>
    <w:p w14:paraId="275B0567" w14:textId="77777777" w:rsidR="00053B8D" w:rsidRDefault="00053B8D">
      <w:pPr>
        <w:pBdr>
          <w:bottom w:val="single" w:sz="6" w:space="1" w:color="0A5E5E"/>
        </w:pBdr>
        <w:spacing w:before="80" w:after="80"/>
        <w:rPr>
          <w:rFonts w:cs="Arial"/>
        </w:rPr>
      </w:pPr>
    </w:p>
    <w:p w14:paraId="69EB147C" w14:textId="77777777" w:rsidR="00053B8D" w:rsidRDefault="003D1A67">
      <w:pPr>
        <w:pageBreakBefore/>
        <w:pBdr>
          <w:bottom w:val="single" w:sz="8" w:space="4" w:color="9A7B1A"/>
        </w:pBdr>
        <w:shd w:val="clear" w:color="auto" w:fill="0D1B33"/>
        <w:spacing w:before="480" w:after="240"/>
        <w:jc w:val="center"/>
        <w:rPr>
          <w:rFonts w:cs="Arial"/>
        </w:rPr>
      </w:pPr>
      <w:r>
        <w:rPr>
          <w:b/>
          <w:bCs/>
          <w:color w:val="FFFFFF"/>
          <w:sz w:val="44"/>
          <w:szCs w:val="44"/>
        </w:rPr>
        <w:t>رابعاً: أهمية هذا الفصل في بنية النظرية الكلية</w:t>
      </w:r>
    </w:p>
    <w:p w14:paraId="7A7DD19A" w14:textId="77777777" w:rsidR="00053B8D" w:rsidRDefault="00053B8D">
      <w:pPr>
        <w:spacing w:before="60" w:after="60"/>
        <w:rPr>
          <w:rFonts w:cs="Arial"/>
        </w:rPr>
      </w:pPr>
    </w:p>
    <w:p w14:paraId="47DF0B1D" w14:textId="627FF37A" w:rsidR="00053B8D" w:rsidRDefault="003D1A67">
      <w:pPr>
        <w:spacing w:before="80" w:after="80" w:line="340" w:lineRule="auto"/>
        <w:ind w:right="360"/>
        <w:jc w:val="both"/>
        <w:rPr>
          <w:rFonts w:cs="Arial"/>
        </w:rPr>
      </w:pPr>
      <w:r>
        <w:t xml:space="preserve">يمثل إدراج مفهوم "الفصام الأخلاقي" في صلب نظرية </w:t>
      </w:r>
      <w:r w:rsidR="002F39CE">
        <w:rPr>
          <w:rFonts w:hint="cs"/>
          <w:rtl w:val="0"/>
          <w:lang w:bidi="ar-EG"/>
        </w:rPr>
        <w:t xml:space="preserve">TLRT </w:t>
      </w:r>
      <w:r>
        <w:t>إضافة نوعية تتجاوز مجرد التحليل النفسي الفردي إلى مقاربة أكثر شمولية وعمقاً. ويمكن إجمال أهمية هذا الفصل في النقاط الآتية:</w:t>
      </w:r>
    </w:p>
    <w:p w14:paraId="52BA2F46" w14:textId="77777777" w:rsidR="00053B8D" w:rsidRDefault="00053B8D">
      <w:pPr>
        <w:spacing w:before="60" w:after="60"/>
        <w:rPr>
          <w:rFonts w:cs="Arial"/>
        </w:rPr>
      </w:pPr>
    </w:p>
    <w:p w14:paraId="4BB4852B" w14:textId="77777777" w:rsidR="00053B8D" w:rsidRDefault="003D1A67">
      <w:pPr>
        <w:spacing w:before="180" w:after="80"/>
        <w:ind w:right="360"/>
        <w:jc w:val="right"/>
        <w:rPr>
          <w:rFonts w:cs="Arial"/>
        </w:rPr>
      </w:pPr>
      <w:r>
        <w:rPr>
          <w:b/>
          <w:bCs/>
          <w:color w:val="0A5E5E"/>
          <w:sz w:val="28"/>
          <w:szCs w:val="28"/>
        </w:rPr>
        <w:t xml:space="preserve">1. </w:t>
      </w:r>
      <w:r>
        <w:rPr>
          <w:b/>
          <w:bCs/>
          <w:color w:val="0D1B33"/>
          <w:sz w:val="27"/>
          <w:szCs w:val="27"/>
        </w:rPr>
        <w:t>تعميق فهم الجذور البنيوية للمعاناة</w:t>
      </w:r>
    </w:p>
    <w:p w14:paraId="67659C4F" w14:textId="77777777" w:rsidR="00053B8D" w:rsidRDefault="003D1A67">
      <w:pPr>
        <w:spacing w:before="80" w:after="80" w:line="340" w:lineRule="auto"/>
        <w:ind w:right="720"/>
        <w:jc w:val="both"/>
        <w:rPr>
          <w:rFonts w:cs="Arial"/>
        </w:rPr>
      </w:pPr>
      <w:r>
        <w:t>كانت النظرية تركز في أطروحتها الأولى على عُقدة الذنب بوصفها طاقة محتجزة تحتاج إلى تحويل. لكنها لم تتعمق بما فيه الكفاية في الأسباب البنيوية والاجتماعية التي تخلق هذه العُقدة وتغذيها. هذا الفصل يقدم تفسيراً اجتماعياً-نفسياً متكاملاً لأصل الأزمة.</w:t>
      </w:r>
    </w:p>
    <w:p w14:paraId="402A6CCC" w14:textId="77777777" w:rsidR="00053B8D" w:rsidRDefault="00053B8D">
      <w:pPr>
        <w:spacing w:before="60" w:after="60"/>
        <w:rPr>
          <w:rFonts w:cs="Arial"/>
        </w:rPr>
      </w:pPr>
    </w:p>
    <w:p w14:paraId="369CAFBE" w14:textId="77777777" w:rsidR="00053B8D" w:rsidRDefault="003D1A67">
      <w:pPr>
        <w:spacing w:before="180" w:after="80"/>
        <w:ind w:right="360"/>
        <w:jc w:val="right"/>
        <w:rPr>
          <w:rFonts w:cs="Arial"/>
        </w:rPr>
      </w:pPr>
      <w:r>
        <w:rPr>
          <w:b/>
          <w:bCs/>
          <w:color w:val="0A5E5E"/>
          <w:sz w:val="28"/>
          <w:szCs w:val="28"/>
        </w:rPr>
        <w:t xml:space="preserve">2. </w:t>
      </w:r>
      <w:r>
        <w:rPr>
          <w:b/>
          <w:bCs/>
          <w:color w:val="0D1B33"/>
          <w:sz w:val="27"/>
          <w:szCs w:val="27"/>
        </w:rPr>
        <w:t>توسيع نطاق التطبيق الإكلينيكي</w:t>
      </w:r>
    </w:p>
    <w:p w14:paraId="340ED980" w14:textId="77777777" w:rsidR="00053B8D" w:rsidRDefault="003D1A67">
      <w:pPr>
        <w:spacing w:before="80" w:after="80" w:line="340" w:lineRule="auto"/>
        <w:ind w:right="720"/>
        <w:jc w:val="both"/>
        <w:rPr>
          <w:rFonts w:cs="Arial"/>
        </w:rPr>
      </w:pPr>
      <w:r>
        <w:t>إدراك المعالج أن جزءاً كبيراً من معاناة المريض نابع من صراع معياري بين منظومتين مرجعيتين، يسمح له بتصميم تدخلات علاجية أكثر دقة وحساسية للسياق الثقافي. فبدلاً من التركيز فقط على الأعراض الفردية، يمكنه استهداف جذور الصراع المعياري.</w:t>
      </w:r>
    </w:p>
    <w:p w14:paraId="38BAD64C" w14:textId="77777777" w:rsidR="00053B8D" w:rsidRDefault="00053B8D">
      <w:pPr>
        <w:spacing w:before="60" w:after="60"/>
        <w:rPr>
          <w:rFonts w:cs="Arial"/>
        </w:rPr>
      </w:pPr>
    </w:p>
    <w:p w14:paraId="72BBF06E" w14:textId="77777777" w:rsidR="00053B8D" w:rsidRDefault="003D1A67">
      <w:pPr>
        <w:spacing w:before="180" w:after="80"/>
        <w:ind w:right="360"/>
        <w:jc w:val="right"/>
        <w:rPr>
          <w:rFonts w:cs="Arial"/>
        </w:rPr>
      </w:pPr>
      <w:r>
        <w:rPr>
          <w:b/>
          <w:bCs/>
          <w:color w:val="0A5E5E"/>
          <w:sz w:val="28"/>
          <w:szCs w:val="28"/>
        </w:rPr>
        <w:t xml:space="preserve">3. </w:t>
      </w:r>
      <w:r>
        <w:rPr>
          <w:b/>
          <w:bCs/>
          <w:color w:val="0D1B33"/>
          <w:sz w:val="27"/>
          <w:szCs w:val="27"/>
        </w:rPr>
        <w:t>الربط العضوي مع الفكر العربي والإسلامي المعاصر</w:t>
      </w:r>
    </w:p>
    <w:p w14:paraId="2F03AF76" w14:textId="4998C9CF" w:rsidR="00053B8D" w:rsidRDefault="003D1A67">
      <w:pPr>
        <w:spacing w:before="80" w:after="80" w:line="340" w:lineRule="auto"/>
        <w:ind w:right="720"/>
        <w:jc w:val="both"/>
        <w:rPr>
          <w:rFonts w:cs="Arial"/>
        </w:rPr>
      </w:pPr>
      <w:r>
        <w:t xml:space="preserve">استحضار مشروع مفكرين كبار مثل وائل حلاق يضع نظرية </w:t>
      </w:r>
      <w:r w:rsidR="002F39CE">
        <w:rPr>
          <w:rFonts w:hint="cs"/>
          <w:rtl w:val="0"/>
          <w:lang w:bidi="ar-EG"/>
        </w:rPr>
        <w:t xml:space="preserve">TLRT </w:t>
      </w:r>
      <w:r>
        <w:t>في سياقها الثقافي والفكري الأوسع، ويجعلها أكثر ارتباطاً بالواقع المعاش للمجتمعات العربية والإسلامية، مما يعزز مصداقيتها وملاءمتها الثقافية.</w:t>
      </w:r>
    </w:p>
    <w:p w14:paraId="3B6F1351" w14:textId="77777777" w:rsidR="00053B8D" w:rsidRDefault="00053B8D">
      <w:pPr>
        <w:spacing w:before="60" w:after="60"/>
        <w:rPr>
          <w:rFonts w:cs="Arial"/>
        </w:rPr>
      </w:pPr>
    </w:p>
    <w:p w14:paraId="2F44CEE9" w14:textId="77777777" w:rsidR="00053B8D" w:rsidRDefault="003D1A67">
      <w:pPr>
        <w:spacing w:before="180" w:after="80"/>
        <w:ind w:right="360"/>
        <w:jc w:val="right"/>
        <w:rPr>
          <w:rFonts w:cs="Arial"/>
        </w:rPr>
      </w:pPr>
      <w:r>
        <w:rPr>
          <w:b/>
          <w:bCs/>
          <w:color w:val="0A5E5E"/>
          <w:sz w:val="28"/>
          <w:szCs w:val="28"/>
        </w:rPr>
        <w:t xml:space="preserve">4. </w:t>
      </w:r>
      <w:r>
        <w:rPr>
          <w:b/>
          <w:bCs/>
          <w:color w:val="0D1B33"/>
          <w:sz w:val="27"/>
          <w:szCs w:val="27"/>
        </w:rPr>
        <w:t>تقديم أمل واقعي بدلاً من حلول مثالية وهمية</w:t>
      </w:r>
    </w:p>
    <w:p w14:paraId="7DC29B3B" w14:textId="77777777" w:rsidR="00053B8D" w:rsidRDefault="003D1A67">
      <w:pPr>
        <w:spacing w:before="80" w:after="80" w:line="340" w:lineRule="auto"/>
        <w:ind w:right="720"/>
        <w:jc w:val="both"/>
        <w:rPr>
          <w:rFonts w:cs="Arial"/>
        </w:rPr>
      </w:pPr>
      <w:r>
        <w:t>بدلاً من تقديم حلول مثالية تتجاهل تعقيد الواقع، تعترف هذه المقاربة بالصعوبة والتوتر، ثم تقدم أدوات عملية للتعايش مع هذا التوتر وتحويله إلى طاقة للنمو والتكامل. وهذا الموقف أكثر صدقاً وأكثر فعالية على المدى الطويل.</w:t>
      </w:r>
    </w:p>
    <w:p w14:paraId="2DCA176D" w14:textId="77777777" w:rsidR="00053B8D" w:rsidRDefault="00053B8D">
      <w:pPr>
        <w:spacing w:before="60" w:after="60"/>
        <w:rPr>
          <w:rFonts w:cs="Arial"/>
        </w:rPr>
      </w:pPr>
    </w:p>
    <w:p w14:paraId="3CF18724" w14:textId="77777777" w:rsidR="00053B8D" w:rsidRDefault="003D1A67">
      <w:pPr>
        <w:spacing w:before="180" w:after="80"/>
        <w:ind w:right="360"/>
        <w:jc w:val="right"/>
        <w:rPr>
          <w:rFonts w:cs="Arial"/>
        </w:rPr>
      </w:pPr>
      <w:r>
        <w:rPr>
          <w:b/>
          <w:bCs/>
          <w:color w:val="0A5E5E"/>
          <w:sz w:val="28"/>
          <w:szCs w:val="28"/>
        </w:rPr>
        <w:t xml:space="preserve">5. </w:t>
      </w:r>
      <w:r>
        <w:rPr>
          <w:b/>
          <w:bCs/>
          <w:color w:val="0D1B33"/>
          <w:sz w:val="27"/>
          <w:szCs w:val="27"/>
        </w:rPr>
        <w:t>سد فجوة مزدوجة في الأدبيات النفسية</w:t>
      </w:r>
    </w:p>
    <w:p w14:paraId="18DA420D" w14:textId="77777777" w:rsidR="00053B8D" w:rsidRDefault="003D1A67">
      <w:pPr>
        <w:spacing w:before="80" w:after="80" w:line="340" w:lineRule="auto"/>
        <w:ind w:right="720"/>
        <w:jc w:val="both"/>
        <w:rPr>
          <w:rFonts w:cs="Arial"/>
        </w:rPr>
      </w:pPr>
      <w:r>
        <w:t>معظم النظريات النفسية الغربية تتجاهل هذا البعد الثقافي-الديني المعقد. وفي المقابل، تغفل النظريات النفسية الإسلامية التقليدية غالباً واقع الازدواجية والتمزق الذي يعيشه المسلم المعاصر. هذا الفصل يسعى إلى سد هذه الفجوة المزدوجة.</w:t>
      </w:r>
    </w:p>
    <w:p w14:paraId="0824BBA0" w14:textId="77777777" w:rsidR="00053B8D" w:rsidRDefault="00053B8D">
      <w:pPr>
        <w:spacing w:before="60" w:after="60"/>
        <w:rPr>
          <w:rFonts w:cs="Arial"/>
        </w:rPr>
      </w:pPr>
    </w:p>
    <w:p w14:paraId="043EA6DF" w14:textId="77777777" w:rsidR="00053B8D" w:rsidRDefault="00053B8D">
      <w:pPr>
        <w:pBdr>
          <w:bottom w:val="single" w:sz="6" w:space="1" w:color="0A5E5E"/>
        </w:pBdr>
        <w:spacing w:before="80" w:after="80"/>
        <w:rPr>
          <w:rFonts w:cs="Arial"/>
        </w:rPr>
      </w:pPr>
    </w:p>
    <w:p w14:paraId="72945FE6" w14:textId="77777777" w:rsidR="00053B8D" w:rsidRDefault="003D1A67">
      <w:pPr>
        <w:pageBreakBefore/>
        <w:pBdr>
          <w:bottom w:val="single" w:sz="8" w:space="4" w:color="9A7B1A"/>
        </w:pBdr>
        <w:shd w:val="clear" w:color="auto" w:fill="0D1B33"/>
        <w:spacing w:before="480" w:after="240"/>
        <w:jc w:val="center"/>
        <w:rPr>
          <w:rFonts w:cs="Arial"/>
        </w:rPr>
      </w:pPr>
      <w:r>
        <w:rPr>
          <w:b/>
          <w:bCs/>
          <w:color w:val="FFFFFF"/>
          <w:sz w:val="44"/>
          <w:szCs w:val="44"/>
        </w:rPr>
        <w:t>خامساً: خلاصة وتوصيات علاجية</w:t>
      </w:r>
    </w:p>
    <w:p w14:paraId="412FDECF" w14:textId="77777777" w:rsidR="00053B8D" w:rsidRDefault="00053B8D">
      <w:pPr>
        <w:spacing w:before="60" w:after="60"/>
        <w:rPr>
          <w:rFonts w:cs="Arial"/>
        </w:rPr>
      </w:pPr>
    </w:p>
    <w:p w14:paraId="64838663" w14:textId="77777777" w:rsidR="00053B8D" w:rsidRDefault="003D1A67">
      <w:pPr>
        <w:pBdr>
          <w:right w:val="single" w:sz="24" w:space="8" w:color="0A5E5E"/>
        </w:pBdr>
        <w:spacing w:before="280" w:after="120"/>
        <w:jc w:val="right"/>
        <w:rPr>
          <w:rFonts w:cs="Arial"/>
        </w:rPr>
      </w:pPr>
      <w:r>
        <w:rPr>
          <w:b/>
          <w:bCs/>
          <w:color w:val="0A5E5E"/>
          <w:sz w:val="28"/>
          <w:szCs w:val="28"/>
        </w:rPr>
        <w:t>5.1  خلاصة الفصل</w:t>
      </w:r>
    </w:p>
    <w:p w14:paraId="24C75FFB" w14:textId="77777777" w:rsidR="00053B8D" w:rsidRDefault="00053B8D">
      <w:pPr>
        <w:spacing w:before="60" w:after="60"/>
        <w:rPr>
          <w:rFonts w:cs="Arial"/>
        </w:rPr>
      </w:pPr>
    </w:p>
    <w:p w14:paraId="0FB9D5C3" w14:textId="77777777" w:rsidR="00053B8D" w:rsidRDefault="003D1A67">
      <w:pPr>
        <w:spacing w:before="80" w:after="80" w:line="340" w:lineRule="auto"/>
        <w:ind w:right="360"/>
        <w:jc w:val="both"/>
        <w:rPr>
          <w:rFonts w:cs="Arial"/>
        </w:rPr>
      </w:pPr>
      <w:r>
        <w:t>الفصام الأخلاقي بين المنظومتين الإسلامية والعلمانية ليس مجرد قضية فكرية نخبوية، بل هو مصدر حقيقي وعميق للأزمات النفسية التي يعاني منها ملايين الأفراد في المجتمعات الإسلامية. إنه يخلق صراعاً داخلياً مزمناً، وشعوراً مزدوجاً بالذنب، وتشتتاً في الهوية، وعجزاً مؤلماً عن اتخاذ القرارات.</w:t>
      </w:r>
    </w:p>
    <w:p w14:paraId="674A4871" w14:textId="77777777" w:rsidR="00053B8D" w:rsidRDefault="00053B8D">
      <w:pPr>
        <w:spacing w:before="60" w:after="60"/>
        <w:rPr>
          <w:rFonts w:cs="Arial"/>
        </w:rPr>
      </w:pPr>
    </w:p>
    <w:p w14:paraId="27CA1681" w14:textId="6185B0B6" w:rsidR="00053B8D" w:rsidRDefault="003D1A67">
      <w:pPr>
        <w:spacing w:before="80" w:after="80" w:line="340" w:lineRule="auto"/>
        <w:ind w:right="360"/>
        <w:jc w:val="both"/>
        <w:rPr>
          <w:rFonts w:cs="Arial"/>
        </w:rPr>
      </w:pPr>
      <w:r>
        <w:t>وتقدم نظرية العلاج بحرث المصالحة التحويلية (</w:t>
      </w:r>
      <w:r w:rsidR="003474BE">
        <w:rPr>
          <w:rFonts w:hint="cs"/>
          <w:rtl w:val="0"/>
          <w:lang w:bidi="ar-EG"/>
        </w:rPr>
        <w:t>TLRT</w:t>
      </w:r>
      <w:r>
        <w:t>)، بأدواتها المتنوعة والمتكاملة – خريطة الدين النفسي الموسعة، وإعادة بناء صورة الله في سياق الأزمة، والجسر السلوكي بين المنظومات، وإعادة كتابة السردية نحو التكامل – إطاراً تشخيصياً وعلاجياً قادراً على استيعاب هذه الإشكالية المعقدة، وتحويلها من مصدر للألم والعجز إلى فرصة للنمو والتكامل الوجودي.</w:t>
      </w:r>
    </w:p>
    <w:p w14:paraId="0ECE2B95" w14:textId="77777777" w:rsidR="00053B8D" w:rsidRDefault="00053B8D">
      <w:pPr>
        <w:spacing w:before="60" w:after="60"/>
        <w:rPr>
          <w:rFonts w:cs="Arial"/>
        </w:rPr>
      </w:pPr>
    </w:p>
    <w:p w14:paraId="166AA901" w14:textId="77777777" w:rsidR="00053B8D" w:rsidRDefault="003D1A67">
      <w:pPr>
        <w:pBdr>
          <w:right w:val="single" w:sz="24" w:space="8" w:color="0A5E5E"/>
        </w:pBdr>
        <w:spacing w:before="280" w:after="120"/>
        <w:jc w:val="right"/>
        <w:rPr>
          <w:rFonts w:cs="Arial"/>
        </w:rPr>
      </w:pPr>
      <w:r>
        <w:rPr>
          <w:b/>
          <w:bCs/>
          <w:color w:val="0A5E5E"/>
          <w:sz w:val="28"/>
          <w:szCs w:val="28"/>
        </w:rPr>
        <w:t>5.2  توصيات علاجية للممارسين</w:t>
      </w:r>
    </w:p>
    <w:p w14:paraId="14E255D8" w14:textId="77777777" w:rsidR="00053B8D" w:rsidRDefault="00053B8D">
      <w:pPr>
        <w:spacing w:before="60" w:after="60"/>
        <w:rPr>
          <w:rFonts w:cs="Arial"/>
        </w:rPr>
      </w:pPr>
    </w:p>
    <w:p w14:paraId="4A040813" w14:textId="77777777" w:rsidR="00053B8D" w:rsidRDefault="003D1A67">
      <w:pPr>
        <w:pBdr>
          <w:right w:val="single" w:sz="16" w:space="8" w:color="0A5E5E"/>
        </w:pBdr>
        <w:shd w:val="clear" w:color="auto" w:fill="E8F4F4"/>
        <w:spacing w:before="180" w:after="80"/>
        <w:ind w:right="360"/>
        <w:jc w:val="right"/>
        <w:rPr>
          <w:rFonts w:cs="Arial"/>
        </w:rPr>
      </w:pPr>
      <w:r>
        <w:rPr>
          <w:b/>
          <w:bCs/>
          <w:color w:val="0A5E5E"/>
          <w:sz w:val="27"/>
          <w:szCs w:val="27"/>
        </w:rPr>
        <w:t xml:space="preserve">1. </w:t>
      </w:r>
      <w:r>
        <w:rPr>
          <w:b/>
          <w:bCs/>
          <w:color w:val="0D1B33"/>
          <w:sz w:val="27"/>
          <w:szCs w:val="27"/>
        </w:rPr>
        <w:t>تشخيص الفصام الأخلاقي</w:t>
      </w:r>
    </w:p>
    <w:p w14:paraId="17B69B1E" w14:textId="77777777" w:rsidR="00053B8D" w:rsidRDefault="003D1A67">
      <w:pPr>
        <w:spacing w:before="80" w:after="80" w:line="340" w:lineRule="auto"/>
        <w:ind w:right="720"/>
        <w:jc w:val="both"/>
        <w:rPr>
          <w:rFonts w:cs="Arial"/>
        </w:rPr>
      </w:pPr>
      <w:r>
        <w:t>على المعالج أن يكون متيقظاً لعلامات الصراع المعياري لدى المريض، وألا يختزل معاناته في أعراض فردية أو تشخيصات نفسية مجردة (كالاكتئاب أو القلق) دون النظر إلى السياق الثقافي والديني الأوسع.</w:t>
      </w:r>
    </w:p>
    <w:p w14:paraId="53699C0C" w14:textId="77777777" w:rsidR="00053B8D" w:rsidRDefault="00053B8D">
      <w:pPr>
        <w:spacing w:before="60" w:after="60"/>
        <w:rPr>
          <w:rFonts w:cs="Arial"/>
        </w:rPr>
      </w:pPr>
    </w:p>
    <w:p w14:paraId="15946382" w14:textId="77777777" w:rsidR="00053B8D" w:rsidRDefault="003D1A67">
      <w:pPr>
        <w:pBdr>
          <w:right w:val="single" w:sz="16" w:space="8" w:color="0A5E5E"/>
        </w:pBdr>
        <w:shd w:val="clear" w:color="auto" w:fill="E8F4F4"/>
        <w:spacing w:before="180" w:after="80"/>
        <w:ind w:right="360"/>
        <w:jc w:val="right"/>
        <w:rPr>
          <w:rFonts w:cs="Arial"/>
        </w:rPr>
      </w:pPr>
      <w:r>
        <w:rPr>
          <w:b/>
          <w:bCs/>
          <w:color w:val="0A5E5E"/>
          <w:sz w:val="27"/>
          <w:szCs w:val="27"/>
        </w:rPr>
        <w:t xml:space="preserve">2. </w:t>
      </w:r>
      <w:r>
        <w:rPr>
          <w:b/>
          <w:bCs/>
          <w:color w:val="0D1B33"/>
          <w:sz w:val="27"/>
          <w:szCs w:val="27"/>
        </w:rPr>
        <w:t>التحقق من التجربة</w:t>
      </w:r>
    </w:p>
    <w:p w14:paraId="78BA4252" w14:textId="77777777" w:rsidR="00053B8D" w:rsidRDefault="003D1A67">
      <w:pPr>
        <w:spacing w:before="80" w:after="80" w:line="340" w:lineRule="auto"/>
        <w:ind w:right="720"/>
        <w:jc w:val="both"/>
        <w:rPr>
          <w:rFonts w:cs="Arial"/>
        </w:rPr>
      </w:pPr>
      <w:r>
        <w:t>من الأهمية القصوى أن يشعر المريض بأن معاناته مفهومة ومقبولة في سياقها الثقافي والتاريخي، وأنه ليس "مريضاً" أو "ضعيف الإيمان" فقط، بل هو أيضاً ضحية – إلى حد ما – لصراع تاريخي وبنيوي يتجاوز قدرته الفردية.</w:t>
      </w:r>
    </w:p>
    <w:p w14:paraId="1C8F4AAA" w14:textId="77777777" w:rsidR="00053B8D" w:rsidRDefault="00053B8D">
      <w:pPr>
        <w:spacing w:before="60" w:after="60"/>
        <w:rPr>
          <w:rFonts w:cs="Arial"/>
        </w:rPr>
      </w:pPr>
    </w:p>
    <w:p w14:paraId="40300D70" w14:textId="77777777" w:rsidR="00053B8D" w:rsidRDefault="003D1A67">
      <w:pPr>
        <w:pBdr>
          <w:right w:val="single" w:sz="16" w:space="8" w:color="0A5E5E"/>
        </w:pBdr>
        <w:shd w:val="clear" w:color="auto" w:fill="E8F4F4"/>
        <w:spacing w:before="180" w:after="80"/>
        <w:ind w:right="360"/>
        <w:jc w:val="right"/>
        <w:rPr>
          <w:rFonts w:cs="Arial"/>
        </w:rPr>
      </w:pPr>
      <w:r>
        <w:rPr>
          <w:b/>
          <w:bCs/>
          <w:color w:val="0A5E5E"/>
          <w:sz w:val="27"/>
          <w:szCs w:val="27"/>
        </w:rPr>
        <w:t xml:space="preserve">3. </w:t>
      </w:r>
      <w:r>
        <w:rPr>
          <w:b/>
          <w:bCs/>
          <w:color w:val="0D1B33"/>
          <w:sz w:val="27"/>
          <w:szCs w:val="27"/>
        </w:rPr>
        <w:t>تجنب الانحياز المعياري</w:t>
      </w:r>
    </w:p>
    <w:p w14:paraId="0E804593" w14:textId="77777777" w:rsidR="00053B8D" w:rsidRDefault="003D1A67">
      <w:pPr>
        <w:spacing w:before="80" w:after="80" w:line="340" w:lineRule="auto"/>
        <w:ind w:right="720"/>
        <w:jc w:val="both"/>
        <w:rPr>
          <w:rFonts w:cs="Arial"/>
        </w:rPr>
      </w:pPr>
      <w:r>
        <w:t>يجب على المعالج أن يتجنب الانحياز الضمني لإحدى المنظومتين على حساب الأخرى. فدوره ليس أن يفرض على المريض رؤية "صحيحة" للعالم، بل أن يساعده على بناء موقفه الخاص بوعي ومسؤولية.</w:t>
      </w:r>
    </w:p>
    <w:p w14:paraId="69F9E19B" w14:textId="77777777" w:rsidR="00053B8D" w:rsidRDefault="00053B8D">
      <w:pPr>
        <w:spacing w:before="60" w:after="60"/>
        <w:rPr>
          <w:rFonts w:cs="Arial"/>
        </w:rPr>
      </w:pPr>
    </w:p>
    <w:p w14:paraId="3250E2E8" w14:textId="77777777" w:rsidR="00053B8D" w:rsidRDefault="003D1A67">
      <w:pPr>
        <w:pBdr>
          <w:right w:val="single" w:sz="16" w:space="8" w:color="0A5E5E"/>
        </w:pBdr>
        <w:shd w:val="clear" w:color="auto" w:fill="E8F4F4"/>
        <w:spacing w:before="180" w:after="80"/>
        <w:ind w:right="360"/>
        <w:jc w:val="right"/>
        <w:rPr>
          <w:rFonts w:cs="Arial"/>
        </w:rPr>
      </w:pPr>
      <w:r>
        <w:rPr>
          <w:b/>
          <w:bCs/>
          <w:color w:val="0A5E5E"/>
          <w:sz w:val="27"/>
          <w:szCs w:val="27"/>
        </w:rPr>
        <w:t xml:space="preserve">4. </w:t>
      </w:r>
      <w:r>
        <w:rPr>
          <w:b/>
          <w:bCs/>
          <w:color w:val="0D1B33"/>
          <w:sz w:val="27"/>
          <w:szCs w:val="27"/>
        </w:rPr>
        <w:t>تعزيز التكامل لا الإقصاء</w:t>
      </w:r>
    </w:p>
    <w:p w14:paraId="641DB1D3" w14:textId="77777777" w:rsidR="00053B8D" w:rsidRDefault="003D1A67">
      <w:pPr>
        <w:spacing w:before="80" w:after="80" w:line="340" w:lineRule="auto"/>
        <w:ind w:right="720"/>
        <w:jc w:val="both"/>
        <w:rPr>
          <w:rFonts w:cs="Arial"/>
        </w:rPr>
      </w:pPr>
      <w:r>
        <w:t>الهدف العلاجي الأسمى ليس اختيار منظومة والتخلي عن الأخرى قسراً، بل بناء قدرة نفسية على العيش مع التعقيد والغموض، واتخاذ قرارات واعية مع الاعتراف بالتكلفة المحتملة في كلتا الحالتين.</w:t>
      </w:r>
    </w:p>
    <w:p w14:paraId="623BD9CC" w14:textId="77777777" w:rsidR="00053B8D" w:rsidRDefault="00053B8D">
      <w:pPr>
        <w:spacing w:before="60" w:after="60"/>
        <w:rPr>
          <w:rFonts w:cs="Arial"/>
        </w:rPr>
      </w:pPr>
    </w:p>
    <w:p w14:paraId="2D1F4166" w14:textId="77777777" w:rsidR="00053B8D" w:rsidRDefault="003D1A67">
      <w:pPr>
        <w:pBdr>
          <w:right w:val="single" w:sz="16" w:space="8" w:color="0A5E5E"/>
        </w:pBdr>
        <w:shd w:val="clear" w:color="auto" w:fill="E8F4F4"/>
        <w:spacing w:before="180" w:after="80"/>
        <w:ind w:right="360"/>
        <w:jc w:val="right"/>
        <w:rPr>
          <w:rFonts w:cs="Arial"/>
        </w:rPr>
      </w:pPr>
      <w:r>
        <w:rPr>
          <w:b/>
          <w:bCs/>
          <w:color w:val="0A5E5E"/>
          <w:sz w:val="27"/>
          <w:szCs w:val="27"/>
        </w:rPr>
        <w:t xml:space="preserve">5. </w:t>
      </w:r>
      <w:r>
        <w:rPr>
          <w:b/>
          <w:bCs/>
          <w:color w:val="0D1B33"/>
          <w:sz w:val="27"/>
          <w:szCs w:val="27"/>
        </w:rPr>
        <w:t>توظيف العمل الإحساني كجسر</w:t>
      </w:r>
    </w:p>
    <w:p w14:paraId="231CBB2D" w14:textId="77777777" w:rsidR="00053B8D" w:rsidRDefault="003D1A67">
      <w:pPr>
        <w:spacing w:before="80" w:after="80" w:line="340" w:lineRule="auto"/>
        <w:ind w:right="720"/>
        <w:jc w:val="both"/>
        <w:rPr>
          <w:rFonts w:cs="Arial"/>
        </w:rPr>
      </w:pPr>
      <w:r>
        <w:t xml:space="preserve">توجيه المريض نحو أعمال </w:t>
      </w:r>
      <w:proofErr w:type="spellStart"/>
      <w:r>
        <w:t>إحسانية</w:t>
      </w:r>
      <w:proofErr w:type="spellEnd"/>
      <w:r>
        <w:t xml:space="preserve"> تتجاوز الانقسام الأيديولوجي، وتركز على النفع الإنساني المشترك، يمكن أن يكون أداة علاجية قوية لتجاوز الشلل المعياري وبناء هوية إيجابية فاعلة.</w:t>
      </w:r>
    </w:p>
    <w:p w14:paraId="20456E03" w14:textId="77777777" w:rsidR="00053B8D" w:rsidRDefault="00053B8D">
      <w:pPr>
        <w:spacing w:before="60" w:after="60"/>
        <w:rPr>
          <w:rFonts w:cs="Arial"/>
        </w:rPr>
      </w:pPr>
    </w:p>
    <w:p w14:paraId="229A3991" w14:textId="77777777" w:rsidR="00053B8D" w:rsidRDefault="00053B8D">
      <w:pPr>
        <w:pBdr>
          <w:bottom w:val="single" w:sz="6" w:space="1" w:color="0A5E5E"/>
        </w:pBdr>
        <w:spacing w:before="80" w:after="80"/>
        <w:rPr>
          <w:rFonts w:cs="Arial"/>
        </w:rPr>
      </w:pPr>
    </w:p>
    <w:p w14:paraId="119F264D" w14:textId="77777777" w:rsidR="00053B8D" w:rsidRDefault="003D1A67">
      <w:pPr>
        <w:pageBreakBefore/>
        <w:spacing w:before="360" w:after="240"/>
        <w:jc w:val="center"/>
        <w:rPr>
          <w:rFonts w:cs="Arial"/>
        </w:rPr>
      </w:pPr>
      <w:r>
        <w:rPr>
          <w:b/>
          <w:bCs/>
          <w:color w:val="0D1B33"/>
          <w:sz w:val="36"/>
          <w:szCs w:val="36"/>
        </w:rPr>
        <w:t>المراجع والهوامش</w:t>
      </w:r>
    </w:p>
    <w:p w14:paraId="218D1B69" w14:textId="77777777" w:rsidR="00053B8D" w:rsidRDefault="00053B8D">
      <w:pPr>
        <w:pBdr>
          <w:bottom w:val="single" w:sz="6" w:space="1" w:color="9A7B1A"/>
        </w:pBdr>
        <w:spacing w:before="80" w:after="80"/>
        <w:rPr>
          <w:rFonts w:cs="Arial"/>
        </w:rPr>
      </w:pPr>
    </w:p>
    <w:p w14:paraId="3D6150E7" w14:textId="77777777" w:rsidR="00053B8D" w:rsidRDefault="00053B8D">
      <w:pPr>
        <w:spacing w:before="60" w:after="60"/>
        <w:rPr>
          <w:rFonts w:cs="Arial"/>
        </w:rPr>
      </w:pPr>
    </w:p>
    <w:p w14:paraId="59698BE0" w14:textId="77777777" w:rsidR="00053B8D" w:rsidRDefault="003D1A67">
      <w:pPr>
        <w:spacing w:before="80" w:after="40" w:line="300" w:lineRule="auto"/>
        <w:ind w:right="360"/>
        <w:jc w:val="right"/>
        <w:rPr>
          <w:rFonts w:cs="Arial"/>
        </w:rPr>
      </w:pPr>
      <w:r>
        <w:rPr>
          <w:b/>
          <w:bCs/>
          <w:color w:val="0A5E5E"/>
          <w:sz w:val="24"/>
          <w:szCs w:val="24"/>
        </w:rPr>
        <w:t xml:space="preserve">[1]  </w:t>
      </w:r>
      <w:r>
        <w:rPr>
          <w:color w:val="333333"/>
          <w:sz w:val="23"/>
          <w:szCs w:val="23"/>
        </w:rPr>
        <w:t>إن الأزمة النفسية ليست نتيجة الخطأ الشخصي فحسب، بل هي ثمرة "الفصام الأخلاقي" الذي يفرضه غياب السياق المؤسسي والمعرفي الذي يربط الأرض بالسماء.</w:t>
      </w:r>
    </w:p>
    <w:p w14:paraId="41280809" w14:textId="77777777" w:rsidR="00053B8D" w:rsidRDefault="003D1A67">
      <w:pPr>
        <w:spacing w:before="80" w:after="40" w:line="300" w:lineRule="auto"/>
        <w:ind w:right="360"/>
        <w:jc w:val="right"/>
        <w:rPr>
          <w:rFonts w:cs="Arial"/>
        </w:rPr>
      </w:pPr>
      <w:r>
        <w:rPr>
          <w:b/>
          <w:bCs/>
          <w:color w:val="0A5E5E"/>
          <w:sz w:val="24"/>
          <w:szCs w:val="24"/>
        </w:rPr>
        <w:t xml:space="preserve">[2]  </w:t>
      </w:r>
      <w:r>
        <w:rPr>
          <w:color w:val="333333"/>
          <w:sz w:val="23"/>
          <w:szCs w:val="23"/>
        </w:rPr>
        <w:t>يؤدي هذا الفصام إلى "إزالة القدسي من الحياة اليومية" وخلق عالم خالٍ من المعنى الموحد، مما يفاقم حالات الاكتئاب والعدمية؛ حيث يفقد الفرد الرابط الذي يجمع بين تجاربه الأرضية وغاياته السماوية.</w:t>
      </w:r>
    </w:p>
    <w:p w14:paraId="37C91E2E" w14:textId="77777777" w:rsidR="00053B8D" w:rsidRDefault="003D1A67">
      <w:pPr>
        <w:spacing w:before="80" w:after="40" w:line="300" w:lineRule="auto"/>
        <w:ind w:right="360"/>
        <w:jc w:val="right"/>
        <w:rPr>
          <w:rFonts w:cs="Arial"/>
        </w:rPr>
      </w:pPr>
      <w:r>
        <w:rPr>
          <w:b/>
          <w:bCs/>
          <w:color w:val="0A5E5E"/>
          <w:sz w:val="24"/>
          <w:szCs w:val="24"/>
        </w:rPr>
        <w:t xml:space="preserve">[3]  </w:t>
      </w:r>
      <w:r>
        <w:rPr>
          <w:color w:val="333333"/>
          <w:sz w:val="23"/>
          <w:szCs w:val="23"/>
        </w:rPr>
        <w:t>حلاق، وائل (2018). إعادة تشكيل الذات في الفكر الإسلامي. الشبكة العربية للأبحاث والنشر.</w:t>
      </w:r>
    </w:p>
    <w:p w14:paraId="3997AD8B" w14:textId="75BC4065" w:rsidR="00053B8D" w:rsidRDefault="003D1A67">
      <w:pPr>
        <w:spacing w:before="80" w:after="40" w:line="300" w:lineRule="auto"/>
        <w:ind w:right="360"/>
        <w:jc w:val="right"/>
        <w:rPr>
          <w:rFonts w:cs="Arial"/>
        </w:rPr>
      </w:pPr>
      <w:r>
        <w:rPr>
          <w:b/>
          <w:bCs/>
          <w:color w:val="0A5E5E"/>
          <w:sz w:val="24"/>
          <w:szCs w:val="24"/>
        </w:rPr>
        <w:t xml:space="preserve">[4–8]  </w:t>
      </w:r>
      <w:r>
        <w:rPr>
          <w:color w:val="333333"/>
          <w:sz w:val="23"/>
          <w:szCs w:val="23"/>
        </w:rPr>
        <w:t>العلاج بالحرث التصالحي التحويلي (</w:t>
      </w:r>
      <w:r w:rsidR="00840D5D">
        <w:rPr>
          <w:rFonts w:hint="cs"/>
          <w:color w:val="333333"/>
          <w:sz w:val="23"/>
          <w:szCs w:val="23"/>
          <w:rtl w:val="0"/>
          <w:lang w:bidi="ar-EG"/>
        </w:rPr>
        <w:t>TLRT</w:t>
      </w:r>
      <w:r>
        <w:rPr>
          <w:color w:val="333333"/>
          <w:sz w:val="23"/>
          <w:szCs w:val="23"/>
        </w:rPr>
        <w:t xml:space="preserve">) (2026). الدليل النظري والإكلينيكي. </w:t>
      </w:r>
      <w:proofErr w:type="spellStart"/>
      <w:r>
        <w:rPr>
          <w:color w:val="333333"/>
          <w:sz w:val="23"/>
          <w:szCs w:val="23"/>
        </w:rPr>
        <w:t>صص</w:t>
      </w:r>
      <w:proofErr w:type="spellEnd"/>
      <w:r>
        <w:rPr>
          <w:color w:val="333333"/>
          <w:sz w:val="23"/>
          <w:szCs w:val="23"/>
        </w:rPr>
        <w:t xml:space="preserve"> 34، 57، 145، 98، 167.</w:t>
      </w:r>
    </w:p>
    <w:p w14:paraId="0AE97761" w14:textId="77777777" w:rsidR="00053B8D" w:rsidRDefault="003D1A67">
      <w:pPr>
        <w:spacing w:before="80" w:after="40" w:line="300" w:lineRule="auto"/>
        <w:ind w:right="360"/>
        <w:jc w:val="right"/>
        <w:rPr>
          <w:rFonts w:cs="Arial"/>
        </w:rPr>
      </w:pPr>
      <w:r>
        <w:rPr>
          <w:b/>
          <w:bCs/>
          <w:color w:val="0A5E5E"/>
          <w:sz w:val="24"/>
          <w:szCs w:val="24"/>
        </w:rPr>
        <w:t xml:space="preserve">[9–12]  </w:t>
      </w:r>
      <w:r>
        <w:rPr>
          <w:color w:val="333333"/>
          <w:sz w:val="23"/>
          <w:szCs w:val="23"/>
        </w:rPr>
        <w:t xml:space="preserve">المصدر نفسه، </w:t>
      </w:r>
      <w:proofErr w:type="spellStart"/>
      <w:r>
        <w:rPr>
          <w:color w:val="333333"/>
          <w:sz w:val="23"/>
          <w:szCs w:val="23"/>
        </w:rPr>
        <w:t>صص</w:t>
      </w:r>
      <w:proofErr w:type="spellEnd"/>
      <w:r>
        <w:rPr>
          <w:color w:val="333333"/>
          <w:sz w:val="23"/>
          <w:szCs w:val="23"/>
        </w:rPr>
        <w:t xml:space="preserve"> 146، 150، 57، 61.</w:t>
      </w:r>
    </w:p>
    <w:p w14:paraId="39957B76" w14:textId="77777777" w:rsidR="00053B8D" w:rsidRDefault="003D1A67">
      <w:pPr>
        <w:spacing w:before="80" w:after="40" w:line="300" w:lineRule="auto"/>
        <w:ind w:right="360"/>
        <w:jc w:val="right"/>
        <w:rPr>
          <w:rFonts w:cs="Arial"/>
        </w:rPr>
      </w:pPr>
      <w:r>
        <w:rPr>
          <w:b/>
          <w:bCs/>
          <w:color w:val="0A5E5E"/>
          <w:sz w:val="24"/>
          <w:szCs w:val="24"/>
        </w:rPr>
        <w:t xml:space="preserve">[13–16]  </w:t>
      </w:r>
      <w:r>
        <w:rPr>
          <w:color w:val="333333"/>
          <w:sz w:val="23"/>
          <w:szCs w:val="23"/>
        </w:rPr>
        <w:t xml:space="preserve">المصدر نفسه، </w:t>
      </w:r>
      <w:proofErr w:type="spellStart"/>
      <w:r>
        <w:rPr>
          <w:color w:val="333333"/>
          <w:sz w:val="23"/>
          <w:szCs w:val="23"/>
        </w:rPr>
        <w:t>صص</w:t>
      </w:r>
      <w:proofErr w:type="spellEnd"/>
      <w:r>
        <w:rPr>
          <w:color w:val="333333"/>
          <w:sz w:val="23"/>
          <w:szCs w:val="23"/>
        </w:rPr>
        <w:t xml:space="preserve"> 89، (القرآن الكريم، سورة الزمر، الآية 53)، 98، 131.</w:t>
      </w:r>
    </w:p>
    <w:p w14:paraId="36AE32B0" w14:textId="77777777" w:rsidR="00053B8D" w:rsidRDefault="003D1A67">
      <w:pPr>
        <w:spacing w:before="80" w:after="40" w:line="300" w:lineRule="auto"/>
        <w:ind w:right="360"/>
        <w:jc w:val="right"/>
        <w:rPr>
          <w:rFonts w:cs="Arial"/>
        </w:rPr>
      </w:pPr>
      <w:r>
        <w:rPr>
          <w:b/>
          <w:bCs/>
          <w:color w:val="0A5E5E"/>
          <w:sz w:val="24"/>
          <w:szCs w:val="24"/>
        </w:rPr>
        <w:t xml:space="preserve">[17–18]  </w:t>
      </w:r>
      <w:r>
        <w:rPr>
          <w:color w:val="333333"/>
          <w:sz w:val="23"/>
          <w:szCs w:val="23"/>
        </w:rPr>
        <w:t>حلاق، وائل (2018)، مرجع سابق.</w:t>
      </w:r>
    </w:p>
    <w:p w14:paraId="53DB5517" w14:textId="77777777" w:rsidR="00053B8D" w:rsidRDefault="00053B8D">
      <w:pPr>
        <w:spacing w:before="60" w:after="60"/>
        <w:rPr>
          <w:rFonts w:cs="Arial"/>
        </w:rPr>
      </w:pPr>
    </w:p>
    <w:p w14:paraId="205C3451" w14:textId="77777777" w:rsidR="00053B8D" w:rsidRDefault="00053B8D">
      <w:pPr>
        <w:pBdr>
          <w:bottom w:val="single" w:sz="6" w:space="1" w:color="9A7B1A"/>
        </w:pBdr>
        <w:spacing w:before="80" w:after="80"/>
        <w:rPr>
          <w:rFonts w:cs="Arial"/>
        </w:rPr>
      </w:pPr>
    </w:p>
    <w:p w14:paraId="0C4FBC8E" w14:textId="77777777" w:rsidR="00053B8D" w:rsidRDefault="003D1A67">
      <w:pPr>
        <w:spacing w:before="240" w:after="120"/>
        <w:jc w:val="center"/>
        <w:rPr>
          <w:rFonts w:cs="Arial"/>
        </w:rPr>
      </w:pPr>
      <w:r>
        <w:rPr>
          <w:b/>
          <w:bCs/>
          <w:color w:val="0A5E5E"/>
          <w:sz w:val="28"/>
          <w:szCs w:val="28"/>
        </w:rPr>
        <w:t>نهاية الجزء الثاني عشر</w:t>
      </w:r>
    </w:p>
    <w:p w14:paraId="6A013EBE" w14:textId="77777777" w:rsidR="00053B8D" w:rsidRDefault="003D1A67">
      <w:pPr>
        <w:spacing w:after="60"/>
        <w:jc w:val="center"/>
        <w:rPr>
          <w:rFonts w:cs="Arial"/>
        </w:rPr>
      </w:pPr>
      <w:r>
        <w:rPr>
          <w:b/>
          <w:bCs/>
          <w:color w:val="0D1B33"/>
        </w:rPr>
        <w:t>الفصل الخامس عشر: الفصام الأخلاقي ومصدر الأزمات النفسية</w:t>
      </w:r>
    </w:p>
    <w:p w14:paraId="4CD0F0D7" w14:textId="239D7733" w:rsidR="00053B8D" w:rsidRDefault="003D1A67">
      <w:pPr>
        <w:spacing w:before="60" w:after="240"/>
        <w:jc w:val="center"/>
        <w:rPr>
          <w:rFonts w:cs="Arial"/>
        </w:rPr>
      </w:pPr>
      <w:r>
        <w:rPr>
          <w:color w:val="9A7B1A"/>
          <w:sz w:val="24"/>
          <w:szCs w:val="24"/>
        </w:rPr>
        <w:t>العلاج بحرث المصالحة التحويلية (</w:t>
      </w:r>
      <w:r w:rsidR="00840D5D">
        <w:rPr>
          <w:rFonts w:hint="cs"/>
          <w:color w:val="9A7B1A"/>
          <w:sz w:val="24"/>
          <w:szCs w:val="24"/>
          <w:rtl w:val="0"/>
          <w:lang w:bidi="ar-EG"/>
        </w:rPr>
        <w:t>TLRT</w:t>
      </w:r>
      <w:r>
        <w:rPr>
          <w:color w:val="9A7B1A"/>
          <w:sz w:val="24"/>
          <w:szCs w:val="24"/>
        </w:rPr>
        <w:t>) – عبد السلام الزراع</w:t>
      </w:r>
    </w:p>
    <w:sectPr w:rsidR="00053B8D">
      <w:headerReference w:type="default" r:id="rId7"/>
      <w:footerReference w:type="default" r:id="rId8"/>
      <w:pgSz w:w="11906" w:h="16838"/>
      <w:pgMar w:top="1440" w:right="1700" w:bottom="144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26BE7" w14:textId="77777777" w:rsidR="00A63AEC" w:rsidRDefault="00A63AEC">
      <w:pPr>
        <w:rPr>
          <w:rFonts w:cs="Arial"/>
        </w:rPr>
      </w:pPr>
      <w:r>
        <w:separator/>
      </w:r>
    </w:p>
  </w:endnote>
  <w:endnote w:type="continuationSeparator" w:id="0">
    <w:p w14:paraId="546B2209" w14:textId="77777777" w:rsidR="00A63AEC" w:rsidRDefault="00A63AEC">
      <w:pPr>
        <w:rPr>
          <w:rFonts w:cs="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A60E" w14:textId="77777777" w:rsidR="00053B8D" w:rsidRDefault="003D1A67">
    <w:pPr>
      <w:pBdr>
        <w:top w:val="single" w:sz="4" w:space="4" w:color="9A7B1A"/>
      </w:pBdr>
      <w:jc w:val="center"/>
      <w:rPr>
        <w:rFonts w:cs="Arial"/>
      </w:rPr>
    </w:pPr>
    <w:r>
      <w:rPr>
        <w:color w:val="0D1B33"/>
        <w:sz w:val="20"/>
        <w:szCs w:val="20"/>
      </w:rPr>
      <w:t xml:space="preserve">عبد السلام الزراع  –  zaraapsychology.com  –  الصفحة </w:t>
    </w:r>
    <w:r>
      <w:rPr>
        <w:rFonts w:ascii="Times New Roman" w:eastAsia="Times New Roman" w:hAnsi="Times New Roman" w:cs="Times New Roman"/>
        <w:color w:val="0D1B33"/>
        <w:sz w:val="20"/>
        <w:szCs w:val="20"/>
      </w:rPr>
      <w:fldChar w:fldCharType="begin"/>
    </w:r>
    <w:r>
      <w:rPr>
        <w:rFonts w:ascii="Times New Roman" w:eastAsia="Times New Roman" w:hAnsi="Times New Roman" w:cs="Times New Roman"/>
        <w:color w:val="0D1B33"/>
        <w:sz w:val="20"/>
        <w:szCs w:val="20"/>
      </w:rPr>
      <w:instrText>PAGE</w:instrText>
    </w:r>
    <w:r>
      <w:rPr>
        <w:rFonts w:ascii="Times New Roman" w:eastAsia="Times New Roman" w:hAnsi="Times New Roman" w:cs="Times New Roman"/>
        <w:color w:val="0D1B33"/>
        <w:sz w:val="20"/>
        <w:szCs w:val="20"/>
      </w:rPr>
      <w:fldChar w:fldCharType="separate"/>
    </w:r>
    <w:r>
      <w:rPr>
        <w:rFonts w:ascii="Times New Roman" w:eastAsia="Times New Roman" w:hAnsi="Times New Roman" w:cs="Times New Roman"/>
        <w:color w:val="0D1B33"/>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08A74" w14:textId="77777777" w:rsidR="00A63AEC" w:rsidRDefault="00A63AEC">
      <w:pPr>
        <w:rPr>
          <w:rFonts w:cs="Arial"/>
        </w:rPr>
      </w:pPr>
      <w:r>
        <w:separator/>
      </w:r>
    </w:p>
  </w:footnote>
  <w:footnote w:type="continuationSeparator" w:id="0">
    <w:p w14:paraId="482A8ABD" w14:textId="77777777" w:rsidR="00A63AEC" w:rsidRDefault="00A63AEC">
      <w:pPr>
        <w:rPr>
          <w:rFonts w:cs="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D4672" w14:textId="77777777" w:rsidR="00053B8D" w:rsidRDefault="003D1A67">
    <w:pPr>
      <w:pBdr>
        <w:bottom w:val="single" w:sz="4" w:space="4" w:color="0A5E5E"/>
      </w:pBdr>
      <w:jc w:val="right"/>
      <w:rPr>
        <w:rFonts w:cs="Arial"/>
      </w:rPr>
    </w:pPr>
    <w:r>
      <w:rPr>
        <w:color w:val="0A5E5E"/>
        <w:sz w:val="20"/>
        <w:szCs w:val="20"/>
      </w:rPr>
      <w:t>العلاج بحرث المصالحة التحويلية (TRTT)  |  الفصل الخامس عشر: الفصام الأخلاقي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0DCA"/>
    <w:multiLevelType w:val="hybridMultilevel"/>
    <w:tmpl w:val="FFFFFFFF"/>
    <w:lvl w:ilvl="0" w:tplc="6B1ED7A2">
      <w:start w:val="1"/>
      <w:numFmt w:val="bullet"/>
      <w:lvlText w:val="●"/>
      <w:lvlJc w:val="left"/>
      <w:pPr>
        <w:ind w:left="720" w:hanging="360"/>
      </w:pPr>
    </w:lvl>
    <w:lvl w:ilvl="1" w:tplc="0548EB1A">
      <w:start w:val="1"/>
      <w:numFmt w:val="bullet"/>
      <w:lvlText w:val="○"/>
      <w:lvlJc w:val="left"/>
      <w:pPr>
        <w:ind w:left="1440" w:hanging="360"/>
      </w:pPr>
    </w:lvl>
    <w:lvl w:ilvl="2" w:tplc="FD347676">
      <w:start w:val="1"/>
      <w:numFmt w:val="bullet"/>
      <w:lvlText w:val="■"/>
      <w:lvlJc w:val="left"/>
      <w:pPr>
        <w:ind w:left="2160" w:hanging="360"/>
      </w:pPr>
    </w:lvl>
    <w:lvl w:ilvl="3" w:tplc="2C345160">
      <w:start w:val="1"/>
      <w:numFmt w:val="bullet"/>
      <w:lvlText w:val="●"/>
      <w:lvlJc w:val="left"/>
      <w:pPr>
        <w:ind w:left="2880" w:hanging="360"/>
      </w:pPr>
    </w:lvl>
    <w:lvl w:ilvl="4" w:tplc="6A4A2F52">
      <w:start w:val="1"/>
      <w:numFmt w:val="bullet"/>
      <w:lvlText w:val="○"/>
      <w:lvlJc w:val="left"/>
      <w:pPr>
        <w:ind w:left="3600" w:hanging="360"/>
      </w:pPr>
    </w:lvl>
    <w:lvl w:ilvl="5" w:tplc="EC52AD42">
      <w:start w:val="1"/>
      <w:numFmt w:val="bullet"/>
      <w:lvlText w:val="■"/>
      <w:lvlJc w:val="left"/>
      <w:pPr>
        <w:ind w:left="4320" w:hanging="360"/>
      </w:pPr>
    </w:lvl>
    <w:lvl w:ilvl="6" w:tplc="33D6243A">
      <w:start w:val="1"/>
      <w:numFmt w:val="bullet"/>
      <w:lvlText w:val="●"/>
      <w:lvlJc w:val="left"/>
      <w:pPr>
        <w:ind w:left="5040" w:hanging="360"/>
      </w:pPr>
    </w:lvl>
    <w:lvl w:ilvl="7" w:tplc="4182AE6E">
      <w:start w:val="1"/>
      <w:numFmt w:val="bullet"/>
      <w:lvlText w:val="●"/>
      <w:lvlJc w:val="left"/>
      <w:pPr>
        <w:ind w:left="5760" w:hanging="360"/>
      </w:pPr>
    </w:lvl>
    <w:lvl w:ilvl="8" w:tplc="39C6CB4A">
      <w:start w:val="1"/>
      <w:numFmt w:val="bullet"/>
      <w:lvlText w:val="●"/>
      <w:lvlJc w:val="left"/>
      <w:pPr>
        <w:ind w:left="6480" w:hanging="360"/>
      </w:pPr>
    </w:lvl>
  </w:abstractNum>
  <w:num w:numId="1" w16cid:durableId="4343318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B8D"/>
    <w:rsid w:val="00053B8D"/>
    <w:rsid w:val="002F39CE"/>
    <w:rsid w:val="00305850"/>
    <w:rsid w:val="003474BE"/>
    <w:rsid w:val="0037569A"/>
    <w:rsid w:val="003D1A67"/>
    <w:rsid w:val="00534B21"/>
    <w:rsid w:val="007E6C5A"/>
    <w:rsid w:val="007F2F76"/>
    <w:rsid w:val="00840D5D"/>
    <w:rsid w:val="00A63AEC"/>
    <w:rsid w:val="00AC08EE"/>
    <w:rsid w:val="00C56B15"/>
    <w:rsid w:val="00CF665B"/>
    <w:rsid w:val="00E95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53F3030"/>
  <w15:docId w15:val="{973D0AA3-8CE5-F949-A56A-C2588333C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6"/>
        <w:szCs w:val="26"/>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2641</Words>
  <Characters>15060</Characters>
  <Application>Microsoft Office Word</Application>
  <DocSecurity>0</DocSecurity>
  <Lines>125</Lines>
  <Paragraphs>35</Paragraphs>
  <ScaleCrop>false</ScaleCrop>
  <Company/>
  <LinksUpToDate>false</LinksUpToDate>
  <CharactersWithSpaces>17666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12</cp:revision>
  <dcterms:created xsi:type="dcterms:W3CDTF">2026-06-25T18:57:00Z</dcterms:created>
  <dcterms:modified xsi:type="dcterms:W3CDTF">2026-06-28T16:41:00Z</dcterms:modified>
</cp:coreProperties>
</file>