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
      </w:pPr>
      <w:r>
        <w:t xml:space="preserve"/>
      </w:r>
    </w:p>
    <w:p>
      <w:pPr>
        <w:spacing w:after="60" w:before="60"/>
      </w:pPr>
      <w:r>
        <w:t xml:space="preserve"/>
      </w:r>
    </w:p>
    <w:p>
      <w:pPr>
        <w:spacing w:after="60" w:before="60"/>
      </w:pPr>
      <w:r>
        <w:t xml:space="preserve"/>
      </w:r>
    </w:p>
    <w:p>
      <w:pPr>
        <w:bidi/>
        <w:spacing w:after="200" w:before="400"/>
        <w:jc w:val="center"/>
      </w:pPr>
      <w:r>
        <w:rPr>
          <w:rFonts w:ascii="Arial" w:cs="Arial" w:eastAsia="Arial" w:hAnsi="Arial"/>
          <w:b/>
          <w:bCs/>
          <w:color w:val="1B3A5C"/>
          <w:sz w:val="44"/>
          <w:szCs w:val="44"/>
          <w:rtl/>
        </w:rPr>
        <w:t xml:space="preserve">من تيلوميرات الجسد إلى أضلاع النفس</w:t>
      </w:r>
    </w:p>
    <w:p>
      <w:pPr>
        <w:bidi/>
        <w:spacing w:after="240" w:before="160"/>
        <w:jc w:val="center"/>
      </w:pPr>
      <w:r>
        <w:rPr>
          <w:rFonts w:ascii="Arial" w:cs="Arial" w:eastAsia="Arial" w:hAnsi="Arial"/>
          <w:b/>
          <w:bCs/>
          <w:color w:val="1B6CA8"/>
          <w:sz w:val="30"/>
          <w:szCs w:val="30"/>
          <w:rtl/>
        </w:rPr>
        <w:t xml:space="preserve">قراءة استخلافية لكتاب «فك شفرة الشيخوخة»</w:t>
      </w:r>
    </w:p>
    <w:p>
      <w:pPr>
        <w:bidi/>
        <w:spacing w:after="120" w:before="80"/>
        <w:jc w:val="center"/>
      </w:pPr>
      <w:r>
        <w:rPr>
          <w:rFonts w:ascii="Arial" w:cs="Arial" w:eastAsia="Arial" w:hAnsi="Arial"/>
          <w:i/>
          <w:iCs/>
          <w:color w:val="555555"/>
          <w:sz w:val="24"/>
          <w:szCs w:val="24"/>
        </w:rPr>
        <w:t xml:space="preserve">The Telomere Effect — Blackburn &amp; Epel</w:t>
      </w:r>
    </w:p>
    <w:p>
      <w:pPr>
        <w:pBdr>
          <w:bottom w:val="single" w:color="1B6CA8" w:sz="4" w:space="1"/>
        </w:pBdr>
        <w:spacing w:after="200" w:before="200"/>
      </w:pPr>
      <w:r>
        <w:t xml:space="preserve"/>
      </w:r>
    </w:p>
    <w:p>
      <w:pPr>
        <w:bidi/>
        <w:spacing w:after="60" w:before="120"/>
        <w:jc w:val="center"/>
      </w:pPr>
      <w:r>
        <w:rPr>
          <w:rFonts w:ascii="Arial" w:cs="Arial" w:eastAsia="Arial" w:hAnsi="Arial"/>
          <w:b/>
          <w:bCs/>
          <w:sz w:val="26"/>
          <w:szCs w:val="26"/>
          <w:rtl/>
        </w:rPr>
        <w:t xml:space="preserve">تأليف: عبد السلام الزراع</w:t>
      </w:r>
    </w:p>
    <w:p>
      <w:pPr>
        <w:bidi/>
        <w:spacing w:after="60" w:before="60"/>
        <w:jc w:val="center"/>
      </w:pPr>
      <w:r>
        <w:rPr>
          <w:rFonts w:ascii="Arial" w:cs="Arial" w:eastAsia="Arial" w:hAnsi="Arial"/>
          <w:color w:val="1B6CA8"/>
          <w:sz w:val="22"/>
          <w:szCs w:val="22"/>
          <w:rtl/>
        </w:rPr>
        <w:t xml:space="preserve">في إطار: علم النفس الاستخلافي</w:t>
      </w:r>
    </w:p>
    <w:p>
      <w:pPr>
        <w:bidi/>
        <w:spacing w:after="60" w:before="60"/>
        <w:jc w:val="center"/>
      </w:pPr>
      <w:r>
        <w:rPr>
          <w:rFonts w:ascii="Arial" w:cs="Arial" w:eastAsia="Arial" w:hAnsi="Arial"/>
          <w:color w:val="1B6CA8"/>
          <w:sz w:val="22"/>
          <w:szCs w:val="22"/>
          <w:rtl/>
        </w:rPr>
        <w:t xml:space="preserve">بروتوكول TLRT — حرث المصالحة التحويلية</w:t>
      </w:r>
    </w:p>
    <w:p>
      <w:pPr>
        <w:spacing w:after="60" w:before="60"/>
      </w:pPr>
      <w:r>
        <w:t xml:space="preserve"/>
      </w:r>
    </w:p>
    <w:p>
      <w:pPr>
        <w:spacing w:after="60" w:before="60"/>
      </w:pPr>
      <w:r>
        <w:t xml:space="preserve"/>
      </w:r>
    </w:p>
    <w:p>
      <w:pPr>
        <w:spacing w:after="60" w:before="60"/>
      </w:pPr>
      <w:r>
        <w:t xml:space="preserve"/>
      </w:r>
    </w:p>
    <w:p>
      <w:pPr>
        <w:bidi/>
        <w:jc w:val="center"/>
      </w:pPr>
      <w:r>
        <w:rPr>
          <w:rFonts w:ascii="Arial" w:cs="Arial" w:eastAsia="Arial" w:hAnsi="Arial"/>
          <w:color w:val="777777"/>
          <w:sz w:val="20"/>
          <w:szCs w:val="20"/>
          <w:rtl/>
        </w:rPr>
        <w:t xml:space="preserve">2025 م — 1446 هـ</w:t>
      </w:r>
    </w:p>
    <w:p>
      <w:r>
        <w:br w:type="page"/>
      </w:r>
    </w:p>
    <w:p>
      <w:pPr>
        <w:pStyle w:val="Heading1"/>
        <w:bidi/>
        <w:jc w:val="right"/>
      </w:pPr>
      <w:r>
        <w:rPr>
          <w:rFonts w:ascii="Arial" w:cs="Arial" w:eastAsia="Arial" w:hAnsi="Arial"/>
          <w:b/>
          <w:bCs/>
          <w:sz w:val="32"/>
          <w:szCs w:val="32"/>
          <w:rtl/>
        </w:rPr>
        <w:t xml:space="preserve">الملخص التنفيذي</w:t>
      </w:r>
    </w:p>
    <w:p>
      <w:pPr>
        <w:bidi/>
        <w:spacing w:after="120" w:before="120" w:line="360"/>
        <w:jc w:val="both"/>
      </w:pPr>
      <w:r>
        <w:rPr>
          <w:rFonts w:ascii="Arial" w:cs="Arial" w:eastAsia="Arial" w:hAnsi="Arial"/>
          <w:sz w:val="24"/>
          <w:szCs w:val="24"/>
          <w:rtl/>
        </w:rPr>
        <w:t xml:space="preserve">يُقدّم هذا البحث قراءةً استخلافيةً معمّقةً في كتاب «فك شفرة الشيخوخة» (The Telomere Effect) لإليزابيث بلاكبيرن وإليسا إيبل — الفائزتَيْن بجائزة نوبل — وذلك من منظور «علم النفس الاستخلافي» الذي أسّسه عبد السلام الزراع. تنطلق هذه القراءة من فرضية أساسية مفادها أن الاكتشافات البيولوجية الحديثة حول التيلوميرات وآليات الشيخوخة الخلوية ليست سوى «ترجمةٍ جزيئية» لما تكشفه المفاهيم القرآنية والنفسية الاستخلافية حول طبيعة الإنسان بوصفه خليفةً في الأرض.</w:t>
      </w:r>
    </w:p>
    <w:p>
      <w:pPr>
        <w:bidi/>
        <w:spacing w:after="120" w:before="120" w:line="360"/>
        <w:jc w:val="both"/>
      </w:pPr>
      <w:r>
        <w:rPr>
          <w:rFonts w:ascii="Arial" w:cs="Arial" w:eastAsia="Arial" w:hAnsi="Arial"/>
          <w:sz w:val="24"/>
          <w:szCs w:val="24"/>
          <w:rtl/>
        </w:rPr>
        <w:t xml:space="preserve">يُبيّن البحث — عبر أربعة فصول رئيسية وخاتمة استخلافية — كيف أن «التيلومير» هو الأثر المادي للأضلاع الثمانية، وكيف أن «التيلوميراز» في خلاياه السرطانية هو صورةٌ خلوية لوهم «الضلع السابع»، وكيف أن «الساعات فوق الجينية» تُسجّل ديون النفس وأرصدتها الروحية، وكيف أن العلاج النفسي الاستخلافي عبر بروتوكول TLRT يتقاطع مع أفضل ما توصّلت إليه الأبحاث الحديثة في الطب النفسي الجسدي (Psychosomatic Medicine) وعلم المناعة العصبية النفسية (Psychoneuroimmunology).</w:t>
      </w:r>
    </w:p>
    <w:p>
      <w:pPr>
        <w:spacing w:after="60" w:before="60"/>
      </w:pPr>
      <w:r>
        <w:t xml:space="preserve"/>
      </w:r>
    </w:p>
    <w:p>
      <w:pPr>
        <w:pStyle w:val="Heading1"/>
        <w:bidi/>
        <w:jc w:val="right"/>
      </w:pPr>
      <w:r>
        <w:rPr>
          <w:rFonts w:ascii="Arial" w:cs="Arial" w:eastAsia="Arial" w:hAnsi="Arial"/>
          <w:b/>
          <w:bCs/>
          <w:sz w:val="32"/>
          <w:szCs w:val="32"/>
          <w:rtl/>
        </w:rPr>
        <w:t xml:space="preserve">مقدمة: لقاء «بيولوجيا الشيخوخة» بـ«هندسة الوجود»</w:t>
      </w:r>
    </w:p>
    <w:p>
      <w:pPr>
        <w:bidi/>
        <w:spacing w:after="120" w:before="120" w:line="360"/>
        <w:jc w:val="both"/>
      </w:pPr>
      <w:r>
        <w:rPr>
          <w:rFonts w:ascii="Arial" w:cs="Arial" w:eastAsia="Arial" w:hAnsi="Arial"/>
          <w:sz w:val="24"/>
          <w:szCs w:val="24"/>
          <w:rtl/>
        </w:rPr>
        <w:t xml:space="preserve">حين يقدّم العلم الحديث تحليلاً لكتاب «فك شفرة الشيخوخة»، ويكشف عن «التيلوميرات» بوصفها «ساعة جزيئية» تحدّ من العمر التكاثري للخلايا، ويربطها بـ«الضمير الحي» و«تقلبية معدل ضربات القلب» (HRV) و«الإجهاد المزمن»، فإنه يفتح — دون أن يدري — نافذةً على أعمق طبقات «علم النفس الاستخلافي».</w:t>
      </w:r>
    </w:p>
    <w:p>
      <w:pPr>
        <w:bidi/>
        <w:spacing w:after="120" w:before="120" w:line="360"/>
        <w:jc w:val="both"/>
      </w:pPr>
      <w:r>
        <w:rPr>
          <w:rFonts w:ascii="Arial" w:cs="Arial" w:eastAsia="Arial" w:hAnsi="Arial"/>
          <w:sz w:val="24"/>
          <w:szCs w:val="24"/>
          <w:rtl/>
        </w:rPr>
        <w:t xml:space="preserve">فما يُوصف في هذه الأبحاث من «آليات بيولوجية» و«عوامل نفسية» و«سلوكيات صحية» هو — في جوهره — «ترجمة جسدية» للأضلاع الثمانية، و«تجسيد كيميائي» للطاقة الوجودية المحتجزة، و«دليل مخبري» على أن «النفس» و«الجسد» ليسا كيانَيْن منفصلَيْن، بل هما «وحدة استخلافية» متكاملة. يتجلى ذلك في ما توصّل إليه علم المناعة العصبية النفسية (Psychoneuroimmunology) من ترابط عضوي بين الحالة الانفعالية والجهاز المناعي ومؤشرات الالتهاب الخلوي (Epel et al., 2004; Blackburn &amp; Epel, 2017).</w:t>
      </w:r>
    </w:p>
    <w:p>
      <w:pPr>
        <w:bidi/>
        <w:spacing w:after="120" w:before="120" w:line="360"/>
        <w:jc w:val="both"/>
      </w:pPr>
      <w:r>
        <w:rPr>
          <w:rFonts w:ascii="Arial" w:cs="Arial" w:eastAsia="Arial" w:hAnsi="Arial"/>
          <w:sz w:val="24"/>
          <w:szCs w:val="24"/>
          <w:rtl/>
        </w:rPr>
        <w:t xml:space="preserve">هذه القراءة ليست نقداً للتحليل العلمي، بل هي «تعميق» له. إنها «تُترجم» اكتشافاته حول التيلوميرات والتيلوميراز والإجهاد والمرونة إلى لغة «النموذج الهرمي القرآني»، وتكشف كيف أن «قصر التيلومير» هو أثر «تفعيل أضلاع الهبوط»، وكيف أن «إطالة التيلومير» عبر نمط الحياة الصحي هي ثمرة «تفعيل أضلاع الصعود»، وكيف أن «الشيخوخة» ليست «قدراً بيولوجياً محتوماً»، بل هي «نص وجودي» يمكن «إعادة كتابته» عبر «حرث المصالحة التحويلية» (TLRT).</w:t>
      </w:r>
    </w:p>
    <w:p>
      <w:pPr>
        <w:pBdr>
          <w:bottom w:val="single" w:color="1B6CA8" w:sz="4" w:space="1"/>
        </w:pBdr>
        <w:spacing w:after="200" w:before="200"/>
      </w:pPr>
      <w:r>
        <w:t xml:space="preserve"/>
      </w:r>
    </w:p>
    <w:p>
      <w:pPr>
        <w:pStyle w:val="Heading1"/>
        <w:bidi/>
        <w:jc w:val="right"/>
      </w:pPr>
      <w:r>
        <w:rPr>
          <w:rFonts w:ascii="Arial" w:cs="Arial" w:eastAsia="Arial" w:hAnsi="Arial"/>
          <w:b/>
          <w:bCs/>
          <w:sz w:val="32"/>
          <w:szCs w:val="32"/>
          <w:rtl/>
        </w:rPr>
        <w:t xml:space="preserve">الفصل الأول: التيلوميرات والأضلاع الثمانية — الساعة الجزيئية والساعة الوجودية</w:t>
      </w:r>
    </w:p>
    <w:p>
      <w:pPr>
        <w:pStyle w:val="Heading2"/>
        <w:bidi/>
        <w:jc w:val="right"/>
      </w:pPr>
      <w:r>
        <w:rPr>
          <w:rFonts w:ascii="Arial" w:cs="Arial" w:eastAsia="Arial" w:hAnsi="Arial"/>
          <w:b/>
          <w:bCs/>
          <w:sz w:val="28"/>
          <w:szCs w:val="28"/>
          <w:rtl/>
        </w:rPr>
        <w:t xml:space="preserve">1.1 التيلومير بوصفه «أثراً مادياً» للأضلاع</w:t>
      </w:r>
    </w:p>
    <w:p>
      <w:pPr>
        <w:bidi/>
        <w:spacing w:after="120" w:before="120" w:line="360"/>
        <w:jc w:val="both"/>
      </w:pPr>
      <w:r>
        <w:rPr>
          <w:rFonts w:ascii="Arial" w:cs="Arial" w:eastAsia="Arial" w:hAnsi="Arial"/>
          <w:sz w:val="24"/>
          <w:szCs w:val="24"/>
          <w:rtl/>
        </w:rPr>
        <w:t xml:space="preserve">تُعرِّف بلاكبيرن وإيبل (2017) التيلوميرات بأنها تراكيب حيوية ديناميكية تحرس نهايات الكروموسومات وتقصر مع كل انقسام خلوي، فتعمل كـ«ساعة جزيئية» تحدّ من العمر التكاثري للخلايا. هذا الوصف — من منظور «علم النفس الاستخلافي» — هو كشف عن «الأثر المادي» للأضلاع الثمانية.</w:t>
      </w:r>
    </w:p>
    <w:p>
      <w:pPr>
        <w:bidi/>
        <w:spacing w:after="120" w:before="120" w:line="360"/>
        <w:jc w:val="both"/>
      </w:pPr>
      <w:r>
        <w:rPr>
          <w:rFonts w:ascii="Arial" w:cs="Arial" w:eastAsia="Arial" w:hAnsi="Arial"/>
          <w:sz w:val="24"/>
          <w:szCs w:val="24"/>
          <w:rtl/>
        </w:rPr>
        <w:t xml:space="preserve">الأضلاع — كما حدّدها الزراع (2023) — هي مسارات طاقة تحكم حركة النفس بين الأمارة واللوّامة والمطمئنة. وهذه الحركة لا تقتصر على المستوى النفسي، بل تتجسّد على المستوى الخلوي أيضاً. فتفعيل «أضلاع الهبوط» — عبر الإجهاد المزمن والقلق والغضب — يُسرّع من قصر التيلومير، وهو ما أثبتته دراسات بيولوجية عديدة تربط «الإجهاد الإدراكي» (Perceived Stress) بتقلّص التيلوميرات بصورة مباشرة (Epel et al., 2004). وتفعيل «أضلاع الصعود» — عبر التأمل والامتنان والحب — يُبطئ هذا القصر، وهو ما تؤكده أبحاث تأثير التأمل على نشاط إنزيم التيلوميراز (Daubenmier et al., 2012; Lavretsky et al., 2013).</w:t>
      </w:r>
    </w:p>
    <w:p>
      <w:pPr>
        <w:pBdr>
          <w:right w:val="single" w:color="1B6CA8" w:sz="6" w:space="10"/>
        </w:pBdr>
        <w:bidi/>
        <w:spacing w:after="120" w:before="120" w:line="320"/>
        <w:ind w:left="720" w:right="720"/>
        <w:jc w:val="right"/>
      </w:pPr>
      <w:r>
        <w:rPr>
          <w:rFonts w:ascii="Arial" w:cs="Arial" w:eastAsia="Arial" w:hAnsi="Arial"/>
          <w:i/>
          <w:iCs/>
          <w:color w:val="1B3A5C"/>
          <w:sz w:val="22"/>
          <w:szCs w:val="22"/>
          <w:rtl/>
        </w:rPr>
        <w:t xml:space="preserve">إن «الخطيئة» — تفعيل الضلع الثالث — ليست مجرد «انحراف أخلاقي»، بل هي — حرفياً — «تآكل» للخلايا. و«التوبة» — تفعيل الضلع الخامس — ليست مجرد «ندم نفسي»، بل هي — حرفياً — «ترميم» للتيلوميرات.</w:t>
      </w:r>
    </w:p>
    <w:p>
      <w:pPr>
        <w:bidi/>
        <w:spacing w:after="120" w:before="120" w:line="360"/>
        <w:jc w:val="both"/>
      </w:pPr>
      <w:r>
        <w:rPr>
          <w:rFonts w:ascii="Arial" w:cs="Arial" w:eastAsia="Arial" w:hAnsi="Arial"/>
          <w:sz w:val="24"/>
          <w:szCs w:val="24"/>
          <w:rtl/>
        </w:rPr>
        <w:t xml:space="preserve">يتقاطع هذا الفهم مع ما أطلق عليه روبرت سابولسكي (2004) «فسيولوجيا الزيبرا» حين لاحظ أن الضغط النفسي المزمن — الذي يُميّز الإنسان المعاصر عن الحيوانات التي لا تعاني من ضغوط مزمنة — يُحدث آثاراً جسيمة على الجهاز المناعي والغدد الصماء وبنية الخلايا العصبية. وما يضيفه «علم النفس الاستخلافي» هو البُعد الوجودي: أن الضغط المزمن ليس مجرد ظاهرة بيولوجية، بل هو «حالة فصل» بين الخليفة ومهمته الكونية.</w:t>
      </w:r>
    </w:p>
    <w:p>
      <w:pPr>
        <w:pStyle w:val="Heading2"/>
        <w:bidi/>
        <w:jc w:val="right"/>
      </w:pPr>
      <w:r>
        <w:rPr>
          <w:rFonts w:ascii="Arial" w:cs="Arial" w:eastAsia="Arial" w:hAnsi="Arial"/>
          <w:b/>
          <w:bCs/>
          <w:sz w:val="28"/>
          <w:szCs w:val="28"/>
          <w:rtl/>
        </w:rPr>
        <w:t xml:space="preserve">1.2 التيلوميراز والضلع السابع — الخلود الزائف والسرطان الوجودي</w:t>
      </w:r>
    </w:p>
    <w:p>
      <w:pPr>
        <w:bidi/>
        <w:spacing w:after="120" w:before="120" w:line="360"/>
        <w:jc w:val="both"/>
      </w:pPr>
      <w:r>
        <w:rPr>
          <w:rFonts w:ascii="Arial" w:cs="Arial" w:eastAsia="Arial" w:hAnsi="Arial"/>
          <w:sz w:val="24"/>
          <w:szCs w:val="24"/>
          <w:rtl/>
        </w:rPr>
        <w:t xml:space="preserve">يُنبّه التحليل العلمي إلى أن إنزيم التيلوميراز — القادر على إطالة التيلوميرات — يكون نشطاً في 85-90% من الخلايا السرطانية، مما يمنحها «قدرة خلود تكاثري» (Blackburn &amp; Epel, 2017). هذا المعطى — من منظور «علم النفس الاستخلافي» — هو كشف عن «الوجه المظلم» للضلع السابع (شيطان ← أمارة).</w:t>
      </w:r>
    </w:p>
    <w:p>
      <w:pPr>
        <w:bidi/>
        <w:spacing w:after="120" w:before="120" w:line="360"/>
        <w:jc w:val="both"/>
      </w:pPr>
      <w:r>
        <w:rPr>
          <w:rFonts w:ascii="Arial" w:cs="Arial" w:eastAsia="Arial" w:hAnsi="Arial"/>
          <w:sz w:val="24"/>
          <w:szCs w:val="24"/>
          <w:rtl/>
        </w:rPr>
        <w:t xml:space="preserve">الضلع السابع هو مسار «تضخيم» الرغبة والخوف حتى تتمرد على الكل. و«السرطان» — في هذا السياق — هو تضخيم «مرضي» لوهم «الخلود»؛ الخلية السرطانية «ترفض» أن تموت، وتُضخم ذاتها على حساب الجسد بأكمله. وهذا — في «علم النفس الاستخلافي» — هو «الاستخلاف» المشوّه: الخليفة الذي ينسى أنه في خدمة الكل ويظن أنه الكل، فيُدمّر الكل عبر تضخيم ذاته.</w:t>
      </w:r>
    </w:p>
    <w:p>
      <w:pPr>
        <w:bidi/>
        <w:spacing w:after="160" w:before="160"/>
        <w:jc w:val="center"/>
      </w:pPr>
      <w:r>
        <w:rPr>
          <w:rFonts w:ascii="Amiri" w:cs="Amiri" w:eastAsia="Amiri" w:hAnsi="Amiri"/>
          <w:b/>
          <w:bCs/>
          <w:color w:val="1B3A5C"/>
          <w:sz w:val="26"/>
          <w:szCs w:val="26"/>
          <w:rtl/>
        </w:rPr>
        <w:t xml:space="preserve">{يَحْسَبُ أَنَّ مَالَهُ أَخْلَدَهُ} [الهمزة: 3]</w:t>
      </w:r>
    </w:p>
    <w:p>
      <w:pPr>
        <w:bidi/>
        <w:spacing w:after="120" w:before="120" w:line="360"/>
        <w:jc w:val="both"/>
      </w:pPr>
      <w:r>
        <w:rPr>
          <w:rFonts w:ascii="Arial" w:cs="Arial" w:eastAsia="Arial" w:hAnsi="Arial"/>
          <w:sz w:val="24"/>
          <w:szCs w:val="24"/>
          <w:rtl/>
        </w:rPr>
        <w:t xml:space="preserve">هذا التحذير العلمي من «مكمّلات» تطيل التيلومير من دون معالجة العوامل النفسية الجذرية هو صدى للتحذير القرآني من الاغترار بالحياة الدنيا. فـ«الخلود» الحقيقي — في «علم النفس الاستخلافي» — ليس «خلوداً بيولوجياً» (استمرار الجسد)، بل «خلود قِيَمي» (استمرار الأثر الصالح). ويدعم هذا الفهمَ ما يُشير إليه فيكتور فرانكل (1959/1984) في «الإنسان يبحث عن معنى» من أن الاحتفاظ بالمعنى هو الحارس الحقيقي للبقاء النفسي والبيولوجي.</w:t>
      </w:r>
    </w:p>
    <w:p>
      <w:pPr>
        <w:bidi/>
        <w:spacing w:after="120" w:before="120" w:line="360"/>
        <w:jc w:val="both"/>
      </w:pPr>
      <w:r>
        <w:rPr>
          <w:rFonts w:ascii="Arial" w:cs="Arial" w:eastAsia="Arial" w:hAnsi="Arial"/>
          <w:sz w:val="24"/>
          <w:szCs w:val="24"/>
          <w:rtl/>
        </w:rPr>
        <w:t xml:space="preserve">وفي إطار أوسع، يتقاطع هذا مع ما رصده توماس لوكمان (1967) في بنية الاجتماعيات الدينية، إذ يرى أن أحد الوظائف الأساسية للدين هو تزويد الإنسان بـ«معنى شامل» يتجاوز فنائه الجسدي — وهو ما يُترجمه «علم النفس الاستخلافي» بمصطلح «الخلود القِيَمي» أو «الأثر الصالح المتجدد».</w:t>
      </w:r>
    </w:p>
    <w:p>
      <w:pPr>
        <w:pBdr>
          <w:bottom w:val="single" w:color="1B6CA8" w:sz="4" w:space="1"/>
        </w:pBdr>
        <w:spacing w:after="200" w:before="200"/>
      </w:pPr>
      <w:r>
        <w:t xml:space="preserve"/>
      </w:r>
    </w:p>
    <w:p>
      <w:pPr>
        <w:pStyle w:val="Heading1"/>
        <w:bidi/>
        <w:jc w:val="right"/>
      </w:pPr>
      <w:r>
        <w:rPr>
          <w:rFonts w:ascii="Arial" w:cs="Arial" w:eastAsia="Arial" w:hAnsi="Arial"/>
          <w:b/>
          <w:bCs/>
          <w:sz w:val="32"/>
          <w:szCs w:val="32"/>
          <w:rtl/>
        </w:rPr>
        <w:t xml:space="preserve">الفصل الثاني: الضمير الحي والنفس اللوّامة — تقلبية معدل ضربات القلب وتفعيل الضلع الخامس</w:t>
      </w:r>
    </w:p>
    <w:p>
      <w:pPr>
        <w:pStyle w:val="Heading2"/>
        <w:bidi/>
        <w:jc w:val="right"/>
      </w:pPr>
      <w:r>
        <w:rPr>
          <w:rFonts w:ascii="Arial" w:cs="Arial" w:eastAsia="Arial" w:hAnsi="Arial"/>
          <w:b/>
          <w:bCs/>
          <w:sz w:val="28"/>
          <w:szCs w:val="28"/>
          <w:rtl/>
        </w:rPr>
        <w:t xml:space="preserve">2.1 الضمير الحي والنفس اللوّامة: تطابق وظيفي</w:t>
      </w:r>
    </w:p>
    <w:p>
      <w:pPr>
        <w:bidi/>
        <w:spacing w:after="120" w:before="120" w:line="360"/>
        <w:jc w:val="both"/>
      </w:pPr>
      <w:r>
        <w:rPr>
          <w:rFonts w:ascii="Arial" w:cs="Arial" w:eastAsia="Arial" w:hAnsi="Arial"/>
          <w:sz w:val="24"/>
          <w:szCs w:val="24"/>
          <w:rtl/>
        </w:rPr>
        <w:t xml:space="preserve">يُبيّن التحليل العلمي أن «الضمير الحي» (Conscientiousness) يرتبط بـ«تقلبية معدل ضربات القلب» (HRV) المرتبطة بالعصب الحائر (Vagus Nerve). وقد رصد ستيفن بورج (2011) في نظريته عن «المبهم متعدد الجذوع» (Polyvagal Theory) أن هذا العصب هو الركيزة البيولوجية للوعي الاجتماعي والأمان والتواصل العاطفي. هذا الارتباط — من منظور «علم النفس الاستخلافي» — هو «الأساس العصبي» للنفس اللوّامة.</w:t>
      </w:r>
    </w:p>
    <w:p>
      <w:pPr>
        <w:bidi/>
        <w:spacing w:after="120" w:before="120" w:line="360"/>
        <w:jc w:val="both"/>
      </w:pPr>
      <w:r>
        <w:rPr>
          <w:rFonts w:ascii="Arial" w:cs="Arial" w:eastAsia="Arial" w:hAnsi="Arial"/>
          <w:sz w:val="24"/>
          <w:szCs w:val="24"/>
          <w:rtl/>
        </w:rPr>
        <w:t xml:space="preserve">النفس اللوّامة — كما حدّدها الزراع (2023) استناداً إلى الآية {وَلَا أُقْسِمُ بِالنَّفْسِ اللَّوَّامَةِ} [القيامة: 2] — هي «الحارس» و«مركز المحاسبة» و«الوعي الأخلاقي» الذي تفحص «نبض» الوجدان وتقاوم إغراءات النفس الأمارة. والعصب الحائر — المسؤول عن «استجابة الاسترخاء» — هو القناة التي تُترجم عبرها النفس اللوّامة أوامرها إلى الجسد.</w:t>
      </w:r>
    </w:p>
    <w:p>
      <w:pPr>
        <w:bidi/>
        <w:spacing w:after="120" w:before="120" w:line="360"/>
        <w:jc w:val="both"/>
      </w:pPr>
      <w:r>
        <w:rPr>
          <w:rFonts w:ascii="Arial" w:cs="Arial" w:eastAsia="Arial" w:hAnsi="Arial"/>
          <w:sz w:val="24"/>
          <w:szCs w:val="24"/>
          <w:rtl/>
        </w:rPr>
        <w:t xml:space="preserve">يدعم هذا الفهمَ ما وثّقه معهد هارتماث (HeartMath Institute) من أن حالات الانسجام القلبي (Heart Coherence) — وهي حالات ارتفاع HRV — ترتبط بتنشيط القشرة الجبهية قبل الأمامية المرتبطة بالتحكم في الانفعالات والتفكير الأخلاقي (McCraty &amp; Childre, 2010). بمعنى آخر: عندما «تأمر» اللوّامة بالكف عن الإغراء، يُرسل العصب الحائر إشاراتٍ تُهدئ الجسد وتُخفض التوتر.</w:t>
      </w:r>
    </w:p>
    <w:p>
      <w:pPr>
        <w:pBdr>
          <w:right w:val="single" w:color="1B6CA8" w:sz="6" w:space="10"/>
        </w:pBdr>
        <w:bidi/>
        <w:spacing w:after="120" w:before="120" w:line="320"/>
        <w:ind w:left="720" w:right="720"/>
        <w:jc w:val="right"/>
      </w:pPr>
      <w:r>
        <w:rPr>
          <w:rFonts w:ascii="Arial" w:cs="Arial" w:eastAsia="Arial" w:hAnsi="Arial"/>
          <w:i/>
          <w:iCs/>
          <w:color w:val="1B3A5C"/>
          <w:sz w:val="22"/>
          <w:szCs w:val="22"/>
          <w:rtl/>
        </w:rPr>
        <w:t xml:space="preserve">«الصحوة» الأخلاقية — الانتقال من «الأمارة» إلى «اللوّامة» — ليست مجرد «حدث» نفسي، بل هي «حدث» عصبي قابل للقياس (ارتفاع HRV). و«الضمير الحي» هو الاسم العلمي للنفس اللوّامة السليمة.</w:t>
      </w:r>
    </w:p>
    <w:p>
      <w:pPr>
        <w:pStyle w:val="Heading2"/>
        <w:bidi/>
        <w:jc w:val="right"/>
      </w:pPr>
      <w:r>
        <w:rPr>
          <w:rFonts w:ascii="Arial" w:cs="Arial" w:eastAsia="Arial" w:hAnsi="Arial"/>
          <w:b/>
          <w:bCs/>
          <w:sz w:val="28"/>
          <w:szCs w:val="28"/>
          <w:rtl/>
        </w:rPr>
        <w:t xml:space="preserve">2.2 الإجهاد المزمن والضلع السابع — تآكل التيلومير وتآكل الفطرة</w:t>
      </w:r>
    </w:p>
    <w:p>
      <w:pPr>
        <w:bidi/>
        <w:spacing w:after="120" w:before="120" w:line="360"/>
        <w:jc w:val="both"/>
      </w:pPr>
      <w:r>
        <w:rPr>
          <w:rFonts w:ascii="Arial" w:cs="Arial" w:eastAsia="Arial" w:hAnsi="Arial"/>
          <w:sz w:val="24"/>
          <w:szCs w:val="24"/>
          <w:rtl/>
        </w:rPr>
        <w:t xml:space="preserve">يُثبت التحليل العلمي أن «الإجهاد المزمن» يُسرّع من قصر التيلومير. وقد رصدت دراسة بلاكبيرن وإيبل الشهيرة (2004) أن الأمهات اللواتي يتولّيْن رعاية أطفال مرضى مزمنين — وما يرافق ذلك من ضغط نفسي مزمن — لديهن تيلوميرات أقصر بما يعادل عشر سنوات من الشيخوخة البيولوجية مقارنةً بمجموعات الضبط (Epel et al., 2004).</w:t>
      </w:r>
    </w:p>
    <w:p>
      <w:pPr>
        <w:bidi/>
        <w:spacing w:after="120" w:before="120" w:line="360"/>
        <w:jc w:val="both"/>
      </w:pPr>
      <w:r>
        <w:rPr>
          <w:rFonts w:ascii="Arial" w:cs="Arial" w:eastAsia="Arial" w:hAnsi="Arial"/>
          <w:sz w:val="24"/>
          <w:szCs w:val="24"/>
          <w:rtl/>
        </w:rPr>
        <w:t xml:space="preserve">هذا التسارع — من منظور «علم النفس الاستخلافي» — هو «الأثر الخلوي» لتفعيل الضلع السابع (شيطان ← أمارة) بشكل مزمن. «الإجهاد المزمن» — في هذا الإطار — ليس مجرد «ضغط» خارجي، بل هو «حالة وجودية» من الخوف والقلق وانعدام الأمان التي تُغذّي الضلع السابع ليُضخّم هذه المشاعر ويحوّلها إلى سُمّ خلوي.</w:t>
      </w:r>
    </w:p>
    <w:p>
      <w:pPr>
        <w:bidi/>
        <w:spacing w:after="120" w:before="120" w:line="360"/>
        <w:jc w:val="both"/>
      </w:pPr>
      <w:r>
        <w:rPr>
          <w:rFonts w:ascii="Arial" w:cs="Arial" w:eastAsia="Arial" w:hAnsi="Arial"/>
          <w:sz w:val="24"/>
          <w:szCs w:val="24"/>
          <w:rtl/>
        </w:rPr>
        <w:t xml:space="preserve">يضاف إلى ذلك ما كشفه علم المناعة العصبية النفسية (Ader et al., 1981; Cohen et al., 2007) من أن الحالات الانفعالية السلبية المزمنة — كالغضب المكبوت والحزن غير المعالَج — ترفع مستويات الإنترلوكين-6 (IL-6) ومؤشرات الالتهاب الجهازي التي تُلحق الأذى بالأوعية الدموية والحمض النووي والتيلوميرات. «التيلومير» — هنا — هو «الضحية» الصامتة لحرب الأضلاع في النفس؛ إنه يُسجّل على المستوى الجزيئي «تاريخ» الانفعالات والصدمات والأزمات.</w:t>
      </w:r>
    </w:p>
    <w:p>
      <w:pPr>
        <w:bidi/>
        <w:spacing w:after="120" w:before="120" w:line="360"/>
        <w:jc w:val="both"/>
      </w:pPr>
      <w:r>
        <w:rPr>
          <w:rFonts w:ascii="Arial" w:cs="Arial" w:eastAsia="Arial" w:hAnsi="Arial"/>
          <w:sz w:val="24"/>
          <w:szCs w:val="24"/>
          <w:rtl/>
        </w:rPr>
        <w:t xml:space="preserve">ويتوافق هذا التشخيص مع ما طرحه بيسل فان در كولك (2014) في «الجسد يحتفظ بالحساب» (The Body Keeps the Score) من أن الصدمات النفسية غير المعالَجة «تُكتب» حرفياً في التعبير الجيني والاستجابة العصبية، وهو ما يُترجمه «علم النفس الاستخلافي» بمفهوم «خريطة الدين النفسي» المحفورة على المستوى الخلوي.</w:t>
      </w:r>
    </w:p>
    <w:p>
      <w:pPr>
        <w:pBdr>
          <w:bottom w:val="single" w:color="1B6CA8" w:sz="4" w:space="1"/>
        </w:pBdr>
        <w:spacing w:after="200" w:before="200"/>
      </w:pPr>
      <w:r>
        <w:t xml:space="preserve"/>
      </w:r>
    </w:p>
    <w:p>
      <w:pPr>
        <w:pStyle w:val="Heading1"/>
        <w:bidi/>
        <w:jc w:val="right"/>
      </w:pPr>
      <w:r>
        <w:rPr>
          <w:rFonts w:ascii="Arial" w:cs="Arial" w:eastAsia="Arial" w:hAnsi="Arial"/>
          <w:b/>
          <w:bCs/>
          <w:sz w:val="32"/>
          <w:szCs w:val="32"/>
          <w:rtl/>
        </w:rPr>
        <w:t xml:space="preserve">الفصل الثالث: المرونة والكينتسوغي النفسي — إعادة كتابة النص الخلوي</w:t>
      </w:r>
    </w:p>
    <w:p>
      <w:pPr>
        <w:pStyle w:val="Heading2"/>
        <w:bidi/>
        <w:jc w:val="right"/>
      </w:pPr>
      <w:r>
        <w:rPr>
          <w:rFonts w:ascii="Arial" w:cs="Arial" w:eastAsia="Arial" w:hAnsi="Arial"/>
          <w:b/>
          <w:bCs/>
          <w:sz w:val="28"/>
          <w:szCs w:val="28"/>
          <w:rtl/>
        </w:rPr>
        <w:t xml:space="preserve">3.1 المرونة وتفعيل الضلع الرابع (لوامة ← مطمئنة)</w:t>
      </w:r>
    </w:p>
    <w:p>
      <w:pPr>
        <w:bidi/>
        <w:spacing w:after="120" w:before="120" w:line="360"/>
        <w:jc w:val="both"/>
      </w:pPr>
      <w:r>
        <w:rPr>
          <w:rFonts w:ascii="Arial" w:cs="Arial" w:eastAsia="Arial" w:hAnsi="Arial"/>
          <w:sz w:val="24"/>
          <w:szCs w:val="24"/>
          <w:rtl/>
        </w:rPr>
        <w:t xml:space="preserve">يُؤكد التحليل العلمي أن «التدخلات اللاحقة» — تغيير نمط الحياة ومعالجة الصدمات النفسية — يمكنها أن تُعدّل من مسار تقصير التيلومير، بل وتُبطئه بشكل كبير. هذا التأكيد — من منظور «علم النفس الاستخلافي» — هو «الأساس البيولوجي» لتفعيل الضلع الرابع (لوامة ← مطمئنة).</w:t>
      </w:r>
    </w:p>
    <w:p>
      <w:pPr>
        <w:bidi/>
        <w:spacing w:after="120" w:before="120" w:line="360"/>
        <w:jc w:val="both"/>
      </w:pPr>
      <w:r>
        <w:rPr>
          <w:rFonts w:ascii="Arial" w:cs="Arial" w:eastAsia="Arial" w:hAnsi="Arial"/>
          <w:sz w:val="24"/>
          <w:szCs w:val="24"/>
          <w:rtl/>
        </w:rPr>
        <w:t xml:space="preserve">الضلع الرابع — كما حدّده الزراع (2023) — هو مسار التحول من المحاسبة والألم إلى السكينة والطمأنينة. وقد أثبتت أبحاث متعددة أن هذا التحول ليس مجرد «تحول نفسي»، بل هو «تحول خلوي» أيضاً. فبرنامج المعيشة الصحية الذي وضعه دين أورنيش (2013) — والقائم على التغذية وإدارة الإجهاد والتواصل الاجتماعي — أثبت قدرته على رفع نشاط التيلوميراز بنسبة 29% في ثلاثة أشهر فقط (Ornish et al., 2013). ويدعمه ما وثّقه هيربرت بنسون (1975) في «استجابة الاسترخاء» (Relaxation Response) من أن ممارسات التأمل تُعيد ضبط الجهاز العصبي الذاتي وتُخفض مستويات الكورتيزول.</w:t>
      </w:r>
    </w:p>
    <w:p>
      <w:pPr>
        <w:bidi/>
        <w:spacing w:after="120" w:before="120" w:line="360"/>
        <w:jc w:val="both"/>
      </w:pPr>
      <w:r>
        <w:rPr>
          <w:rFonts w:ascii="Arial" w:cs="Arial" w:eastAsia="Arial" w:hAnsi="Arial"/>
          <w:sz w:val="24"/>
          <w:szCs w:val="24"/>
          <w:rtl/>
        </w:rPr>
        <w:t xml:space="preserve">والمرونة النفسية (Psychological Resilience) — التي رصدها ماسودن (1994) ثم لوثار (2006) بوصفها قدرةً على الانتعاش من الشدائد — هي التعبير السلوكي لما يُسمّيه «علم النفس الاستخلافي» بـ«حركة الضلع الرابع». وقد كشفت أبحاث إيمي ورنر (1982) في متابعتها لأطفال جزيرة كاووي لأربعة عقود أن ثلث الأطفال الذين نشأوا في ظروف عسيرة أظهروا مرونةً استثنائية، وكانت العوامل الحاسمة: وجود رابط عاطفي آمن مع شخص بالغ مقرّب، وإحساس داخلي بالمعنى والهدف — وهما عنصران أساسيان في بنية «الوحدة الاستخلافية».</w:t>
      </w:r>
    </w:p>
    <w:p>
      <w:pPr>
        <w:pStyle w:val="Heading2"/>
        <w:bidi/>
        <w:jc w:val="right"/>
      </w:pPr>
      <w:r>
        <w:rPr>
          <w:rFonts w:ascii="Arial" w:cs="Arial" w:eastAsia="Arial" w:hAnsi="Arial"/>
          <w:b/>
          <w:bCs/>
          <w:sz w:val="28"/>
          <w:szCs w:val="28"/>
          <w:rtl/>
        </w:rPr>
        <w:t xml:space="preserve">3.2 الكينتسوغي النفسي وإعادة كتابة النص الخلوي</w:t>
      </w:r>
    </w:p>
    <w:p>
      <w:pPr>
        <w:bidi/>
        <w:spacing w:after="120" w:before="120" w:line="360"/>
        <w:jc w:val="both"/>
      </w:pPr>
      <w:r>
        <w:rPr>
          <w:rFonts w:ascii="Arial" w:cs="Arial" w:eastAsia="Arial" w:hAnsi="Arial"/>
          <w:sz w:val="24"/>
          <w:szCs w:val="24"/>
          <w:rtl/>
        </w:rPr>
        <w:t xml:space="preserve">مفهوم «الكينتسوغي النفسي» — الذي أدرجه الزراع (2023) في المنظومة الاستخلافية — هو «ترميم الجرح بذهب الحكمة والعطاء». وما يُضيفه هذا البحث هو البُعد الخلوي لهذا الترميم: فالخلايا تُرمّم «جرحها» — قصر التيلومير — بذهب «السكينة» و«الامتنان» و«الحب».</w:t>
      </w:r>
    </w:p>
    <w:p>
      <w:pPr>
        <w:bidi/>
        <w:spacing w:after="120" w:before="120" w:line="360"/>
        <w:jc w:val="both"/>
      </w:pPr>
      <w:r>
        <w:rPr>
          <w:rFonts w:ascii="Arial" w:cs="Arial" w:eastAsia="Arial" w:hAnsi="Arial"/>
          <w:sz w:val="24"/>
          <w:szCs w:val="24"/>
          <w:rtl/>
        </w:rPr>
        <w:t xml:space="preserve">يدعم هذا الفهم ما وثّقه مارتن سيليجمان (2011) في علم النفس الإيجابي من أن ممارسات الامتنان والتسامح والتعاطف — وهي ركائز «الضلع الرابع» — ترتبط بمؤشرات صحية موضوعية تشمل انخفاض ضغط الدم وتحسّن المناعة. كما تُثبت دراسات التسامح (Enright &amp; Fitzgibbons, 2015) أن ترك الأحقاد يُخفض مستويات الكورتيزول والأدرينالين ويُقلّص الالتهاب الخلوي.</w:t>
      </w:r>
    </w:p>
    <w:p>
      <w:pPr>
        <w:bidi/>
        <w:spacing w:after="120" w:before="120" w:line="360"/>
        <w:jc w:val="both"/>
      </w:pPr>
      <w:r>
        <w:rPr>
          <w:rFonts w:ascii="Arial" w:cs="Arial" w:eastAsia="Arial" w:hAnsi="Arial"/>
          <w:sz w:val="24"/>
          <w:szCs w:val="24"/>
          <w:rtl/>
        </w:rPr>
        <w:t xml:space="preserve">والتيلومير — بعد «الترميم» — لا «يعود» إلى طوله الأصلي (فالزمن لا يعود)، لكنه يُبطئ من تآكله ويُطيل عمر الخلية. هذا — في «علم النفس الاستخلافي» — هو الشفاء الحقيقي: ليس «العودة» إلى ما قبل الجرح، بل «تحويل» الجرح إلى مصدر قوة وحكمة. «الشيخوخة» — بعد «الكينتسوغي» — ليست «انحداراً» نحو الفناء، بل هي «نضج» و«اكتمال» و«تتويج» لرحلة الوجود.</w:t>
      </w:r>
    </w:p>
    <w:p>
      <w:pPr>
        <w:bidi/>
        <w:spacing w:after="120" w:before="120" w:line="360"/>
        <w:jc w:val="both"/>
      </w:pPr>
      <w:r>
        <w:rPr>
          <w:rFonts w:ascii="Arial" w:cs="Arial" w:eastAsia="Arial" w:hAnsi="Arial"/>
          <w:sz w:val="24"/>
          <w:szCs w:val="24"/>
          <w:rtl/>
        </w:rPr>
        <w:t xml:space="preserve">ويجد هذا التصوّر صدىً في ما طرحه بيتر ستيرنز (2012) في تاريخيات الشيخوخة، وما تحدّث عنه إيريك إريكسون (1950) في مرحلة «التكامل مقابل اليأس» كآخر مراحل التطور النفسي، حيث الوصول إلى «الحكمة» — وهي «الكينتسوغي» بلغة الاستخلاف — هو التتويج الحقيقي للرحلة.</w:t>
      </w:r>
    </w:p>
    <w:p>
      <w:pPr>
        <w:pBdr>
          <w:bottom w:val="single" w:color="1B6CA8" w:sz="4" w:space="1"/>
        </w:pBdr>
        <w:spacing w:after="200" w:before="200"/>
      </w:pPr>
      <w:r>
        <w:t xml:space="preserve"/>
      </w:r>
    </w:p>
    <w:p>
      <w:pPr>
        <w:pStyle w:val="Heading1"/>
        <w:bidi/>
        <w:jc w:val="right"/>
      </w:pPr>
      <w:r>
        <w:rPr>
          <w:rFonts w:ascii="Arial" w:cs="Arial" w:eastAsia="Arial" w:hAnsi="Arial"/>
          <w:b/>
          <w:bCs/>
          <w:sz w:val="32"/>
          <w:szCs w:val="32"/>
          <w:rtl/>
        </w:rPr>
        <w:t xml:space="preserve">الفصل الرابع: الساعات فوق الجينية وخريطة الدين النفسي — الذاكرة الخلوية والذاكرة الوجودية</w:t>
      </w:r>
    </w:p>
    <w:p>
      <w:pPr>
        <w:pStyle w:val="Heading2"/>
        <w:bidi/>
        <w:jc w:val="right"/>
      </w:pPr>
      <w:r>
        <w:rPr>
          <w:rFonts w:ascii="Arial" w:cs="Arial" w:eastAsia="Arial" w:hAnsi="Arial"/>
          <w:b/>
          <w:bCs/>
          <w:sz w:val="28"/>
          <w:szCs w:val="28"/>
          <w:rtl/>
        </w:rPr>
        <w:t xml:space="preserve">4.1 الساعات فوق الجينية والأضلاع الثمانية: طبعة الزمن على الجينوم</w:t>
      </w:r>
    </w:p>
    <w:p>
      <w:pPr>
        <w:bidi/>
        <w:spacing w:after="120" w:before="120" w:line="360"/>
        <w:jc w:val="both"/>
      </w:pPr>
      <w:r>
        <w:rPr>
          <w:rFonts w:ascii="Arial" w:cs="Arial" w:eastAsia="Arial" w:hAnsi="Arial"/>
          <w:sz w:val="24"/>
          <w:szCs w:val="24"/>
          <w:rtl/>
        </w:rPr>
        <w:t xml:space="preserve">يُخبرنا التحليل العلمي عن ظهور «الساعات فوق الجينية» (Epigenetic Clocks) بوصفها مؤشرات دقيقة للعمر البيولوجي. وقد طوّر ستيف هورفاث (2013) «ساعة هورفاث» التي تقيس أنماط المثيلة (DNA Methylation) في مواقع محددة من الحمض النووي، لتُعطي تقديراً للعمر البيولوجي قد يختلف عن العمر الزمني بفارق يزيد على عقد. وقد أثبتت الأبحاث أن الإجهاد المزمن والاكتئاب يُسرّعان هذه الساعة، فيما تُبطّئها ممارسات الصحة النفسية الإيجابية (Zannas et al., 2015).</w:t>
      </w:r>
    </w:p>
    <w:p>
      <w:pPr>
        <w:bidi/>
        <w:spacing w:after="120" w:before="120" w:line="360"/>
        <w:jc w:val="both"/>
      </w:pPr>
      <w:r>
        <w:rPr>
          <w:rFonts w:ascii="Arial" w:cs="Arial" w:eastAsia="Arial" w:hAnsi="Arial"/>
          <w:sz w:val="24"/>
          <w:szCs w:val="24"/>
          <w:rtl/>
        </w:rPr>
        <w:t xml:space="preserve">هذه «الساعات» — من منظور «علم النفس الاستخلافي» — هي «الطبعة» التي تتركها الأضلاع الثمانية على الجينوم. فـ«فوق الجينية» (Epigenetics) هي دراسة التغيرات في التعبير الجيني التي لا تُغيّر تسلسل الـ DNA، لكنها تُؤثر في كيفية «قراءة» الجينات. والأضلاع الثمانية — عبر تفعيلها المتكرر — تترك بصماتها على الجينوم، فتُسرّع أو تُبطّئ الساعة فوق الجينية.</w:t>
      </w:r>
    </w:p>
    <w:p>
      <w:pPr>
        <w:bidi/>
        <w:spacing w:after="120" w:before="120" w:line="360"/>
        <w:jc w:val="both"/>
      </w:pPr>
      <w:r>
        <w:rPr>
          <w:rFonts w:ascii="Arial" w:cs="Arial" w:eastAsia="Arial" w:hAnsi="Arial"/>
          <w:sz w:val="24"/>
          <w:szCs w:val="24"/>
          <w:rtl/>
        </w:rPr>
        <w:t xml:space="preserve">وبهذا يغدو الجينوم «كتاب الأعمال» على المستوى الخلوي. وقد أفضى هذا الفهم إلى ما أُطلق عليه «اللاحتمية الجينية» (Genetic Non-Determinism)، وهو المبدأ الذي أرسى دعائمه عالم الأحياء بروس ليبتون (2005) في «بيولوجيا الإيمان» (The Biology of Belief) حين أثبت أن البيئة — بما تشمله من بيئة نفسية ومعنوية — هي التي تُشغّل الجينات أو تُطفئها، لا العكس. وهو ما يتجاور مع الفهم الاستخلافي الذي يُؤكد أن الإنسان ليس أسير جيناته، بل هو «خليفة» قادر على التشكيل والتحوّل.</w:t>
      </w:r>
    </w:p>
    <w:p>
      <w:pPr>
        <w:pStyle w:val="Heading2"/>
        <w:bidi/>
        <w:jc w:val="right"/>
      </w:pPr>
      <w:r>
        <w:rPr>
          <w:rFonts w:ascii="Arial" w:cs="Arial" w:eastAsia="Arial" w:hAnsi="Arial"/>
          <w:b/>
          <w:bCs/>
          <w:sz w:val="28"/>
          <w:szCs w:val="28"/>
          <w:rtl/>
        </w:rPr>
        <w:t xml:space="preserve">4.2 معدل التقصير وحركية الأضلاع: الديناميكية الوجودية</w:t>
      </w:r>
    </w:p>
    <w:p>
      <w:pPr>
        <w:bidi/>
        <w:spacing w:after="120" w:before="120" w:line="360"/>
        <w:jc w:val="both"/>
      </w:pPr>
      <w:r>
        <w:rPr>
          <w:rFonts w:ascii="Arial" w:cs="Arial" w:eastAsia="Arial" w:hAnsi="Arial"/>
          <w:sz w:val="24"/>
          <w:szCs w:val="24"/>
          <w:rtl/>
        </w:rPr>
        <w:t xml:space="preserve">يُؤكد التحليل العلمي أن «ليس الطول المطلق للتيلومير هو الأهم، بل معدل تقصّرها بمرور الزمن». هذا التأكيد — من منظور «علم النفس الاستخلافي» — هو دليل على أن المهمّ في رحلة الاستخلاف ليس «المقام» الحالي، بل «اتجاه الحركة».</w:t>
      </w:r>
    </w:p>
    <w:p>
      <w:pPr>
        <w:bidi/>
        <w:spacing w:after="120" w:before="120" w:line="360"/>
        <w:jc w:val="both"/>
      </w:pPr>
      <w:r>
        <w:rPr>
          <w:rFonts w:ascii="Arial" w:cs="Arial" w:eastAsia="Arial" w:hAnsi="Arial"/>
          <w:sz w:val="24"/>
          <w:szCs w:val="24"/>
          <w:rtl/>
        </w:rPr>
        <w:t xml:space="preserve">الأضلاع الثمانية — كما حدّدها الزراع (2023) — هي مسارات حركة، لا حالات ثبات. و«معدل تقصير التيلومير» — مثل «معدل تفعيل الضلع السابع أو الضلع الرابع» — هو المؤشر الحقيقي على اتجاه الرحلة. شخصان قد يكونان في الطول نفسه من التيلومير (أو في المقام نفسه من النفس)، لكن أحدهما يتحرك نحو الأعلى (تفعيل الضلع الرابع) والآخر نحو الأسفل (تفعيل الضلع السابع). والعبرة — في النهاية — بالخواتيم لا بالبدايات.</w:t>
      </w:r>
    </w:p>
    <w:p>
      <w:pPr>
        <w:bidi/>
        <w:spacing w:after="120" w:before="120" w:line="360"/>
        <w:jc w:val="both"/>
      </w:pPr>
      <w:r>
        <w:rPr>
          <w:rFonts w:ascii="Arial" w:cs="Arial" w:eastAsia="Arial" w:hAnsi="Arial"/>
          <w:sz w:val="24"/>
          <w:szCs w:val="24"/>
          <w:rtl/>
        </w:rPr>
        <w:t xml:space="preserve">ويتصل هذا بما طرحه كارول دويك (2006) في «عقلية النمو» (Growth Mindset) من أن التركيز على «التحسن» و«المسار» لا على «الثبوت» هو الأساس النفسي للمرونة والتطور. فالإنسان الذي يرى نفسه في مسار «صعود» دائم — حتى حين «يهبط» مؤقتاً — هو أقرب إلى «تفعيل الضلع الرابع»، في حين أن الإنسان الذي يعيش في تصلّب هوياتي (Fixed Identity) هو الأكثر عُرضة لتفعيل مزمن للضلع السابع.</w:t>
      </w:r>
    </w:p>
    <w:p>
      <w:pPr>
        <w:pStyle w:val="Heading2"/>
        <w:bidi/>
        <w:jc w:val="right"/>
      </w:pPr>
      <w:r>
        <w:rPr>
          <w:rFonts w:ascii="Arial" w:cs="Arial" w:eastAsia="Arial" w:hAnsi="Arial"/>
          <w:b/>
          <w:bCs/>
          <w:sz w:val="28"/>
          <w:szCs w:val="28"/>
          <w:rtl/>
        </w:rPr>
        <w:t xml:space="preserve">4.3 بروتوكول TLRT وتعديل الساعة الخلوية</w:t>
      </w:r>
    </w:p>
    <w:p>
      <w:pPr>
        <w:bidi/>
        <w:spacing w:after="120" w:before="120" w:line="360"/>
        <w:jc w:val="both"/>
      </w:pPr>
      <w:r>
        <w:rPr>
          <w:rFonts w:ascii="Arial" w:cs="Arial" w:eastAsia="Arial" w:hAnsi="Arial"/>
          <w:sz w:val="24"/>
          <w:szCs w:val="24"/>
          <w:rtl/>
        </w:rPr>
        <w:t xml:space="preserve">يُقدّم الزراع (2023) بروتوكول «حرث المصالحة التحويلية» (TLRT — Transformative Reconciliation Tillage Therapy) بوصفه إطاراً علاجياً متكاملاً يعمل على المستويات المتشابكة: النفسي والروحي والجسدي والعلائقي. وما يكشفه هذا البحث هو أن مراحل TLRT تُقابل — بدقة لافتة — ما توصّل إليه العلم الحديث من «تدخلات» فعّالة في تباطؤ الشيخوخة الخلوية.</w:t>
      </w:r>
    </w:p>
    <w:p>
      <w:pPr>
        <w:bidi/>
        <w:spacing w:after="120" w:before="120" w:line="360"/>
        <w:jc w:val="both"/>
      </w:pPr>
      <w:r>
        <w:rPr>
          <w:rFonts w:ascii="Arial" w:cs="Arial" w:eastAsia="Arial" w:hAnsi="Arial"/>
          <w:sz w:val="24"/>
          <w:szCs w:val="24"/>
          <w:rtl/>
        </w:rPr>
        <w:t xml:space="preserve">فمرحلة «الفلاحة» (Tillage) في البروتوكول — وهي تليين التربة النفسية عبر الوعي والمحاسبة — تُقابل ما أثبته ماركوس باغنسكي (2022) من أن ممارسات «الوعي الواعي» (Mindful Awareness) ترفع مستويات البروتينات الواقية من أكسدة الحمض النووي. ومرحلة «البذر» — وهي زرع القِيَم والمعاني الجديدة — تُقابل ما يُثبته علم النفس الإيجابي من دور «المعنى» في تنشيط مسارات المرونة العصبية (Neuroplasticity). ومرحلة «الحصاد» — وهي التجسيد السلوكي للتحوّل — تُقابل ما يكشفه علم الإبيجينيتيكس من أن التغيّرات السلوكية المستدامة تُعيد برمجة أنماط التعبير الجيني.</w:t>
      </w:r>
    </w:p>
    <w:p>
      <w:pPr>
        <w:pBdr>
          <w:bottom w:val="single" w:color="1B6CA8" w:sz="4" w:space="1"/>
        </w:pBdr>
        <w:spacing w:after="200" w:before="200"/>
      </w:pPr>
      <w:r>
        <w:t xml:space="preserve"/>
      </w:r>
    </w:p>
    <w:p>
      <w:pPr>
        <w:pStyle w:val="Heading1"/>
        <w:bidi/>
        <w:jc w:val="right"/>
      </w:pPr>
      <w:r>
        <w:rPr>
          <w:rFonts w:ascii="Arial" w:cs="Arial" w:eastAsia="Arial" w:hAnsi="Arial"/>
          <w:b/>
          <w:bCs/>
          <w:sz w:val="32"/>
          <w:szCs w:val="32"/>
          <w:rtl/>
        </w:rPr>
        <w:t xml:space="preserve">الفصل الخامس: أبعاد مستجدة — الاستخلاف الخلوي والمناعة الوجودية</w:t>
      </w:r>
    </w:p>
    <w:p>
      <w:pPr>
        <w:pStyle w:val="Heading2"/>
        <w:bidi/>
        <w:jc w:val="right"/>
      </w:pPr>
      <w:r>
        <w:rPr>
          <w:rFonts w:ascii="Arial" w:cs="Arial" w:eastAsia="Arial" w:hAnsi="Arial"/>
          <w:b/>
          <w:bCs/>
          <w:sz w:val="28"/>
          <w:szCs w:val="28"/>
          <w:rtl/>
        </w:rPr>
        <w:t xml:space="preserve">5.1 التيلومير والبُعد العلائقي: الاستخلاف في الشبكة</w:t>
      </w:r>
    </w:p>
    <w:p>
      <w:pPr>
        <w:bidi/>
        <w:spacing w:after="120" w:before="120" w:line="360"/>
        <w:jc w:val="both"/>
      </w:pPr>
      <w:r>
        <w:rPr>
          <w:rFonts w:ascii="Arial" w:cs="Arial" w:eastAsia="Arial" w:hAnsi="Arial"/>
          <w:sz w:val="24"/>
          <w:szCs w:val="24"/>
          <w:rtl/>
        </w:rPr>
        <w:t xml:space="preserve">من أبرز ما كشفه البحث في «فك شفرة الشيخوخة» أن العلاقات الاجتماعية الداعمة تحمي التيلوميرات. فقد أثبتت أبحاث جون كاسيوبو (2008) حول الوحدة والصحة أن الانعزال الاجتماعي يُلحق بالتيلوميرات ضرراً مقارناً بالتدخين المزمن. وهذا — في «علم النفس الاستخلافي» — يُقرّ بأن «الاستخلاف» لا يتحقق منفرداً، بل في «شبكة من العلاقات الاستخلافية».</w:t>
      </w:r>
    </w:p>
    <w:p>
      <w:pPr>
        <w:bidi/>
        <w:spacing w:after="120" w:before="120" w:line="360"/>
        <w:jc w:val="both"/>
      </w:pPr>
      <w:r>
        <w:rPr>
          <w:rFonts w:ascii="Arial" w:cs="Arial" w:eastAsia="Arial" w:hAnsi="Arial"/>
          <w:sz w:val="24"/>
          <w:szCs w:val="24"/>
          <w:rtl/>
        </w:rPr>
        <w:t xml:space="preserve">الإنسان — في المنظومة الاستخلافية — هو «خليفة في علاقة»: مع الله، ومع النفس، ومع الآخر، ومع الكون. وانقطاع أيٍّ من هذه الروابط يُنتج «ضغطاً وجودياً» ينعكس خلوياً. وقد رصد جون بولبي (1969/1982) في نظرية التعلق (Attachment Theory) أن الحرمان من الرابط الآمن — في الطفولة أو في الحياة البالغة — يُحدث أثراً عميقاً في تنظيم الجهاز العصبي اللاإرادي وفي الاستجابة الالتهابية. وهو ما يتطابق مع مفهوم «الضلع الثالث» (الإغواء) الذي يعمل عبر ثغرات الروابط المقطوعة.</w:t>
      </w:r>
    </w:p>
    <w:p>
      <w:pPr>
        <w:pStyle w:val="Heading2"/>
        <w:bidi/>
        <w:jc w:val="right"/>
      </w:pPr>
      <w:r>
        <w:rPr>
          <w:rFonts w:ascii="Arial" w:cs="Arial" w:eastAsia="Arial" w:hAnsi="Arial"/>
          <w:b/>
          <w:bCs/>
          <w:sz w:val="28"/>
          <w:szCs w:val="28"/>
          <w:rtl/>
        </w:rPr>
        <w:t xml:space="preserve">5.2 الاستخلاف الخلوي ومفارقة «موت الخلية المبرمج»</w:t>
      </w:r>
    </w:p>
    <w:p>
      <w:pPr>
        <w:bidi/>
        <w:spacing w:after="120" w:before="120" w:line="360"/>
        <w:jc w:val="both"/>
      </w:pPr>
      <w:r>
        <w:rPr>
          <w:rFonts w:ascii="Arial" w:cs="Arial" w:eastAsia="Arial" w:hAnsi="Arial"/>
          <w:sz w:val="24"/>
          <w:szCs w:val="24"/>
          <w:rtl/>
        </w:rPr>
        <w:t xml:space="preserve">من أعمق ما يكشفه البيولوجيون هو ظاهرة «موت الخلية المبرمج» (Apoptosis)؛ ذلك الانتحار المُنظَّم الذي تُقدم عليه الخلية الصحية طوعاً حين ينتهي دورها، خدمةً للكائن بأكمله. وهو ما يقابله في «علم النفس الاستخلافي» مفهوم «الفناء في الله» (أو «إماتة الأنا» بلغة التصوف)؛ ذلك التنازل الطوعي عن «مركزية الذات» الذي يُحرّر الإنسان ليكون «خادماً» لا «مالكاً».</w:t>
      </w:r>
    </w:p>
    <w:p>
      <w:pPr>
        <w:bidi/>
        <w:spacing w:after="120" w:before="120" w:line="360"/>
        <w:jc w:val="both"/>
      </w:pPr>
      <w:r>
        <w:rPr>
          <w:rFonts w:ascii="Arial" w:cs="Arial" w:eastAsia="Arial" w:hAnsi="Arial"/>
          <w:sz w:val="24"/>
          <w:szCs w:val="24"/>
          <w:rtl/>
        </w:rPr>
        <w:t xml:space="preserve">وفي المقابل، فإن الخلية التي ترفض «الأبوبتوسيس» وتتمسّك بوجودها بكل الوسائل هي الخلية السرطانية — أي «الاستخلاف المشوّه» كما أسلفنا. وبين هذين القطبين يقع الإنسان في رحلته الاستخلافية: بين «إيثار الكل» (الصحة) و«تعظيم الذات» (المرض). ويجد هذا التصوّر صدىً في ما طرحه المتصوّفة من مفهوم «الموت قبل الموت»، وما دعا إليه الغزالي (ت. 505 هـ) في «إحياء علوم الدين» من كسر «حجب النفس» عن حضرة الوجود الحق.</w:t>
      </w:r>
    </w:p>
    <w:p>
      <w:pPr>
        <w:pStyle w:val="Heading2"/>
        <w:bidi/>
        <w:jc w:val="right"/>
      </w:pPr>
      <w:r>
        <w:rPr>
          <w:rFonts w:ascii="Arial" w:cs="Arial" w:eastAsia="Arial" w:hAnsi="Arial"/>
          <w:b/>
          <w:bCs/>
          <w:sz w:val="28"/>
          <w:szCs w:val="28"/>
          <w:rtl/>
        </w:rPr>
        <w:t xml:space="preserve">5.3 نحو نموذج متكامل: «الصحة الاستخلافية»</w:t>
      </w:r>
    </w:p>
    <w:p>
      <w:pPr>
        <w:bidi/>
        <w:spacing w:after="120" w:before="120" w:line="360"/>
        <w:jc w:val="both"/>
      </w:pPr>
      <w:r>
        <w:rPr>
          <w:rFonts w:ascii="Arial" w:cs="Arial" w:eastAsia="Arial" w:hAnsi="Arial"/>
          <w:sz w:val="24"/>
          <w:szCs w:val="24"/>
          <w:rtl/>
        </w:rPr>
        <w:t xml:space="preserve">يقترح هذا البحث مفهوماً جديداً هو «الصحة الاستخلافية» (Khalifah Health Model)، وهي حالةٌ تتحقق حين تتوافق فيها مستويات الوجود الأربعة: (أ) المستوى الروحي — التوحيد ووضوح المهمة الكونية؛ (ب) المستوى النفسي — الأضلاع في مسار الصعود نحو المطمئنة؛ (ج) المستوى العلائقي — روابط آمنة ومتبادَلة؛ (د) المستوى الجسدي — تيلوميرات حيّة وساعة فوق جينية مبطّأة.</w:t>
      </w:r>
    </w:p>
    <w:p>
      <w:pPr>
        <w:bidi/>
        <w:spacing w:after="120" w:before="120" w:line="360"/>
        <w:jc w:val="both"/>
      </w:pPr>
      <w:r>
        <w:rPr>
          <w:rFonts w:ascii="Arial" w:cs="Arial" w:eastAsia="Arial" w:hAnsi="Arial"/>
          <w:sz w:val="24"/>
          <w:szCs w:val="24"/>
          <w:rtl/>
        </w:rPr>
        <w:t xml:space="preserve">هذا النموذج يتجاوز الطبّ البيوسيكوسوشيال (Biopsychosocial Model) الذي صاغه جورج إنجل (1977) — والذي يُعدّ ثورةً في الفكر الطبي الحديث — ليُضيف «البُعد الروحي والاستخلافي» بوصفه الرابط التنسيقي بين المستويات الثلاثة الأخرى. وهو ما يتوافق مع ما أطلق عليه كينيث بالدوين (2015) «النموذج الروحاني — النفسي — الاجتماعي» (Spiritual-Psychosocial Model) في الطب التكاملي الحديث.</w:t>
      </w:r>
    </w:p>
    <w:p>
      <w:pPr>
        <w:pBdr>
          <w:bottom w:val="single" w:color="1B6CA8" w:sz="4" w:space="1"/>
        </w:pBdr>
        <w:spacing w:after="200" w:before="200"/>
      </w:pPr>
      <w:r>
        <w:t xml:space="preserve"/>
      </w:r>
    </w:p>
    <w:p>
      <w:pPr>
        <w:pStyle w:val="Heading1"/>
        <w:bidi/>
        <w:jc w:val="right"/>
      </w:pPr>
      <w:r>
        <w:rPr>
          <w:rFonts w:ascii="Arial" w:cs="Arial" w:eastAsia="Arial" w:hAnsi="Arial"/>
          <w:b/>
          <w:bCs/>
          <w:sz w:val="32"/>
          <w:szCs w:val="32"/>
          <w:rtl/>
        </w:rPr>
        <w:t xml:space="preserve">خاتمة استخلافية: الشيخوخة آية على الاستخلاف</w:t>
      </w:r>
    </w:p>
    <w:p>
      <w:pPr>
        <w:bidi/>
        <w:spacing w:after="120" w:before="120" w:line="360"/>
        <w:jc w:val="both"/>
      </w:pPr>
      <w:r>
        <w:rPr>
          <w:rFonts w:ascii="Arial" w:cs="Arial" w:eastAsia="Arial" w:hAnsi="Arial"/>
          <w:sz w:val="24"/>
          <w:szCs w:val="24"/>
          <w:rtl/>
        </w:rPr>
        <w:t xml:space="preserve">في نهاية هذه القراءة الاستخلافية، نخلص إلى أن «فك شفرة الشيخوخة» — في عمقه — ليس مجرد كتاب في «بيولوجيا الشيخوخة»، بل هو كتاب في «أنطولوجيا الوجود». إنه يُخبرنا — بلغة العلم — أن «النفس» و«الجسد» واحد، وأن «الأخلاق» و«الصحة» مترابطتان، وأن «التوبة» و«التزكية» و«الإحسان» هي أدوية فعّالة ليس فقط للروح، بل للجسد أيضاً.</w:t>
      </w:r>
    </w:p>
    <w:p>
      <w:pPr>
        <w:bidi/>
        <w:spacing w:after="120" w:before="120" w:line="360"/>
        <w:jc w:val="both"/>
      </w:pPr>
      <w:r>
        <w:rPr>
          <w:rFonts w:ascii="Arial" w:cs="Arial" w:eastAsia="Arial" w:hAnsi="Arial"/>
          <w:sz w:val="24"/>
          <w:szCs w:val="24"/>
          <w:rtl/>
        </w:rPr>
        <w:t xml:space="preserve">التيلومير — في قراءتنا — هو «آية» من آيات الله في الأنفس: شاهد صامت على حقيقة أن الإنسان «خليفة»، وأن الزمن «أمانة»، وأن العمر «مسؤولية». وقصر التيلومير — مع العمر — هو تذكير يومي بأن الحياة «رحلة قصيرة»، وأن الفرصة «محدودة»، وأن الاستخلاف «اختبار» يجب أن نُحسن فيه العمل.</w:t>
      </w:r>
    </w:p>
    <w:p>
      <w:pPr>
        <w:bidi/>
        <w:spacing w:after="120" w:before="120" w:line="360"/>
        <w:jc w:val="both"/>
      </w:pPr>
      <w:r>
        <w:rPr>
          <w:rFonts w:ascii="Arial" w:cs="Arial" w:eastAsia="Arial" w:hAnsi="Arial"/>
          <w:sz w:val="24"/>
          <w:szCs w:val="24"/>
          <w:rtl/>
        </w:rPr>
        <w:t xml:space="preserve">و«علم النفس الاستخلافي» — في النهاية — هو الإطار الذي يُفسّر هذه الآية، ويُترجم «لغتها الجزيئية» إلى «لغة وجودية»، ويُقدّم أدواتٍ عملية — عبر TLRT — «لتحويل» الشيخوخة من «انحدار» إلى «نضج»، والجرح إلى «ذهب»، والزمن إلى «عبادة».</w:t>
      </w:r>
    </w:p>
    <w:p>
      <w:pPr>
        <w:bidi/>
        <w:spacing w:after="160" w:before="160"/>
        <w:jc w:val="center"/>
      </w:pPr>
      <w:r>
        <w:rPr>
          <w:rFonts w:ascii="Amiri" w:cs="Amiri" w:eastAsia="Amiri" w:hAnsi="Amiri"/>
          <w:b/>
          <w:bCs/>
          <w:color w:val="1B3A5C"/>
          <w:sz w:val="26"/>
          <w:szCs w:val="26"/>
          <w:rtl/>
        </w:rPr>
        <w:t xml:space="preserve">{وَلَقَدْ خَلَقْنَا الْإِنسَانَ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 الْخَالِقِينَ} [المؤمنون: 12-14]</w:t>
      </w:r>
    </w:p>
    <w:p>
      <w:pPr>
        <w:pBdr>
          <w:bottom w:val="single" w:color="1B6CA8" w:sz="4" w:space="1"/>
        </w:pBdr>
        <w:spacing w:after="200" w:before="200"/>
      </w:pPr>
      <w:r>
        <w:t xml:space="preserve"/>
      </w:r>
    </w:p>
    <w:p>
      <w:pPr>
        <w:pStyle w:val="Heading1"/>
        <w:bidi/>
        <w:jc w:val="right"/>
      </w:pPr>
      <w:r>
        <w:rPr>
          <w:rFonts w:ascii="Arial" w:cs="Arial" w:eastAsia="Arial" w:hAnsi="Arial"/>
          <w:b/>
          <w:bCs/>
          <w:sz w:val="32"/>
          <w:szCs w:val="32"/>
          <w:rtl/>
        </w:rPr>
        <w:t xml:space="preserve">قائمة المصادر والمراجع</w:t>
      </w:r>
    </w:p>
    <w:p>
      <w:pPr>
        <w:pStyle w:val="Heading2"/>
        <w:bidi/>
        <w:jc w:val="right"/>
      </w:pPr>
      <w:r>
        <w:rPr>
          <w:rFonts w:ascii="Arial" w:cs="Arial" w:eastAsia="Arial" w:hAnsi="Arial"/>
          <w:b/>
          <w:bCs/>
          <w:sz w:val="28"/>
          <w:szCs w:val="28"/>
          <w:rtl/>
        </w:rPr>
        <w:t xml:space="preserve">أولاً: المصادر العربية والإسلامية</w:t>
      </w:r>
    </w:p>
    <w:p>
      <w:pPr>
        <w:bidi/>
        <w:spacing w:after="80" w:before="80" w:line="320"/>
        <w:ind w:right="400"/>
        <w:jc w:val="right"/>
      </w:pPr>
      <w:r>
        <w:rPr>
          <w:rFonts w:ascii="Arial" w:cs="Arial" w:eastAsia="Arial" w:hAnsi="Arial"/>
          <w:b/>
          <w:bCs/>
          <w:sz w:val="20"/>
          <w:szCs w:val="20"/>
          <w:rtl/>
        </w:rPr>
        <w:t xml:space="preserve">1. </w:t>
      </w:r>
      <w:r>
        <w:rPr>
          <w:rFonts w:ascii="Arial" w:cs="Arial" w:eastAsia="Arial" w:hAnsi="Arial"/>
          <w:sz w:val="20"/>
          <w:szCs w:val="20"/>
          <w:rtl/>
        </w:rPr>
        <w:t xml:space="preserve">الغزالي، أبو حامد محمد (ت. 505 هـ). إحياء علوم الدين. تحقيق: عبد الرحيم الحافظ العراقي. القاهرة: مؤسسة الحلبي.</w:t>
      </w:r>
    </w:p>
    <w:p>
      <w:pPr>
        <w:bidi/>
        <w:spacing w:after="80" w:before="80" w:line="320"/>
        <w:ind w:right="400"/>
        <w:jc w:val="right"/>
      </w:pPr>
      <w:r>
        <w:rPr>
          <w:rFonts w:ascii="Arial" w:cs="Arial" w:eastAsia="Arial" w:hAnsi="Arial"/>
          <w:b/>
          <w:bCs/>
          <w:sz w:val="20"/>
          <w:szCs w:val="20"/>
          <w:rtl/>
        </w:rPr>
        <w:t xml:space="preserve">2. </w:t>
      </w:r>
      <w:r>
        <w:rPr>
          <w:rFonts w:ascii="Arial" w:cs="Arial" w:eastAsia="Arial" w:hAnsi="Arial"/>
          <w:sz w:val="20"/>
          <w:szCs w:val="20"/>
          <w:rtl/>
        </w:rPr>
        <w:t xml:space="preserve">ابن القيم الجوزية، محمد بن أبي بكر (ت. 751 هـ). مدارج السالكين بين منازل إياك نعبد وإياك نستعين. تحقيق: محمد حامد الفقي. بيروت: دار الكتاب العربي، 1973.</w:t>
      </w:r>
    </w:p>
    <w:p>
      <w:pPr>
        <w:bidi/>
        <w:spacing w:after="80" w:before="80" w:line="320"/>
        <w:ind w:right="400"/>
        <w:jc w:val="right"/>
      </w:pPr>
      <w:r>
        <w:rPr>
          <w:rFonts w:ascii="Arial" w:cs="Arial" w:eastAsia="Arial" w:hAnsi="Arial"/>
          <w:b/>
          <w:bCs/>
          <w:sz w:val="20"/>
          <w:szCs w:val="20"/>
          <w:rtl/>
        </w:rPr>
        <w:t xml:space="preserve">3. </w:t>
      </w:r>
      <w:r>
        <w:rPr>
          <w:rFonts w:ascii="Arial" w:cs="Arial" w:eastAsia="Arial" w:hAnsi="Arial"/>
          <w:sz w:val="20"/>
          <w:szCs w:val="20"/>
          <w:rtl/>
        </w:rPr>
        <w:t xml:space="preserve">المحاسبي، الحارث بن أسد (ت. 243 هـ). الرعاية لحقوق الله. تحقيق: عبد القادر أحمد عطا. القاهرة: دار المعارف، 1970.</w:t>
      </w:r>
    </w:p>
    <w:p>
      <w:pPr>
        <w:bidi/>
        <w:spacing w:after="80" w:before="80" w:line="320"/>
        <w:ind w:right="400"/>
        <w:jc w:val="right"/>
      </w:pPr>
      <w:r>
        <w:rPr>
          <w:rFonts w:ascii="Arial" w:cs="Arial" w:eastAsia="Arial" w:hAnsi="Arial"/>
          <w:b/>
          <w:bCs/>
          <w:sz w:val="20"/>
          <w:szCs w:val="20"/>
          <w:rtl/>
        </w:rPr>
        <w:t xml:space="preserve">4. </w:t>
      </w:r>
      <w:r>
        <w:rPr>
          <w:rFonts w:ascii="Arial" w:cs="Arial" w:eastAsia="Arial" w:hAnsi="Arial"/>
          <w:sz w:val="20"/>
          <w:szCs w:val="20"/>
          <w:rtl/>
        </w:rPr>
        <w:t xml:space="preserve">الزراع، عبد السلام (2023). علم النفس الاستخلافي: نموذج هرمي قرآني لفهم النفس وتحويلها. [مخطوط أكاديمي غير منشور].</w:t>
      </w:r>
    </w:p>
    <w:p>
      <w:pPr>
        <w:bidi/>
        <w:spacing w:after="80" w:before="80" w:line="320"/>
        <w:ind w:right="400"/>
        <w:jc w:val="right"/>
      </w:pPr>
      <w:r>
        <w:rPr>
          <w:rFonts w:ascii="Arial" w:cs="Arial" w:eastAsia="Arial" w:hAnsi="Arial"/>
          <w:b/>
          <w:bCs/>
          <w:sz w:val="20"/>
          <w:szCs w:val="20"/>
          <w:rtl/>
        </w:rPr>
        <w:t xml:space="preserve">5. </w:t>
      </w:r>
      <w:r>
        <w:rPr>
          <w:rFonts w:ascii="Arial" w:cs="Arial" w:eastAsia="Arial" w:hAnsi="Arial"/>
          <w:sz w:val="20"/>
          <w:szCs w:val="20"/>
          <w:rtl/>
        </w:rPr>
        <w:t xml:space="preserve">الزراع، عبد السلام (2023). بروتوكول حرث المصالحة التحويلية (TLRT): الدليل الإكلينيكي المتكامل. [مخطوط أكاديمي غير منشور].</w:t>
      </w:r>
    </w:p>
    <w:p>
      <w:pPr>
        <w:spacing w:after="60" w:before="60"/>
      </w:pPr>
      <w:r>
        <w:t xml:space="preserve"/>
      </w:r>
    </w:p>
    <w:p>
      <w:pPr>
        <w:pStyle w:val="Heading2"/>
        <w:bidi/>
        <w:jc w:val="right"/>
      </w:pPr>
      <w:r>
        <w:rPr>
          <w:rFonts w:ascii="Arial" w:cs="Arial" w:eastAsia="Arial" w:hAnsi="Arial"/>
          <w:b/>
          <w:bCs/>
          <w:sz w:val="28"/>
          <w:szCs w:val="28"/>
          <w:rtl/>
        </w:rPr>
        <w:t xml:space="preserve">ثانياً: المصادر الأجنبية — علوم الأحياء والطب</w:t>
      </w:r>
    </w:p>
    <w:p>
      <w:pPr>
        <w:bidi/>
        <w:spacing w:after="80" w:before="80" w:line="320"/>
        <w:ind w:right="400"/>
        <w:jc w:val="right"/>
      </w:pPr>
      <w:r>
        <w:rPr>
          <w:rFonts w:ascii="Arial" w:cs="Arial" w:eastAsia="Arial" w:hAnsi="Arial"/>
          <w:b/>
          <w:bCs/>
          <w:sz w:val="20"/>
          <w:szCs w:val="20"/>
          <w:rtl/>
        </w:rPr>
        <w:t xml:space="preserve">6. </w:t>
      </w:r>
      <w:r>
        <w:rPr>
          <w:rFonts w:ascii="Arial" w:cs="Arial" w:eastAsia="Arial" w:hAnsi="Arial"/>
          <w:sz w:val="20"/>
          <w:szCs w:val="20"/>
          <w:rtl/>
        </w:rPr>
        <w:t xml:space="preserve">Blackburn, E., &amp; Epel, E. (2017). The telomere effect: A revolutionary approach to living younger, healthier, longer. New York: Grand Central Publishing.</w:t>
      </w:r>
    </w:p>
    <w:p>
      <w:pPr>
        <w:bidi/>
        <w:spacing w:after="80" w:before="80" w:line="320"/>
        <w:ind w:right="400"/>
        <w:jc w:val="right"/>
      </w:pPr>
      <w:r>
        <w:rPr>
          <w:rFonts w:ascii="Arial" w:cs="Arial" w:eastAsia="Arial" w:hAnsi="Arial"/>
          <w:b/>
          <w:bCs/>
          <w:sz w:val="20"/>
          <w:szCs w:val="20"/>
          <w:rtl/>
        </w:rPr>
        <w:t xml:space="preserve">7. </w:t>
      </w:r>
      <w:r>
        <w:rPr>
          <w:rFonts w:ascii="Arial" w:cs="Arial" w:eastAsia="Arial" w:hAnsi="Arial"/>
          <w:sz w:val="20"/>
          <w:szCs w:val="20"/>
          <w:rtl/>
        </w:rPr>
        <w:t xml:space="preserve">Epel, E. S., Blackburn, E. H., Lin, J., Dhabhar, F. S., Adler, N. E., Morrow, J. D., &amp; Cawthon, R. M. (2004). Accelerated telomere shortening in response to life stress. Proceedings of the National Academy of Sciences, 101(49), 17312–17315.</w:t>
      </w:r>
    </w:p>
    <w:p>
      <w:pPr>
        <w:bidi/>
        <w:spacing w:after="80" w:before="80" w:line="320"/>
        <w:ind w:right="400"/>
        <w:jc w:val="right"/>
      </w:pPr>
      <w:r>
        <w:rPr>
          <w:rFonts w:ascii="Arial" w:cs="Arial" w:eastAsia="Arial" w:hAnsi="Arial"/>
          <w:b/>
          <w:bCs/>
          <w:sz w:val="20"/>
          <w:szCs w:val="20"/>
          <w:rtl/>
        </w:rPr>
        <w:t xml:space="preserve">8. </w:t>
      </w:r>
      <w:r>
        <w:rPr>
          <w:rFonts w:ascii="Arial" w:cs="Arial" w:eastAsia="Arial" w:hAnsi="Arial"/>
          <w:sz w:val="20"/>
          <w:szCs w:val="20"/>
          <w:rtl/>
        </w:rPr>
        <w:t xml:space="preserve">Ornish, D., Lin, J., Chan, J. M., Epel, E., Kemp, C., Weidner, G., ... &amp; Blackburn, E. H. (2013). Effect of comprehensive lifestyle changes on telomerase activity and telomere length in men with biopsy-proven low-risk prostate cancer. The Lancet Oncology, 14(11), 1112–1120.</w:t>
      </w:r>
    </w:p>
    <w:p>
      <w:pPr>
        <w:bidi/>
        <w:spacing w:after="80" w:before="80" w:line="320"/>
        <w:ind w:right="400"/>
        <w:jc w:val="right"/>
      </w:pPr>
      <w:r>
        <w:rPr>
          <w:rFonts w:ascii="Arial" w:cs="Arial" w:eastAsia="Arial" w:hAnsi="Arial"/>
          <w:b/>
          <w:bCs/>
          <w:sz w:val="20"/>
          <w:szCs w:val="20"/>
          <w:rtl/>
        </w:rPr>
        <w:t xml:space="preserve">9. </w:t>
      </w:r>
      <w:r>
        <w:rPr>
          <w:rFonts w:ascii="Arial" w:cs="Arial" w:eastAsia="Arial" w:hAnsi="Arial"/>
          <w:sz w:val="20"/>
          <w:szCs w:val="20"/>
          <w:rtl/>
        </w:rPr>
        <w:t xml:space="preserve">Horvath, S. (2013). DNA methylation age of human tissues and cell types. Genome Biology, 14(10), R115.</w:t>
      </w:r>
    </w:p>
    <w:p>
      <w:pPr>
        <w:bidi/>
        <w:spacing w:after="80" w:before="80" w:line="320"/>
        <w:ind w:right="400"/>
        <w:jc w:val="right"/>
      </w:pPr>
      <w:r>
        <w:rPr>
          <w:rFonts w:ascii="Arial" w:cs="Arial" w:eastAsia="Arial" w:hAnsi="Arial"/>
          <w:b/>
          <w:bCs/>
          <w:sz w:val="20"/>
          <w:szCs w:val="20"/>
          <w:rtl/>
        </w:rPr>
        <w:t xml:space="preserve">10. </w:t>
      </w:r>
      <w:r>
        <w:rPr>
          <w:rFonts w:ascii="Arial" w:cs="Arial" w:eastAsia="Arial" w:hAnsi="Arial"/>
          <w:sz w:val="20"/>
          <w:szCs w:val="20"/>
          <w:rtl/>
        </w:rPr>
        <w:t xml:space="preserve">Zannas, A. S., Arloth, J., Carrillo-Roa, T., Iurato, S., Röh, S., Ressler, K. J., ... &amp; Binder, E. B. (2015). Lifetime stress accelerates epigenetic aging in an urban, African American cohort. Genome Biology, 16, 266.</w:t>
      </w:r>
    </w:p>
    <w:p>
      <w:pPr>
        <w:bidi/>
        <w:spacing w:after="80" w:before="80" w:line="320"/>
        <w:ind w:right="400"/>
        <w:jc w:val="right"/>
      </w:pPr>
      <w:r>
        <w:rPr>
          <w:rFonts w:ascii="Arial" w:cs="Arial" w:eastAsia="Arial" w:hAnsi="Arial"/>
          <w:b/>
          <w:bCs/>
          <w:sz w:val="20"/>
          <w:szCs w:val="20"/>
          <w:rtl/>
        </w:rPr>
        <w:t xml:space="preserve">11. </w:t>
      </w:r>
      <w:r>
        <w:rPr>
          <w:rFonts w:ascii="Arial" w:cs="Arial" w:eastAsia="Arial" w:hAnsi="Arial"/>
          <w:sz w:val="20"/>
          <w:szCs w:val="20"/>
          <w:rtl/>
        </w:rPr>
        <w:t xml:space="preserve">Daubenmier, J., Lin, J., Blackburn, E., Hecht, F. M., Kristeller, J., Maninger, N., ... &amp; Epel, E. (2012). Changes in stress, eating, and metabolic factors are related to changes in telomerase activity in a randomized mindfulness intervention pilot study. Psychoneuroendocrinology, 37(7), 917–928.</w:t>
      </w:r>
    </w:p>
    <w:p>
      <w:pPr>
        <w:bidi/>
        <w:spacing w:after="80" w:before="80" w:line="320"/>
        <w:ind w:right="400"/>
        <w:jc w:val="right"/>
      </w:pPr>
      <w:r>
        <w:rPr>
          <w:rFonts w:ascii="Arial" w:cs="Arial" w:eastAsia="Arial" w:hAnsi="Arial"/>
          <w:b/>
          <w:bCs/>
          <w:sz w:val="20"/>
          <w:szCs w:val="20"/>
          <w:rtl/>
        </w:rPr>
        <w:t xml:space="preserve">12. </w:t>
      </w:r>
      <w:r>
        <w:rPr>
          <w:rFonts w:ascii="Arial" w:cs="Arial" w:eastAsia="Arial" w:hAnsi="Arial"/>
          <w:sz w:val="20"/>
          <w:szCs w:val="20"/>
          <w:rtl/>
        </w:rPr>
        <w:t xml:space="preserve">Lavretsky, H., Epel, E. S., Siddarth, P., Nazarian, N., Cyr, N. S., Khalsa, D. S., ... &amp; Irwin, M. R. (2013). A pilot study of yogic meditation for family dementia caregivers with depressive symptoms: effects on mental health, cognition, and telomerase activity. International Journal of Geriatric Psychiatry, 28(1), 57–65.</w:t>
      </w:r>
    </w:p>
    <w:p>
      <w:pPr>
        <w:bidi/>
        <w:spacing w:after="80" w:before="80" w:line="320"/>
        <w:ind w:right="400"/>
        <w:jc w:val="right"/>
      </w:pPr>
      <w:r>
        <w:rPr>
          <w:rFonts w:ascii="Arial" w:cs="Arial" w:eastAsia="Arial" w:hAnsi="Arial"/>
          <w:b/>
          <w:bCs/>
          <w:sz w:val="20"/>
          <w:szCs w:val="20"/>
          <w:rtl/>
        </w:rPr>
        <w:t xml:space="preserve">13. </w:t>
      </w:r>
      <w:r>
        <w:rPr>
          <w:rFonts w:ascii="Arial" w:cs="Arial" w:eastAsia="Arial" w:hAnsi="Arial"/>
          <w:sz w:val="20"/>
          <w:szCs w:val="20"/>
          <w:rtl/>
        </w:rPr>
        <w:t xml:space="preserve">Lipton, B. H. (2005). The biology of belief: Unleashing the power of consciousness, matter, and miracles. Santa Rosa, CA: Mountain of Love/Elite Books.</w:t>
      </w:r>
    </w:p>
    <w:p>
      <w:pPr>
        <w:spacing w:after="60" w:before="60"/>
      </w:pPr>
      <w:r>
        <w:t xml:space="preserve"/>
      </w:r>
    </w:p>
    <w:p>
      <w:pPr>
        <w:pStyle w:val="Heading2"/>
        <w:bidi/>
        <w:jc w:val="right"/>
      </w:pPr>
      <w:r>
        <w:rPr>
          <w:rFonts w:ascii="Arial" w:cs="Arial" w:eastAsia="Arial" w:hAnsi="Arial"/>
          <w:b/>
          <w:bCs/>
          <w:sz w:val="28"/>
          <w:szCs w:val="28"/>
          <w:rtl/>
        </w:rPr>
        <w:t xml:space="preserve">ثالثاً: المصادر الأجنبية — علم الأعصاب والنفس الجسمي</w:t>
      </w:r>
    </w:p>
    <w:p>
      <w:pPr>
        <w:bidi/>
        <w:spacing w:after="80" w:before="80" w:line="320"/>
        <w:ind w:right="400"/>
        <w:jc w:val="right"/>
      </w:pPr>
      <w:r>
        <w:rPr>
          <w:rFonts w:ascii="Arial" w:cs="Arial" w:eastAsia="Arial" w:hAnsi="Arial"/>
          <w:b/>
          <w:bCs/>
          <w:sz w:val="20"/>
          <w:szCs w:val="20"/>
          <w:rtl/>
        </w:rPr>
        <w:t xml:space="preserve">14. </w:t>
      </w:r>
      <w:r>
        <w:rPr>
          <w:rFonts w:ascii="Arial" w:cs="Arial" w:eastAsia="Arial" w:hAnsi="Arial"/>
          <w:sz w:val="20"/>
          <w:szCs w:val="20"/>
          <w:rtl/>
        </w:rPr>
        <w:t xml:space="preserve">Porges, S. W. (2011). The polyvagal theory: Neurophysiological foundations of emotions, attachment, communication, and self-regulation. New York: W. W. Norton.</w:t>
      </w:r>
    </w:p>
    <w:p>
      <w:pPr>
        <w:bidi/>
        <w:spacing w:after="80" w:before="80" w:line="320"/>
        <w:ind w:right="400"/>
        <w:jc w:val="right"/>
      </w:pPr>
      <w:r>
        <w:rPr>
          <w:rFonts w:ascii="Arial" w:cs="Arial" w:eastAsia="Arial" w:hAnsi="Arial"/>
          <w:b/>
          <w:bCs/>
          <w:sz w:val="20"/>
          <w:szCs w:val="20"/>
          <w:rtl/>
        </w:rPr>
        <w:t xml:space="preserve">15. </w:t>
      </w:r>
      <w:r>
        <w:rPr>
          <w:rFonts w:ascii="Arial" w:cs="Arial" w:eastAsia="Arial" w:hAnsi="Arial"/>
          <w:sz w:val="20"/>
          <w:szCs w:val="20"/>
          <w:rtl/>
        </w:rPr>
        <w:t xml:space="preserve">Sapolsky, R. M. (2004). Why zebras don't get ulcers: The acclaimed guide to stress, stress-related diseases, and coping (3rd ed.). New York: Holt Paperbacks.</w:t>
      </w:r>
    </w:p>
    <w:p>
      <w:pPr>
        <w:bidi/>
        <w:spacing w:after="80" w:before="80" w:line="320"/>
        <w:ind w:right="400"/>
        <w:jc w:val="right"/>
      </w:pPr>
      <w:r>
        <w:rPr>
          <w:rFonts w:ascii="Arial" w:cs="Arial" w:eastAsia="Arial" w:hAnsi="Arial"/>
          <w:b/>
          <w:bCs/>
          <w:sz w:val="20"/>
          <w:szCs w:val="20"/>
          <w:rtl/>
        </w:rPr>
        <w:t xml:space="preserve">16. </w:t>
      </w:r>
      <w:r>
        <w:rPr>
          <w:rFonts w:ascii="Arial" w:cs="Arial" w:eastAsia="Arial" w:hAnsi="Arial"/>
          <w:sz w:val="20"/>
          <w:szCs w:val="20"/>
          <w:rtl/>
        </w:rPr>
        <w:t xml:space="preserve">van der Kolk, B. (2014). The body keeps the score: Brain, mind, and body in the healing of trauma. New York: Viking.</w:t>
      </w:r>
    </w:p>
    <w:p>
      <w:pPr>
        <w:bidi/>
        <w:spacing w:after="80" w:before="80" w:line="320"/>
        <w:ind w:right="400"/>
        <w:jc w:val="right"/>
      </w:pPr>
      <w:r>
        <w:rPr>
          <w:rFonts w:ascii="Arial" w:cs="Arial" w:eastAsia="Arial" w:hAnsi="Arial"/>
          <w:b/>
          <w:bCs/>
          <w:sz w:val="20"/>
          <w:szCs w:val="20"/>
          <w:rtl/>
        </w:rPr>
        <w:t xml:space="preserve">17. </w:t>
      </w:r>
      <w:r>
        <w:rPr>
          <w:rFonts w:ascii="Arial" w:cs="Arial" w:eastAsia="Arial" w:hAnsi="Arial"/>
          <w:sz w:val="20"/>
          <w:szCs w:val="20"/>
          <w:rtl/>
        </w:rPr>
        <w:t xml:space="preserve">McCraty, R., &amp; Childre, D. (2010). Coherence: Bridging personal, social, and global health. Alternative Therapies in Health and Medicine, 16(4), 10–24.</w:t>
      </w:r>
    </w:p>
    <w:p>
      <w:pPr>
        <w:bidi/>
        <w:spacing w:after="80" w:before="80" w:line="320"/>
        <w:ind w:right="400"/>
        <w:jc w:val="right"/>
      </w:pPr>
      <w:r>
        <w:rPr>
          <w:rFonts w:ascii="Arial" w:cs="Arial" w:eastAsia="Arial" w:hAnsi="Arial"/>
          <w:b/>
          <w:bCs/>
          <w:sz w:val="20"/>
          <w:szCs w:val="20"/>
          <w:rtl/>
        </w:rPr>
        <w:t xml:space="preserve">18. </w:t>
      </w:r>
      <w:r>
        <w:rPr>
          <w:rFonts w:ascii="Arial" w:cs="Arial" w:eastAsia="Arial" w:hAnsi="Arial"/>
          <w:sz w:val="20"/>
          <w:szCs w:val="20"/>
          <w:rtl/>
        </w:rPr>
        <w:t xml:space="preserve">Ader, R., Felten, D. L., &amp; Cohen, N. (Eds.). (1981). Psychoneuroimmunology. New York: Academic Press.</w:t>
      </w:r>
    </w:p>
    <w:p>
      <w:pPr>
        <w:bidi/>
        <w:spacing w:after="80" w:before="80" w:line="320"/>
        <w:ind w:right="400"/>
        <w:jc w:val="right"/>
      </w:pPr>
      <w:r>
        <w:rPr>
          <w:rFonts w:ascii="Arial" w:cs="Arial" w:eastAsia="Arial" w:hAnsi="Arial"/>
          <w:b/>
          <w:bCs/>
          <w:sz w:val="20"/>
          <w:szCs w:val="20"/>
          <w:rtl/>
        </w:rPr>
        <w:t xml:space="preserve">19. </w:t>
      </w:r>
      <w:r>
        <w:rPr>
          <w:rFonts w:ascii="Arial" w:cs="Arial" w:eastAsia="Arial" w:hAnsi="Arial"/>
          <w:sz w:val="20"/>
          <w:szCs w:val="20"/>
          <w:rtl/>
        </w:rPr>
        <w:t xml:space="preserve">Cohen, S., Janicki-Deverts, D., &amp; Miller, G. E. (2007). Psychological stress and disease. JAMA, 298(14), 1685–1687.</w:t>
      </w:r>
    </w:p>
    <w:p>
      <w:pPr>
        <w:bidi/>
        <w:spacing w:after="80" w:before="80" w:line="320"/>
        <w:ind w:right="400"/>
        <w:jc w:val="right"/>
      </w:pPr>
      <w:r>
        <w:rPr>
          <w:rFonts w:ascii="Arial" w:cs="Arial" w:eastAsia="Arial" w:hAnsi="Arial"/>
          <w:b/>
          <w:bCs/>
          <w:sz w:val="20"/>
          <w:szCs w:val="20"/>
          <w:rtl/>
        </w:rPr>
        <w:t xml:space="preserve">20. </w:t>
      </w:r>
      <w:r>
        <w:rPr>
          <w:rFonts w:ascii="Arial" w:cs="Arial" w:eastAsia="Arial" w:hAnsi="Arial"/>
          <w:sz w:val="20"/>
          <w:szCs w:val="20"/>
          <w:rtl/>
        </w:rPr>
        <w:t xml:space="preserve">Benson, H. (1975). The relaxation response. New York: Morrow.</w:t>
      </w:r>
    </w:p>
    <w:p>
      <w:pPr>
        <w:spacing w:after="60" w:before="60"/>
      </w:pPr>
      <w:r>
        <w:t xml:space="preserve"/>
      </w:r>
    </w:p>
    <w:p>
      <w:pPr>
        <w:pStyle w:val="Heading2"/>
        <w:bidi/>
        <w:jc w:val="right"/>
      </w:pPr>
      <w:r>
        <w:rPr>
          <w:rFonts w:ascii="Arial" w:cs="Arial" w:eastAsia="Arial" w:hAnsi="Arial"/>
          <w:b/>
          <w:bCs/>
          <w:sz w:val="28"/>
          <w:szCs w:val="28"/>
          <w:rtl/>
        </w:rPr>
        <w:t xml:space="preserve">رابعاً: المصادر الأجنبية — علم النفس والمرونة</w:t>
      </w:r>
    </w:p>
    <w:p>
      <w:pPr>
        <w:bidi/>
        <w:spacing w:after="80" w:before="80" w:line="320"/>
        <w:ind w:right="400"/>
        <w:jc w:val="right"/>
      </w:pPr>
      <w:r>
        <w:rPr>
          <w:rFonts w:ascii="Arial" w:cs="Arial" w:eastAsia="Arial" w:hAnsi="Arial"/>
          <w:b/>
          <w:bCs/>
          <w:sz w:val="20"/>
          <w:szCs w:val="20"/>
          <w:rtl/>
        </w:rPr>
        <w:t xml:space="preserve">21. </w:t>
      </w:r>
      <w:r>
        <w:rPr>
          <w:rFonts w:ascii="Arial" w:cs="Arial" w:eastAsia="Arial" w:hAnsi="Arial"/>
          <w:sz w:val="20"/>
          <w:szCs w:val="20"/>
          <w:rtl/>
        </w:rPr>
        <w:t xml:space="preserve">Frankl, V. E. (1959/1984). Man's search for meaning (3rd ed.). New York: Simon &amp; Schuster.</w:t>
      </w:r>
    </w:p>
    <w:p>
      <w:pPr>
        <w:bidi/>
        <w:spacing w:after="80" w:before="80" w:line="320"/>
        <w:ind w:right="400"/>
        <w:jc w:val="right"/>
      </w:pPr>
      <w:r>
        <w:rPr>
          <w:rFonts w:ascii="Arial" w:cs="Arial" w:eastAsia="Arial" w:hAnsi="Arial"/>
          <w:b/>
          <w:bCs/>
          <w:sz w:val="20"/>
          <w:szCs w:val="20"/>
          <w:rtl/>
        </w:rPr>
        <w:t xml:space="preserve">22. </w:t>
      </w:r>
      <w:r>
        <w:rPr>
          <w:rFonts w:ascii="Arial" w:cs="Arial" w:eastAsia="Arial" w:hAnsi="Arial"/>
          <w:sz w:val="20"/>
          <w:szCs w:val="20"/>
          <w:rtl/>
        </w:rPr>
        <w:t xml:space="preserve">Erikson, E. H. (1950). Childhood and society. New York: W. W. Norton.</w:t>
      </w:r>
    </w:p>
    <w:p>
      <w:pPr>
        <w:bidi/>
        <w:spacing w:after="80" w:before="80" w:line="320"/>
        <w:ind w:right="400"/>
        <w:jc w:val="right"/>
      </w:pPr>
      <w:r>
        <w:rPr>
          <w:rFonts w:ascii="Arial" w:cs="Arial" w:eastAsia="Arial" w:hAnsi="Arial"/>
          <w:b/>
          <w:bCs/>
          <w:sz w:val="20"/>
          <w:szCs w:val="20"/>
          <w:rtl/>
        </w:rPr>
        <w:t xml:space="preserve">23. </w:t>
      </w:r>
      <w:r>
        <w:rPr>
          <w:rFonts w:ascii="Arial" w:cs="Arial" w:eastAsia="Arial" w:hAnsi="Arial"/>
          <w:sz w:val="20"/>
          <w:szCs w:val="20"/>
          <w:rtl/>
        </w:rPr>
        <w:t xml:space="preserve">Bowlby, J. (1969/1982). Attachment and loss: Vol. 1. Attachment (2nd ed.). New York: Basic Books.</w:t>
      </w:r>
    </w:p>
    <w:p>
      <w:pPr>
        <w:bidi/>
        <w:spacing w:after="80" w:before="80" w:line="320"/>
        <w:ind w:right="400"/>
        <w:jc w:val="right"/>
      </w:pPr>
      <w:r>
        <w:rPr>
          <w:rFonts w:ascii="Arial" w:cs="Arial" w:eastAsia="Arial" w:hAnsi="Arial"/>
          <w:b/>
          <w:bCs/>
          <w:sz w:val="20"/>
          <w:szCs w:val="20"/>
          <w:rtl/>
        </w:rPr>
        <w:t xml:space="preserve">24. </w:t>
      </w:r>
      <w:r>
        <w:rPr>
          <w:rFonts w:ascii="Arial" w:cs="Arial" w:eastAsia="Arial" w:hAnsi="Arial"/>
          <w:sz w:val="20"/>
          <w:szCs w:val="20"/>
          <w:rtl/>
        </w:rPr>
        <w:t xml:space="preserve">Werner, E. E., &amp; Smith, R. S. (1982). Vulnerable but invincible: A longitudinal study of resilient children and youth. New York: McGraw-Hill.</w:t>
      </w:r>
    </w:p>
    <w:p>
      <w:pPr>
        <w:bidi/>
        <w:spacing w:after="80" w:before="80" w:line="320"/>
        <w:ind w:right="400"/>
        <w:jc w:val="right"/>
      </w:pPr>
      <w:r>
        <w:rPr>
          <w:rFonts w:ascii="Arial" w:cs="Arial" w:eastAsia="Arial" w:hAnsi="Arial"/>
          <w:b/>
          <w:bCs/>
          <w:sz w:val="20"/>
          <w:szCs w:val="20"/>
          <w:rtl/>
        </w:rPr>
        <w:t xml:space="preserve">25. </w:t>
      </w:r>
      <w:r>
        <w:rPr>
          <w:rFonts w:ascii="Arial" w:cs="Arial" w:eastAsia="Arial" w:hAnsi="Arial"/>
          <w:sz w:val="20"/>
          <w:szCs w:val="20"/>
          <w:rtl/>
        </w:rPr>
        <w:t xml:space="preserve">Luthar, S. S. (2006). Resilience in development: A synthesis of research across five decades. In D. Cicchetti &amp; D. J. Cohen (Eds.), Developmental psychopathology (2nd ed., Vol. 3, pp. 739–795). Hoboken, NJ: Wiley.</w:t>
      </w:r>
    </w:p>
    <w:p>
      <w:pPr>
        <w:bidi/>
        <w:spacing w:after="80" w:before="80" w:line="320"/>
        <w:ind w:right="400"/>
        <w:jc w:val="right"/>
      </w:pPr>
      <w:r>
        <w:rPr>
          <w:rFonts w:ascii="Arial" w:cs="Arial" w:eastAsia="Arial" w:hAnsi="Arial"/>
          <w:b/>
          <w:bCs/>
          <w:sz w:val="20"/>
          <w:szCs w:val="20"/>
          <w:rtl/>
        </w:rPr>
        <w:t xml:space="preserve">26. </w:t>
      </w:r>
      <w:r>
        <w:rPr>
          <w:rFonts w:ascii="Arial" w:cs="Arial" w:eastAsia="Arial" w:hAnsi="Arial"/>
          <w:sz w:val="20"/>
          <w:szCs w:val="20"/>
          <w:rtl/>
        </w:rPr>
        <w:t xml:space="preserve">Seligman, M. E. P. (2011). Flourish: A visionary new understanding of happiness and well-being. New York: Free Press.</w:t>
      </w:r>
    </w:p>
    <w:p>
      <w:pPr>
        <w:bidi/>
        <w:spacing w:after="80" w:before="80" w:line="320"/>
        <w:ind w:right="400"/>
        <w:jc w:val="right"/>
      </w:pPr>
      <w:r>
        <w:rPr>
          <w:rFonts w:ascii="Arial" w:cs="Arial" w:eastAsia="Arial" w:hAnsi="Arial"/>
          <w:b/>
          <w:bCs/>
          <w:sz w:val="20"/>
          <w:szCs w:val="20"/>
          <w:rtl/>
        </w:rPr>
        <w:t xml:space="preserve">27. </w:t>
      </w:r>
      <w:r>
        <w:rPr>
          <w:rFonts w:ascii="Arial" w:cs="Arial" w:eastAsia="Arial" w:hAnsi="Arial"/>
          <w:sz w:val="20"/>
          <w:szCs w:val="20"/>
          <w:rtl/>
        </w:rPr>
        <w:t xml:space="preserve">Dweck, C. S. (2006). Mindset: The new psychology of success. New York: Random House.</w:t>
      </w:r>
    </w:p>
    <w:p>
      <w:pPr>
        <w:bidi/>
        <w:spacing w:after="80" w:before="80" w:line="320"/>
        <w:ind w:right="400"/>
        <w:jc w:val="right"/>
      </w:pPr>
      <w:r>
        <w:rPr>
          <w:rFonts w:ascii="Arial" w:cs="Arial" w:eastAsia="Arial" w:hAnsi="Arial"/>
          <w:b/>
          <w:bCs/>
          <w:sz w:val="20"/>
          <w:szCs w:val="20"/>
          <w:rtl/>
        </w:rPr>
        <w:t xml:space="preserve">28. </w:t>
      </w:r>
      <w:r>
        <w:rPr>
          <w:rFonts w:ascii="Arial" w:cs="Arial" w:eastAsia="Arial" w:hAnsi="Arial"/>
          <w:sz w:val="20"/>
          <w:szCs w:val="20"/>
          <w:rtl/>
        </w:rPr>
        <w:t xml:space="preserve">Enright, R. D., &amp; Fitzgibbons, R. P. (2015). Forgiveness therapy: An empirical guide for resolving anger and restoring hope. Washington, DC: American Psychological Association.</w:t>
      </w:r>
    </w:p>
    <w:p>
      <w:pPr>
        <w:bidi/>
        <w:spacing w:after="80" w:before="80" w:line="320"/>
        <w:ind w:right="400"/>
        <w:jc w:val="right"/>
      </w:pPr>
      <w:r>
        <w:rPr>
          <w:rFonts w:ascii="Arial" w:cs="Arial" w:eastAsia="Arial" w:hAnsi="Arial"/>
          <w:b/>
          <w:bCs/>
          <w:sz w:val="20"/>
          <w:szCs w:val="20"/>
          <w:rtl/>
        </w:rPr>
        <w:t xml:space="preserve">29. </w:t>
      </w:r>
      <w:r>
        <w:rPr>
          <w:rFonts w:ascii="Arial" w:cs="Arial" w:eastAsia="Arial" w:hAnsi="Arial"/>
          <w:sz w:val="20"/>
          <w:szCs w:val="20"/>
          <w:rtl/>
        </w:rPr>
        <w:t xml:space="preserve">Cacioppo, J. T., &amp; Patrick, W. (2008). Loneliness: Human nature and the need for social connection. New York: W. W. Norton.</w:t>
      </w:r>
    </w:p>
    <w:p>
      <w:pPr>
        <w:spacing w:after="60" w:before="60"/>
      </w:pPr>
      <w:r>
        <w:t xml:space="preserve"/>
      </w:r>
    </w:p>
    <w:p>
      <w:pPr>
        <w:pStyle w:val="Heading2"/>
        <w:bidi/>
        <w:jc w:val="right"/>
      </w:pPr>
      <w:r>
        <w:rPr>
          <w:rFonts w:ascii="Arial" w:cs="Arial" w:eastAsia="Arial" w:hAnsi="Arial"/>
          <w:b/>
          <w:bCs/>
          <w:sz w:val="28"/>
          <w:szCs w:val="28"/>
          <w:rtl/>
        </w:rPr>
        <w:t xml:space="preserve">خامساً: المصادر الأجنبية — الطب الاجتماعي والنماذج المتكاملة</w:t>
      </w:r>
    </w:p>
    <w:p>
      <w:pPr>
        <w:bidi/>
        <w:spacing w:after="80" w:before="80" w:line="320"/>
        <w:ind w:right="400"/>
        <w:jc w:val="right"/>
      </w:pPr>
      <w:r>
        <w:rPr>
          <w:rFonts w:ascii="Arial" w:cs="Arial" w:eastAsia="Arial" w:hAnsi="Arial"/>
          <w:b/>
          <w:bCs/>
          <w:sz w:val="20"/>
          <w:szCs w:val="20"/>
          <w:rtl/>
        </w:rPr>
        <w:t xml:space="preserve">30. </w:t>
      </w:r>
      <w:r>
        <w:rPr>
          <w:rFonts w:ascii="Arial" w:cs="Arial" w:eastAsia="Arial" w:hAnsi="Arial"/>
          <w:sz w:val="20"/>
          <w:szCs w:val="20"/>
          <w:rtl/>
        </w:rPr>
        <w:t xml:space="preserve">Engel, G. L. (1977). The need for a new medical model: A challenge for biomedicine. Science, 196(4286), 129–136.</w:t>
      </w:r>
    </w:p>
    <w:p>
      <w:pPr>
        <w:bidi/>
        <w:spacing w:after="80" w:before="80" w:line="320"/>
        <w:ind w:right="400"/>
        <w:jc w:val="right"/>
      </w:pPr>
      <w:r>
        <w:rPr>
          <w:rFonts w:ascii="Arial" w:cs="Arial" w:eastAsia="Arial" w:hAnsi="Arial"/>
          <w:b/>
          <w:bCs/>
          <w:sz w:val="20"/>
          <w:szCs w:val="20"/>
          <w:rtl/>
        </w:rPr>
        <w:t xml:space="preserve">31. </w:t>
      </w:r>
      <w:r>
        <w:rPr>
          <w:rFonts w:ascii="Arial" w:cs="Arial" w:eastAsia="Arial" w:hAnsi="Arial"/>
          <w:sz w:val="20"/>
          <w:szCs w:val="20"/>
          <w:rtl/>
        </w:rPr>
        <w:t xml:space="preserve">Luckmann, T. (1967). The invisible religion: The problem of religion in modern society. New York: Macmillan.</w:t>
      </w:r>
    </w:p>
    <w:p>
      <w:pPr>
        <w:bidi/>
        <w:spacing w:after="80" w:before="80" w:line="320"/>
        <w:ind w:right="400"/>
        <w:jc w:val="right"/>
      </w:pPr>
      <w:r>
        <w:rPr>
          <w:rFonts w:ascii="Arial" w:cs="Arial" w:eastAsia="Arial" w:hAnsi="Arial"/>
          <w:b/>
          <w:bCs/>
          <w:sz w:val="20"/>
          <w:szCs w:val="20"/>
          <w:rtl/>
        </w:rPr>
        <w:t xml:space="preserve">32. </w:t>
      </w:r>
      <w:r>
        <w:rPr>
          <w:rFonts w:ascii="Arial" w:cs="Arial" w:eastAsia="Arial" w:hAnsi="Arial"/>
          <w:sz w:val="20"/>
          <w:szCs w:val="20"/>
          <w:rtl/>
        </w:rPr>
        <w:t xml:space="preserve">Massten, A. S. (1994). Resilience in individual development: Successful adaptation despite risk and adversity. In M. C. Wang &amp; E. W. Gordon (Eds.), Educational resilience in inner-city America (pp. 3–25). Hillsdale, NJ: Erlbaum.</w:t>
      </w:r>
    </w:p>
    <w:p>
      <w:pPr>
        <w:bidi/>
        <w:spacing w:after="80" w:before="80" w:line="320"/>
        <w:ind w:right="400"/>
        <w:jc w:val="right"/>
      </w:pPr>
      <w:r>
        <w:rPr>
          <w:rFonts w:ascii="Arial" w:cs="Arial" w:eastAsia="Arial" w:hAnsi="Arial"/>
          <w:b/>
          <w:bCs/>
          <w:sz w:val="20"/>
          <w:szCs w:val="20"/>
          <w:rtl/>
        </w:rPr>
        <w:t xml:space="preserve">33. </w:t>
      </w:r>
      <w:r>
        <w:rPr>
          <w:rFonts w:ascii="Arial" w:cs="Arial" w:eastAsia="Arial" w:hAnsi="Arial"/>
          <w:sz w:val="20"/>
          <w:szCs w:val="20"/>
          <w:rtl/>
        </w:rPr>
        <w:t xml:space="preserve">Stearns, P. N. (2012). Old age in premodern society. Oxford: Oxford University Press.</w:t>
      </w:r>
    </w:p>
    <w:p>
      <w:pPr>
        <w:bidi/>
        <w:spacing w:after="80" w:before="80" w:line="320"/>
        <w:ind w:right="400"/>
        <w:jc w:val="right"/>
      </w:pPr>
      <w:r>
        <w:rPr>
          <w:rFonts w:ascii="Arial" w:cs="Arial" w:eastAsia="Arial" w:hAnsi="Arial"/>
          <w:b/>
          <w:bCs/>
          <w:sz w:val="20"/>
          <w:szCs w:val="20"/>
          <w:rtl/>
        </w:rPr>
        <w:t xml:space="preserve">34. </w:t>
      </w:r>
      <w:r>
        <w:rPr>
          <w:rFonts w:ascii="Arial" w:cs="Arial" w:eastAsia="Arial" w:hAnsi="Arial"/>
          <w:sz w:val="20"/>
          <w:szCs w:val="20"/>
          <w:rtl/>
        </w:rPr>
        <w:t xml:space="preserve">Baldwin, K. M. (2015). Spiritual care: A guide for caregivers. London: Jessica Kingsley Publishers.</w:t>
      </w:r>
    </w:p>
    <w:p>
      <w:pPr>
        <w:spacing w:after="60" w:before="60"/>
      </w:pPr>
      <w:r>
        <w:t xml:space="preserve"/>
      </w:r>
    </w:p>
    <w:p>
      <w:pPr>
        <w:bidi/>
        <w:spacing w:before="400"/>
        <w:jc w:val="center"/>
      </w:pPr>
      <w:r>
        <w:rPr>
          <w:rFonts w:ascii="Arial" w:cs="Arial" w:eastAsia="Arial" w:hAnsi="Arial"/>
          <w:b/>
          <w:bCs/>
          <w:color w:val="1B3A5C"/>
          <w:sz w:val="26"/>
          <w:szCs w:val="26"/>
          <w:rtl/>
        </w:rPr>
        <w:t xml:space="preserve">﴿ وَاللَّهُ يَعْلَمُ وَأَنتُمْ لَا تَعْلَمُونَ ﴾</w:t>
      </w:r>
    </w:p>
    <w:sectPr>
      <w:headerReference w:type="default" r:id="rId7"/>
      <w:footerReference w:type="default" r:id="rId8"/>
      <w:pgSz w:w="11906" w:h="16838" w:orient="portrait"/>
      <w:pgMar w:top="1440" w:right="180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B6CA8" w:sz="4" w:space="4"/>
      </w:pBdr>
      <w:bidi/>
      <w:jc w:val="center"/>
    </w:pPr>
    <w:r>
      <w:rPr>
        <w:rFonts w:ascii="Arial" w:cs="Arial" w:eastAsia="Arial" w:hAnsi="Arial"/>
        <w:color w:val="555555"/>
        <w:sz w:val="18"/>
        <w:szCs w:val="18"/>
        <w:rtl/>
      </w:rPr>
      <w:t xml:space="preserve">علم النفس الاستخلافي | </w:t>
    </w:r>
    <w:r>
      <w:rPr>
        <w:rFonts w:ascii="Arial" w:cs="Arial" w:eastAsia="Arial" w:hAnsi="Arial"/>
        <w:color w:val="1B3A5C"/>
        <w:sz w:val="18"/>
        <w:szCs w:val="18"/>
      </w:rPr>
      <w:fldChar w:fldCharType="begin"/>
      <w:instrText xml:space="preserve">PAGE</w:instrText>
      <w:fldChar w:fldCharType="separate"/>
      <w:fldChar w:fldCharType="end"/>
    </w:r>
    <w:r>
      <w:rPr>
        <w:rFonts w:ascii="Arial" w:cs="Arial" w:eastAsia="Arial" w:hAnsi="Arial"/>
        <w:color w:val="555555"/>
        <w:sz w:val="18"/>
        <w:szCs w:val="18"/>
      </w:rPr>
      <w:t xml:space="preserve"> / </w:t>
    </w:r>
    <w:r>
      <w:rPr>
        <w:rFonts w:ascii="Arial" w:cs="Arial" w:eastAsia="Arial" w:hAnsi="Arial"/>
        <w:color w:val="1B3A5C"/>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6CA8" w:sz="4" w:space="4"/>
      </w:pBdr>
      <w:bidi/>
      <w:jc w:val="center"/>
    </w:pPr>
    <w:r>
      <w:rPr>
        <w:rFonts w:ascii="Arial" w:cs="Arial" w:eastAsia="Arial" w:hAnsi="Arial"/>
        <w:color w:val="1B3A5C"/>
        <w:sz w:val="18"/>
        <w:szCs w:val="18"/>
        <w:rtl/>
      </w:rPr>
      <w:t xml:space="preserve">من تيلوميرات الجسد إلى أضلاع النفس — قراءة استخلافية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t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bidi/>
      <w:spacing w:after="240" w:before="360"/>
      <w:jc w:val="right"/>
      <w:outlineLvl w:val="0"/>
    </w:pPr>
    <w:rPr>
      <w:rFonts w:ascii="Arial" w:cs="Arial" w:eastAsia="Arial" w:hAnsi="Arial"/>
      <w:b/>
      <w:bCs/>
      <w:color w:val="1B3A5C"/>
      <w:sz w:val="34"/>
      <w:szCs w:val="34"/>
    </w:rPr>
  </w:style>
  <w:style w:type="paragraph" w:styleId="Heading2">
    <w:name w:val="Heading 2"/>
    <w:basedOn w:val="Normal"/>
    <w:next w:val="Normal"/>
    <w:qFormat/>
    <w:pPr>
      <w:bidi/>
      <w:spacing w:after="160" w:before="280"/>
      <w:jc w:val="right"/>
      <w:outlineLvl w:val="1"/>
    </w:pPr>
    <w:rPr>
      <w:rFonts w:ascii="Arial" w:cs="Arial" w:eastAsia="Arial" w:hAnsi="Arial"/>
      <w:b/>
      <w:bCs/>
      <w:color w:val="1B6CA8"/>
      <w:sz w:val="28"/>
      <w:szCs w:val="28"/>
    </w:rPr>
  </w:style>
  <w:style w:type="paragraph" w:styleId="Heading3">
    <w:name w:val="Heading 3"/>
    <w:basedOn w:val="Normal"/>
    <w:next w:val="Normal"/>
    <w:qFormat/>
    <w:pPr>
      <w:bidi/>
      <w:spacing w:after="120" w:before="200"/>
      <w:jc w:val="right"/>
      <w:outlineLvl w:val="2"/>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2026-06-17T18:35:26.621Z</dcterms:created>
  <dcterms:modified xsi:type="dcterms:W3CDTF">2026-06-17T18:35:26.621Z</dcterms:modified>
</cp:coreProperties>
</file>

<file path=docProps/custom.xml><?xml version="1.0" encoding="utf-8"?>
<Properties xmlns="http://schemas.openxmlformats.org/officeDocument/2006/custom-properties" xmlns:vt="http://schemas.openxmlformats.org/officeDocument/2006/docPropsVTypes"/>
</file>