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400" w:line="320"/>
        <w:jc w:val="center"/>
      </w:pPr>
      <w:r>
        <w:rPr>
          <w:rFonts w:ascii="Traditional Arabic" w:cs="Traditional Arabic" w:eastAsia="Traditional Arabic" w:hAnsi="Traditional Arabic"/>
          <w:b/>
          <w:bCs/>
          <w:i w:val="false"/>
          <w:iCs w:val="false"/>
          <w:sz w:val="26"/>
          <w:szCs w:val="26"/>
          <w:rtl/>
        </w:rPr>
        <w:t xml:space="preserve">بسم الله الرحمن الرحيم</w:t>
      </w:r>
    </w:p>
    <w:p>
      <w:pPr>
        <w:bidi/>
        <w:spacing w:after="200"/>
        <w:jc w:val="center"/>
      </w:pPr>
      <w:r>
        <w:rPr>
          <w:rFonts w:ascii="Traditional Arabic" w:cs="Traditional Arabic" w:eastAsia="Traditional Arabic" w:hAnsi="Traditional Arabic"/>
          <w:b/>
          <w:bCs/>
          <w:i w:val="false"/>
          <w:iCs w:val="false"/>
          <w:color w:val="1F3864"/>
          <w:sz w:val="36"/>
          <w:szCs w:val="36"/>
          <w:rtl/>
        </w:rPr>
        <w:t xml:space="preserve">مقارنة إبستمولوجية وعلاجية بين علم النفس القرآني والتحليل النفسي الفرويدي</w:t>
      </w:r>
    </w:p>
    <w:p>
      <w:pPr>
        <w:bidi/>
        <w:spacing w:after="500"/>
        <w:jc w:val="center"/>
      </w:pPr>
      <w:r>
        <w:rPr>
          <w:rFonts w:ascii="Traditional Arabic" w:cs="Traditional Arabic" w:eastAsia="Traditional Arabic" w:hAnsi="Traditional Arabic"/>
          <w:b w:val="false"/>
          <w:bCs w:val="false"/>
          <w:i/>
          <w:iCs/>
          <w:color w:val="444444"/>
          <w:sz w:val="26"/>
          <w:szCs w:val="26"/>
          <w:rtl/>
        </w:rPr>
        <w:t xml:space="preserve">دراسة في البنى النفسية والغايات العلاجية</w:t>
      </w: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ملخص البحث</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تسعى هذه الدراسة إلى تقديم مقارنة إبستمولوجية وعلاجية منهجية بين نموذجَين مؤثّرَين في تاريخ الفهم النفسي للإنسان: علم النفس القرآني الاستخلافي القائم على مفهوم الخلافة والنفس المطمئنة ونموذج TLRT، ومدرسة التحليل النفسي الفرويدية بما تحمله من رؤية تشريحية للنفس البشرية. وتنطلق الدراسة من فرضية أن النموذجين يتقاطعان في دقة التشخيص النفسي ويفترقان جوهريًا في المرجعية الإبستمولوجية والغاية العلاجية.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يُولي هذا البحث عنايةً خاصة بمحاور أربعة: أولها المقارنة المعمّقة في البنى النفسية (الهو والأنا والأنا الأعلى مقابل الأمارة واللوامة والمطمئنة)، وثانيها النقد الإبستمولوجي والفلسفي للمنطلقات التي يقوم عليها كلٌّ من النموذجين، وثالثها آليات التحويل العلاجي من التسامي الفرويدي إلى الكينتسوغي النفسي القرآني، ورابعها الغاية العلاجية القصوى التي يرنو إليها كل نموذج. وتخلص الدراسة إلى أن فرويد يُقدّم «تشريحًا عبقريًا» لجراح النفس البشرية، بينما يُقدّم علم النفس القرآني «جراحةً تحويلية» تستثمر البصائر الفرويدية لكنها تُخضعها لعقلانية الوحي.</w:t>
      </w:r>
    </w:p>
    <w:p>
      <w:pPr>
        <w:bidi/>
        <w:spacing w:after="300" w:line="320"/>
        <w:jc w:val="right"/>
      </w:pPr>
      <w:r>
        <w:rPr>
          <w:rFonts w:ascii="Traditional Arabic" w:cs="Traditional Arabic" w:eastAsia="Traditional Arabic" w:hAnsi="Traditional Arabic"/>
          <w:b w:val="false"/>
          <w:bCs w:val="false"/>
          <w:i/>
          <w:iCs/>
          <w:sz w:val="22"/>
          <w:szCs w:val="22"/>
          <w:rtl/>
        </w:rPr>
        <w:t xml:space="preserve">الكلمات المفتاحية: علم النفس القرآني، التحليل النفسي الفرويدي، الإبستمولوجيا، النفس الأمارة، النفس المطمئنة، الاستخلاف، اللاوعي، الفطرة، الفلاح، الكينتسوغي النفسي.</w:t>
      </w: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أولاً: المقدمة والإطار النظري</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1.1 إشكالية البحث ومبرراته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لم يشهد تاريخ الفكر الإنساني نقلةً بنيوية أكثر إثارةً للجدل من تلك التي أحدثها سيغموند فرويد (1856-1939) حين نزع القداسة عن الوعي الإنساني وأعاد تعريف الإنسان باعتباره كائنًا مسكونًا بلاشعوره لا سيّدًا عليه. فمنذ صدور «تفسير الأحلام» عام 1900، والفكر الغربي وكثير من المشتغلين بالعلوم النفسية في العالم العربي والإسلامي ينطلقون من الإطار الفرويدي كمرجعية شبه حتمية لفهم النفس الإنسانية وتشخيص أمراضها. غير أن هذه النقلة، على إبداعيتها، لم تكن محايدة فلسفيًا؛ إذ انطوت على مسلّمات مادية اختزالية طعنت في الدين والروح والحرية.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في الجهة الأخرى، يُؤسّس علم النفس القرآني الاستخلافي منظومةً نفسية مكتملة المعالم لا تقتصر على رصد الجرح بل تمتلك خارطة طريق للشفاء والنهوض. ومن ثَمّ تنبثق إشكالية البحث من سؤال جوهري: هل يمكن أن نُقيم حوارًا نقديًا بين النموذجَين بعيدًا عن التقليد الأعمى والرفض المبدئي؟ وما الأُطر الإبستمولوجية التي تُحكم الفارقَ بين الرؤيتَين في تناول البنى النفسية وغايات العلاج؟</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1.2 أهداف البحث</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تحليل البنى النفسية في كلا النموذجين تحليلًا وظيفيًا ومقارنًا معمّقًا.</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تقديم نقد إبستمولوجي وفلسفي شامل للمنطلقات الفرويدية في ضوء المرجعية القرآنية.</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بيان أوجه التقاطع والاختلاف الجوهري في مفاهيم الضمير والذنب والتحويل والغاية.</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رصد آثار الاختزالية الفرويدية على قراءة الذات المسلمة وتقديم بديل منهجي.</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استقصاء آليات التحويل العلاجي مقارنةً بين التسامي الفرويدي والكينتسوغي النفسي القرآني.</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تحديد معايير الصحة النفسية القصوى في كل نموذج ومقارنتها نقديًا.</w:t>
      </w:r>
    </w:p>
    <w:p>
      <w:pPr>
        <w:spacing w:after="120"/>
      </w:pP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1.3 المنهج المتّبع</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تعتمد الدراسة المنهجَ المقارن التحليلي النقدي الذي يمزج بين: (أ) التحليل النصّي للمصادر الأولية الفرويدية والنص القرآني وأطروحات علم النفس الاستخلافي. (ب) المقارنة المفهومية الوظيفية بين البنى النفسية في كلا النموذجين. (ج) النقد الإبستمولوجي للمسلّمات والمنطلقات الكامنة وراء كل نموذج. ولا تدّعي الدراسة إمكانية الجمع التوليفي بين النموذجَين، بل تسعى إلى تقديم حوار نقدي بنّاء يُسهم في تطوير علم نفس إسلامي تكاملي.</w:t>
      </w: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ثانيًا: بنية النفس — مقارنة معمّقة في الأنطولوجيا النفسية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يُمثّل هذا المحور العمودَ الفقري للمقارنة بين النموذجَين؛ إذ إن الاختلافَ في رسم خارطة النفس هو الذي يُحدّد في نهاية المطاف اختلافَ التشخيص ومسار العلاج وغايته. وسنعرض كلّ نموذج بمستوياته المتعددة ثم نُقيم بينهما مقارنة وظيفية ونقدية.</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2.1 النموذج الفرويدي: من الطبوغرافيا إلى البنية</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أ) النموذج الطبوغرافي الأول (1900-1923)</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أطلق فرويد في «تفسير الأحلام» (1900) نموذجه الطبوغرافي الأول الذي يُقسّم النفس إلى ثلاث مناطق متراتبة لا متساوية في إمكانية الوصول إليها:</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الواعي (Conscious): ما يقع في دائرة الانتباه الآني، وهو ضيّق جدًا مقارنةً بما يكمن أسفله.</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ما قبل الواعي (Preconscious): مخزن المعلومات والذكريات القابلة للاستحضار الإرادي، تقع بين الواعي واللاواعي.</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اللاواعي (Unconscious): الطبقة العميقة التي تأوي المحتويات المكبوتة: الرغبات المحرّمة، والذكريات الصادمة، والدوافع البدائية. هذه الطبقة لا تخضع لقوانين المنطق أو الزمن أو التناقض، وتتجلّى بصورة مقنّعة في الأحلام وزلاّت اللسان والأعراض العصابية.</w:t>
      </w:r>
    </w:p>
    <w:p>
      <w:pPr>
        <w:spacing w:after="120"/>
      </w:pP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وقد بنى فرويد كامل تقنياته العلاجية الأولى (التنويم، التداعي الحر، تفسير الأحلام) على هذا النموذج الطبوغرافي، مفترضًا أن الشفاء يكمن في إضاءة اللاواعي وتحويل محتوياته إلى وعي صريح.</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ب) النموذج البنيوي الثاني — الجهاز النفسي الثلاثي (1923)</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غير أن فرويد أدرك محدودية النموذج الطبوغرافي؛ إذ لاحظ أن آليات الدفاع ذاتها تعمل بصورة لاواعية، أي أن الكبت غير واعٍ بنفسه. فطوّر في «الأنا والهو» (1923) نموذجًا بنيويًا مغايرًا يُقسّم النفس وظيفيًا لا طبوغرافيًا.</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الهو (Id): المستودع البدائي للطاقة الغريزية (الليبيدو). يعمل وفق مبدأ اللذة (Pleasure Principle): الإشباع الفوري دون اعتبار للواقع أو الأخلاق أو العواقب. يصفه فرويد بأنه الجانب المظلم الغامض من الشخصية، أشبه بمرجل يغلي بالإثارات. لا يعرف الهو الزمن ولا التناقض ولا الأخلاق، وكل محتوياته تتوق للتعبير.</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الأنا (Ego): الوسيط العقلاني الذي نشأ من الهو بتأثير الواقع الخارجي. يعمل وفق مبدأ الواقع (Reality Principle): تأجيل الإشباع أو تعديله بما يتّسق مع ممكنات الواقع. يلجأ الأنا إلى جملة من آليات الدفاع لإدارة الضغط: الكبت، والإسقاط، والتسامي، والعقلنة، والإنكار. وفي تعبيره الأشهر يُشبّه فرويد الأنا بالفارس الذي يحاول توجيه قوة الحصان (الهو) بينما يعتمد في واقع الأمر على قوة الحصان ذاتها للحركة.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الأنا الأعلى (Superego): البنية الأخلاقية التي تُشكّلت عبر استدماج قيم الوالدَين والمجتمع. هو وريث عقدة أوديب وما تنطوي عليه من رغبات مكبوتة. يؤدّي وظيفتَي المراقبة الأخلاقية والمُثُل العليا. وحين يكون الأنا الأعلى قاسيًا — وهو يكون كذلك في الشخصيات الوسواسية والاكتئابية — يُولّد شعورًا لاواعيًا بالذنب يُعذّب الأنا ويشلّ فاعليته.</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الأنا لا تحكم في بيتها الخاص، بل هي مضطرّة للتكيّف مع الهو والأنا الأعلى والواقع في آنٍ واحد، فكيف لا يُهزّ توازنها؟</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فرويد، المحاضرات التمهيدية الجديدة في التحليل النفسي</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ج) ميكانيزمات الدفاع — آليات الأنا في مواجهة الضغط</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تُعدّ آليات الدفاع من أغنى مفاهيم التحليل النفسي إكلينيكيًا، وأوفرها توظيفًا في الممارسة العلاجية المعاصرة. وقد طوّرتها آنا فرويد لاحقًا في كتابها «الأنا وآليات الدفاع» (1936). وأبرزها:</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آلية الدفاع</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التعريف الوظيفي</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المثال السلوكي</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الكبت (Repression)</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إقصاء محتوى مؤلم من الوعي إلى اللاواعي</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نسيان حادثة صادمة كليًا</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الإسقاط (Projection)</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نسب دوافع الذات غير المقبولة إلى الآخر</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«هو يكرهني» بدل «أنا أكرهه»</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التسامي (Sublimation)</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تحويل الطاقة الغريزية إلى نشاط اجتماعي راقٍ</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الفنان يُعبّر عن صراعاته عبر الرسم</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الإنكار (Denial)</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رفض قبول الواقع المؤلم</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مريض يُنكر تشخيصًا مرضيًا</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التراجع (Regression)</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العودة لسلوكيات مرحلة نمائية سابقة تحت الضغط</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بكاء البالغ كالطفل عند الأزمات</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التكوين العكسي (Reaction Formation)</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التعبير بنقيض الدافع الحقيقي</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إخفاء الكراهية خلف مبالغة في المودة</w:t>
            </w:r>
          </w:p>
        </w:tc>
      </w:tr>
    </w:tbl>
    <w:p>
      <w:pPr>
        <w:spacing w:after="240"/>
      </w:pP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د) إشكاليات النموذج الفرويدي — قراءة نقدية داخلية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لا تخلو النظرية الفرويدية من إشكاليات منهجية وتجريبية حتى داخل دائرة علم النفس الغربي ذاته:</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إشكالية الحتمية البيولوجية: يُرجع فرويد الصراع النفسي في جوهره إلى صراعٍ بين الغرائز البيولوجية (Eros وThanatos) والحضارة، مما يُضيّق مساحة الحرية والاختيار الإنساني تضييقًا مثيرًا للجدل.</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إشكالية القابلية للاختبار (Falsifiability): انتقد كارل بوبر النظرية الفرويدية بأنها لا تستوفي معيار القابلية للدحض العلمي؛ فكل سلوك يمكن تفسيره فرويديًا، مما يجعلها إطارًا مغلقًا لا يُمكن تكذيبه.</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إشكالية مركزية الجنسانية: اختُزلت الطاقة النفسية بصورة مُبالَغ فيها في الليبيدو الجنسي، وهو ما أدى لاحقًا إلى انشقاق أدلر ويونغ الذين رأوا في ذلك اختزالًا لا يُبرّره الواقع الإكلينيكي.</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إشكالية الذكورية المعرفية: انتقدت كثيرات من المحللات النفسيات (كـ كارين هورناي) أن نظرية فرويد بُنيت أساسًا على نموذج الذكر الغربي البورجوازي في القرن التاسع عشر، ولا يمكن تعميمها كونيًا.</w:t>
      </w:r>
    </w:p>
    <w:p>
      <w:pPr>
        <w:spacing w:after="120"/>
      </w:pP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2.2 النموذج القرآني: النفس في أطوار وجودية متصاعدة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لا يُقدّم القرآن الكريم نظرية نفسية تقنية بالمعنى الاصطلاحي الحديث، بل يُقدّم — عبر منظومة من الآيات والمفاهيم المترابطة — خارطةً وجودية للنفس الإنسانية أكثر شمولًا وأعمق تجذّرًا في حقيقة الإنسان من أي نموذج نفسي محدود الأفق. ويستثمر علم النفس القرآني الاستخلافي هذا الإرث القرآني ليبني منه نموذجًا علاجيًا متكاملًا.</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أ) النفس في القرآن الكريم — المفهوم والدلالة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يرد لفظ «النفس» في القرآن الكريم أكثر من مئتَي مرة، محتملًا دلالات متعددة تتراوح بين الذات الإنسانية الكاملة، والروح، والجوهر الوجودي للكائن. وقد ميّز علماء التفسير والتصوف وعلم النفس الإسلامي بين ثلاثة أطوار كبرى للنفس، وزاد النموذج الاستخلافي عليها بُعدًا رابعًا.</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ب) الطور الأول: النفس الأمّارة بالسوء</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وَمَا أُبَرِّئُ نَفْسِي إِنَّ النَّفْسَ لَأَمَّارَةٌ بِالسُّوءِ إِلَّا مَا رَحِمَ رَبِّي</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يوسف: 53</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والأمّارة صيغة مبالغة من «الأمر»، مما يُشير إلى قوة هيمنة هذا الطور وسطوته على الإنسان حين يغفل عن ربّه.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خصائصها الوظيفية: (1) الانجرار وراء الهوى والشهوات الفورية دون اعتبار لعواقب أو قيم. (2) الإذعان لوسوسة الشيطان حين تضعف الصلة بالله. (3) التسويف في الطاعات والاندفاع في المعاصي. (4) الغفلة عن البُعد الوجودي للاستخلاف.</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وجه المقارنة</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الهو الفرويدي</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النفس الأمّارة</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طبيعتها الأنطولوجية</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بنية نفسية مستقلة لا واعية، موجودة دائمًا</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طور عارض لنفس واحدة قد تتجاوزه بالمجاهدة</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مصدر طاقتها</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الليبيدو الغريزي (جنسي/عدواني)</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الهوى + الشيطان + الغفلة عن الله</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إمكانية التجاوز</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لا يُقهر كليًا، يُدار ويُهذَّب فقط</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قابلة للتحويل الكامل بالإيمان والمجاهدة</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علاقتها بالأخلاق</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لا أخلاق لها بطبيعتها</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تعرف الخير لكنها تختار الشر بالانجرار</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دور الإرادة</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مهمّشة أمام قوة الغريزة</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محورية — الإنسان مسؤول عن انتقاله بين الأطوار</w:t>
            </w:r>
          </w:p>
        </w:tc>
      </w:tr>
    </w:tbl>
    <w:p>
      <w:pPr>
        <w:spacing w:after="240"/>
      </w:pP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ج) الطور الثاني: النفس اللوّامة</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وَلَا أُقْسِمُ بِالنَّفْسِ اللَّوَّامَةِ</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القيامة: 2</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وأسلوب القسم القرآني بها دليل على مكانتها الرفيعة؛ إذ هي موطن الضمير الحيّ الذي لا يسكت، واللوّامة صيغة مبالغة من اللوم، مما يُشير إلى شدّة محاسبتها لنفسها.</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خصائصها الوظيفية: (1) الوعي الذاتي الدائم ومحاسبة النفس على التقصير. (2) الاضطراب الأخلاقي حين يقع الخطأ — وهذا الاضطراب دليل صحة لا علامة مرض. (3) البقاء في حالة صراع مستمر بين الدافع والضابط. (4) الاستجابة لصوت الفطرة والضمير.</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وجه المقارنة</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الأنا الأعلى الفرويدي</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النفس اللوّامة</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مصدر الأخلاق</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الاستدماج الاجتماعي — الوالدان والمجتمع</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الفطرة الإلهية + الوحي + الاختيار الواعي</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طبيعة الصوت</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سادي في حالاته القاسية، يُقنّط ويُعاقب</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رحيم في جوهره، يُلوم للإصلاح لا للتحطيم</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علاقته بالدين</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صدى للسلطة الوالدية مُضخَّمة</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مُلهَم من الوحي ومن أسماء الله الحسنى</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الهدف من المحاسبة</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الامتثال للمعيار الاجتماعي</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الارتقاء إلى المطمئنة وصلاح الذات والمجتمع</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موقعه من الشفاء</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مصدر عصاب إذا أفرط</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بوّابة التوبة والنهوض إذا أُحسن توظيفه</w:t>
            </w:r>
          </w:p>
        </w:tc>
      </w:tr>
    </w:tbl>
    <w:p>
      <w:pPr>
        <w:spacing w:after="240"/>
      </w:pP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د) الطور الثالث: النفس المطمئنة — الغاية التي يُقصّر عنها فرويد</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يَا أَيَّتُهَا النَّفْسُ الْمُطْمَئِنَّةُ ارْجِعِي إِلَى رَبِّكِ رَاضِيَةً مَّرْضِيَّةً فَادْخُلِي فِي عِبَادِي وَادْخُلِي جَنَّتِي</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الفجر: 27-30</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وهي نفس بلغت الاستقرار الوجودي العميق الذي لا يعتمد على ظروف خارجية بل على يقين داخلي بالله.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خصائصها الوظيفية: (1) السكينة الداخلية التي لا تُزعزعها تقلّبات الدنيا. (2) الرضا بقضاء الله مع استمرار الفاعلية والمسؤولية. (3) الانتماء الوجودي الحقيقي. (4) الحرية من وطأة الهوى دون إلغاء للطاقة الإنسانية.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لا مثيل لهذا الطور في الإطار الفرويدي. أقصى ما يطمح إليه التحليل النفسي الكلاسيكي هو تخفيف البؤس العصابي إلى بؤس اعتيادي، وجعل الإنسان قادرًا على العمل والحب — وهو هدف إنساني محترم لكنه يبقى في الأفق الأفقي للعلاقات الدنيوية، فيما يفتح النموذج القرآني الأفقَ الرأسي للصلة بالله والمعنى الوجودي المطلق.</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هـ) البُعد الرابع: الاستخلاف — الهوية الكونية</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وَإِذْ قَالَ رَبُّكَ لِلْمَلَائِكَةِ إِنِّي جَاعِلٌ فِي الْأَرْضِ خَلِيفَةً</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البقرة: 30</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يُضيف النموذج الاستخلافي بُعدًا رابعًا يُغيب كليًا في الإطار الفرويدي. فالإنسان في هذا النموذج ليس مجرّد كائن يُعاني من صراعاته الداخلية بحثًا عن توازن، بل هو خليفة مسؤول في الأرض يحمل مهمة كونية. وهذه الهوية الاستخلافية تُغيّر جذريًا حسابات الصحة النفسية: فالإنسان الصحيح ليس من حقّق توازنه الداخلي فحسب، بل من استطاع أن يُترجم جراحه إلى إسهام في إعمار العالم.</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2.3 جدول مقارن شامل في البنى النفسية</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المعيار</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النموذج الفرويدي</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النموذج القرآني الاستخلافي</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طبيعة النفس</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بنى ثابتة متصارعة لا يمكن إلغاؤها</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أطوار متصاعدة قابلة للانتقال بالإرادة</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طاقة الصراع</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الليبيدو الغريزي</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الفطرة + الهوى + الشيطان + الاستخلاف</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دور اللاوعي</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محوري، مُهيمن، قاهر</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موجود (القلب، الفطرة) لكن غير مطلق</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موقع الأخلاق</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استدماج اجتماعي مُقنَّع باسم الضمير</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فطرة إلهية أصيلة تتضح بالوحي والمجاهدة</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دور الإرادة</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محدود — الإنسان رهينة لاشعوره</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محوري — الإنسان مسؤول ومختار</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الوعي بالذات</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يكشفه التحليل تدريجيًا</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حاضر بالفطرة ويتعمّق بالذكر والمراقبة</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مصدر الشفاء</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البصيرة والتحليل وحدهما</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البصيرة + التوبة + الصلة بالله + الجسر السلوكي</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غاية التطور</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الأنا القوي المتوازن</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النفس المطمئنة الخليفة الفاعل</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أفق المعنى</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أفقي إنساني اجتماعي</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رأسي إلهي كوني + أفقي إنساني</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علاج الذنب</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تخفيف صرامة الأنا الأعلى وإدراك جذور الذنب</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توبة + إصلاح + يقين بالمغفرة الإلهية</w:t>
            </w:r>
          </w:p>
        </w:tc>
      </w:tr>
    </w:tbl>
    <w:p>
      <w:pPr>
        <w:spacing w:after="240"/>
      </w:pP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ثالثًا: النقد الإبستمولوجي والفلسفي — في أُسس المعرفة النفسية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يُعدّ النقد الإبستمولوجي الركيزةَ المنهجية الأعمق في هذه الدراسة؛ إذ إن الخلاف بين النموذجَين لا يقتصر على النتائج الإكلينيكية أو الأدوات العلاجية، بل يمتدّ إلى جذور المعرفة ذاتها: كيف نعرف؟ وبأيّة أدوات؟ ومن أين تنبع سلطة الحقيقة؟</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3.1 الإطار الإبستمولوجي للتحليل النفسي الفرويدي</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أ) المادية الطبيعانية (Naturalistic Materialism)</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يقوم فرويد على خلفية فلسفية طبيعانية مادية بامتياز؛ فهو ابن مشروع التنوير الأوروبي الذي آمن بأن المنهج التجريبي وحده هو سبيل المعرفة الحقيقية. انعكس ذلك على نظريته بأن أرجع كل ظاهرة نفسية إلى أساس بيولوجي-جسدي: الطاقة الليبيدية، ودوائر الإثارة والتفريغ العصبية، والمراحل النمائية البيولوجية. فلا مكان في هذا الإطار لروح مستقلة أو وحي أو معنى متعالٍ يتجاوز الجسد وتاريخه.</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ب) الوضعانية العلمية (Scientific Positivism)</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يُؤمن فرويد بأن العلم النفسي ينبغي أن يسير نحو النموذج الطبيعي التجريبي، وأن الظواهر النفسية قابلة للتفسير الحتمي الكامل. ويرى أن الإنسان سيصل يومًا إلى تفسير علمي-فيزيائي كامل للحياة النفسية، وأن الدين والميتافيزيقا مجرّد مرحلة عبور في تاريخ الوعي الإنساني نحو النضج العقلاني.</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العلم ليس وهمًا، لكن الوهم هو الظن بأن بمقدورنا الحصول على ما يُعجز العلم عن منحنا من مصدر آخر.</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فرويد، مستقبل وهم</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ج) الحتمية النفسية (Psychic Determinism)</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مبدأ فرويدي صريح: لا يوجد في الحياة النفسية شيء عشوائي أو اعتباطي؛ كل فعل وكل حلم وكل زلّة لسان تنطوي على سببية محدّدة تمتدّ جذورها في التاريخ النفسي للفرد. هذا المبدأ يمنح التحليل النفسي قوّةً تفسيرية هائلة، لكنه في المقابل يُضيّق تقريبًا إلى الصفر مساحةَ الحرية الإنسانية الحقيقية، جاعلًا الإنسان مبرمجًا بتاريخه اللاواعي لا حرًا في اختياراته.</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3.2 الإطار الإبستمولوجي للنموذج القرآني الاستخلافي</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أ) الوحي مصدرًا للمعرفة الأول</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يُؤسّس النموذج القرآني منظومته المعرفية على أن الوحي — القرآن الكريم والسنة النبوية — هو المصدر الأوّل للمعرفة بحقيقة الإنسان، لا لأنه مجرّد تقليد ديني بل لأن الخالق هو أعلم بمخلوقه.</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أَلَا يَعْلَمُ مَنْ خَلَقَ وَهُوَ اللَّطِيفُ الْخَبِيرُ</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الملك: 14</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وهذه المعرفة الإلهية لا تتعارض مع العلم التجريبي، بل تُوجّهه وتُضع له إطارًا قيميًا وغائيًا.</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ب) الفطرة كملكة معرفية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يُضيف النموذج القرآني مصدرًا معرفيًا نفسيًا داخليًا لا يُعترف به عند فرويد: الفطرة.</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فِطْرَتَ اللَّهِ الَّتِي فَطَرَ النَّاسَ عَلَيْهَا</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الروم: 30</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الفطرة في هذا النموذج ليست مجرّد غريزة بيولوجية (كالليبيدو الفرويدي)، بل هي توجّه وجودي أصيل نحو الحق والخير والجمال، وهي التي تُفسّر كون الإنسان في أعمق لحظاته أزمة يلجأ إلى الله حتى لو كان غير مؤمن.</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فَإِذَا رَكِبُوا فِي الْفُلْكِ دَعَوُا اللَّهَ مُخْلِصِينَ لَهُ الدِّينَ</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العنكبوت: 65</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ج) العقل والتجربة في خدمة الوحي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لا يرفض النموذج الاستخلافي العقل أو التجربة، بل يُوظّفهما في إطار الوحي لا بديلًا عنه. ومن ثَمّ فإن الملاحظات الإكلينيكية الفرويدية — كثيرٌ منها دقيق ومفيد — يمكن استثمارها في الإطار القرآني بعد فلترتها من المسلّمات الفلسفية الاختزالية.</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3.3 نقاط الخلاف الإبستمولوجي الجوهرية</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أ) إشكالية معرفة الإنسان بذاته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يرى فرويد أن الإنسان لا يعرف ذاته حقًا؛ فالجزء الأعظم من دوافعه مكبوت في اللاواعي، وما يعتقد أنه دوافع واعية ليست إلا عقلنة لدوافع لاواعية حقيقية. وهذا ما دفعه لوصف الوعي بأنه قمة جبل الجليد.</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في المقابل، يُؤكّد النموذج القرآني أن الإنسان مُزوَّد بملكة معرفية داخلية (الفطرة والعقل والضمير) تُمكّنه من الوصول إلى حقائق نفسية جوهرية دون الحاجة إلى محلّل نفسي متخصّص. ولا ينفي ذلك وجود طبقات لاواعية في النفس، بل يُؤكّد أن الإنسان ليس أسيرها كليًا.</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ب) إشكالية الحرية والمسؤولية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تُمثّل هذه الإشكالية أحدّ نقاط الخلاف الفلسفي بين النموذجَين. فالحتمية النفسية الفرويدية تقود منطقيًا إلى إضعاف مفهوم المسؤولية الأخلاقية: فالمجرم مجرم بسبب صدماته الطفولية، والمريض النفسي مريض بسبب ديناميكياته اللاواعية. وعلى المستوى العلاجي قد يكون هذا مفيدًا (إزالة الإدانة الزائدة)، لكن على المستوى الوجودي يُسقط مفهوم الاختيار الأخلاقي الحر.</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أما النموذج القرآني فيُقيم توازنًا دقيقًا: يُقرّ بتأثير الماضي والبيئة والشيطان على السلوك، لكنه لا يُسقط مسؤولية الإنسان الأخلاقية ما دام يعقل ويختار.</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لَا يُكَلِّفُ اللَّهُ نَفْسًا إِلَّا وُسْعَهَا</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البقرة: 286</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وهذا التوازن هو ما يمنح العلاج القرآني قوّتَه: إذ يُعالج الجروح دون أن يُعفي الإنسان من مسؤولية نهوضه.</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ج) إشكالية الغاية والمعنى</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يُقدّم فرويد نظامًا نفسيًا محايدًا من الناحية القيمية: ليس للحياة معنى مبدئيًا، والإنسان يصنع معناه الخاص إن استطاع. وقد قاد هذا الفراغ القيمي بعض المحللين النفسيين — وأبرزهم فيكتور فرانكل — إلى الثورة على الإطار الفرويدي ببناء نماذج تضع المعنى في قلب العلاج (علم نفس المعنى أو Logotherapy)، منطلقًا من تجربته الشخصية في معسكرات الاعتقال النازية التي أكّدت له أن الإنسان يستطيع تحمّل أقسى الظروف إذا امتلك معنى يعيش من أجله.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أما النموذج القرآني فيُقدّم إجابة وجودية جذرية سابقة على أي بحث إنساني عن المعنى.</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وَمَا خَلَقْتُ الْجِنَّ وَالْإِنسَ إِلَّا لِيَعْبُدُونِ</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سورة الذاريات: 56</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فعبادة الله بمفهومها الشامل هي المعنى الكامل الذي يملأ الفراغ الوجودي الذي يكتشفه فرويد لكنه لا يستطيع ملأه، والذي حاول فرانكل الاقتراب منه من بوابة إنسانية محضة دون سند وحياني.</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3.4 نقد الاختزالية الفرويدية في قراءة الذات المسلمة</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أ) فخّ الاستشراق الذاتي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يُنبّه المفكّر التونسي فتحي بن سلامة إلى ظاهرة «الاستشراق الذاتي» التي تقع فيها كثير من الدراسات النفسية العربية حين تُطبّق الأُطر الفرويدية على الذات المسلمة دون نقد أو تكييف، فتُعيد إنتاج نظرة استشراقية تختزل الإنسان المسلم في صراعاته الأوديبية والجنسية، مُغفلةً الأبعاد الروحية والتاريخية والسياسية التي تُشكّل هويّته الأعمق.</w:t>
      </w: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ب) ما لا يستطيع فرويد قراءته في الذات المسلمة</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تجربة التوبة: تجربة التوبة الحقيقية في الإسلام لا تُقرأ فرويديًا إلا كنكوص أو كآلية دفاع، بينما هي في الحقيقة تحويل وجودي جذري يُغيّر بنية العلاقة مع الذات ومع الله.</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تجربة الذكر والخشوع: الحضور الروحي في الصلاة والذكر لا يُختزَل في كونه إعادة تنشيط للعلاقة مع الأب الأوّل (كما يرى فرويد في تفسيره للدين)، بل هو ملاقاة حقيقية للمتعالي تُنتج سكينةً لا يُفسّرها الإطار الفرويدي.</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البُعد الجمعي للهوية: الهوية الإسلامية هوية أمّة لا فرد فحسب، والمسلم يحمل في هويّته انتماءً لأكثر من مليار إنسان عبر الزمان والمكان — وهو بُعد يُغيّر كليًا حسابات العزلة والانتماء التي يُعالجها فرويد على مستوى الأسرة النووية.</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اليقين بالآخرة: اليقين بالحياة الأخرى يُغيّر جذريًا معادلات الألم والصبر والتحمّل، فالمسلم الذي يصبر على المصيبة لا يُمارس كبتًا فرويديًا، بل يعيش معادلةً وجودية مختلفة يرى فيها الأفق أوسع من الحياة الدنيا.</w:t>
      </w:r>
    </w:p>
    <w:p>
      <w:pPr>
        <w:spacing w:after="120"/>
      </w:pPr>
    </w:p>
    <w:p>
      <w:pPr>
        <w:pStyle w:val="Heading3"/>
        <w:bidi/>
        <w:spacing w:after="120" w:before="220"/>
        <w:jc w:val="right"/>
      </w:pPr>
      <w:r>
        <w:rPr>
          <w:rFonts w:ascii="Traditional Arabic" w:cs="Traditional Arabic" w:eastAsia="Traditional Arabic" w:hAnsi="Traditional Arabic"/>
          <w:b/>
          <w:bCs/>
          <w:i w:val="false"/>
          <w:iCs w:val="false"/>
          <w:color w:val="3D5A80"/>
          <w:sz w:val="24"/>
          <w:szCs w:val="24"/>
          <w:rtl/>
        </w:rPr>
        <w:t xml:space="preserve">ج) نحو علم نفس إسلامي تكاملي — لا توفيقي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تدعو هذه الدراسة إلى تمييز ضروري بين نوعَين من التوظيف للإرث الفرويدي في السياق الإسلامي: التوظيف التوفيقي الساذج (الدمج العشوائي بين النموذجَين)، والتوظيف التكاملي النقدي (استثمار ما هو إكلينيكي مثبت تجريبيًا مع رفض المسلّمات الفلسفية الاختزالية). وهذا الأخير هو الطريق المنهجي الصحيح لبناء علم نفس إسلامي أصيل قادر على الحوار مع الحداثة دون الذوبان فيها.</w:t>
      </w: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رابعًا: مفهوم الذنب والضمير — بين السادية والرحمة</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4.1 الأنا الأعلى الفرويدي: الضمير كقاضٍ سادي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يُمثّل الأنا الأعلى في النظرية الفرويدية مصدرًا مزدوجًا: فهو ضروري للحياة الاجتماعية، لكنه يُصبح في حالاته المُفرطة مُدمِّرًا للأنا. يرى فرويد أن صرامة الأنا الأعلى لا تتناسب بالضرورة مع صرامة الوالدَين الفعلية، بل تستمدّ جزءًا كبيرًا من قسوتها من الطاقة العدوانية للهو ذاته. والنتيجة: شعور لاواعٍ بالذنب قد يُعبّر عن نفسه باكتئاب مزمن أو سلوك عقابي ذاتي أو دوام الإخفاق.</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كلما كان المرء فاضلًا أكثر، كلما تشدّد أناه الأعلى وزاد مطالبه.</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فرويد، الحضارة وأسقامها</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4.2 الضمير الإيماني: محاسبة تدعو للنهوض لا للتحطيم</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يُميّز علم النفس القرآني بين «الصوت المشوَّه» المُستدمَج من مربٍّ قاسٍ (يُقابل الأنا الأعلى السادي) وبين «الضمير الإيماني الرحيم» المستمدّ من أسماء الله كالتوّاب والرحيم والغفّار. التوبة في هذا النموذج ليست تفريغًا كاثارسيًا كما في النموذج الأرسطي-الفرويدي، بل إعادة بناء للعلاقة مع الله والذات معًا. وهذا التحوّل من سادية الأنا الأعلى إلى رحمة الضمير الإيماني هو أحد أبرز الإسهامات التجديدية للنموذج القرآني.</w:t>
      </w: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خامسًا: آليات التحويل العلاجي — من التسامي إلى الكينتسوغي النفسي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إذا كان المحور الثاني قد عالج بنية النفس، والمحور الثالث أُسسها المعرفية، فإن هذا المحور يتناول السؤال العلاجي الإجرائي الأكثر إلحاحًا: كيف تنتقل الطاقة النفسية من حالة الاضطراب إلى حالة الوظيفة السليمة؟ وهنا يفترق النموذجان في تصوّر آلية التحويل ذاتها، لا في مجرّد تسمية أطرافها.</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5.1 التسامي الفرويدي: تعريفه ووظيفته وحدوده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يُعدّ التسامي (Sublimation) الآلية الدفاعية الوحيدة التي وصفها فرويد بأنها «ناجحة» بالمعنى الكامل؛ إذ لا تكتفي بكبت الطاقة الغريزية أو تمويهها كسائر آليات الدفاع، بل تُعيد توجيهها كليًا نحو هدف اجتماعي وثقافي مقبول ورفيع، دون أن يشعر الفرد بالحرمان أو الكبت المرضي. ويرى فرويد أن الحضارة الإنسانية بأسرها — الفن والعلم والدين والأخلاق — هي حصيلة تسامٍ جمعي للطاقة الجنسية والعدوانية التي يستحيل إشباعها مباشرة ضمن قيود الاجتماع البشري، وهو ما فصّله في «الحضارة وأسقامها» (1930) حين وصف الثمن النفسي الباهظ الذي يدفعه الفرد لقاء الانتظام في سلك الحضارة.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غير أن التسامي، على قيمته العلاجية، يظلّ محكومًا بحدود جوهرية ثلاثة: أولها أنه لا يُغيّر طبيعة الدافع الأصلي بل يُعيد توجيه مساره فحسب، فيبقى الهو كامنًا بكامل طاقته الأولية. وثانيها أنه إجراء نفسي فردي معزول لا يرتبط بأفق وجودي متعالٍ يمنحه معنى ثابتًا. وثالثها أنه لا يُقدّم معيارًا لتمييز التسامي الصحي من التسامي الموهوم الذي قد يُخفي وراءه استمرارًا للاضطراب في ثوب اجتماعي مقبول.</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5.2 من التسامي إلى المجاهدة: إعادة تعريف التحويل في النموذج الاستخلافي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يستدعي النموذج الاستخلافي مفهوم «مجاهدة النفس» (الجهاد الأكبر) بديلًا جذريًا عن مفهوم التسامي، لا مرادفًا له. فبينما يكتفي التسامي بإعادة توجيه الطاقة الغريزية مع بقاء مصدرها كما هو، تسعى المجاهدة إلى تزكية المصدر ذاته عبر الاتصال بالله، أي تحويل نوعية الدافع لا وجهته فقط. والفارق هنا فارقٌ في العمق: فالتسامي يُنتج فنانًا يُفرّغ صراعه عبر لوحاته دون أن تُشفى جذور صراعه، بينما تسعى المجاهدة إلى شفاء الجذر نفسه بحيث يُصبح الفعل الصالح تعبيرًا عن استقرار داخلي لا تنفيسًا عن اضطراب مستمر.</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ويستند هذا التحويل إلى مرتكزين: الأول أن الطاقة النفسية في التصوّر القرآني ليست شرًّا في ذاتها يجب كبته أو تصعيده فحسب، بل هي أمانة يمكن توجيهها ابتداءً نحو الخير متى ما استقامت العلاقة بالله. والثاني أن غاية المجاهدة ليست التوافق الاجتماعي في ذاته، بل رضا الله، وهو أفق يمنح الفعل معنى ثابتًا لا يتبدّل بتبدّل الحكم الاجتماعي عليه.</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5.3 نموذج الكينتسوغي النفسي في بروتوكول TLRT</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يستعير النموذج العلاجي TLRT استعارة الكينتسوغي (Kintsugi) — الفن الياباني في ترميم الأواني الفخارية المكسورة بخيوط من الذهب، بحيث يُصبح موضع الكسر أكثر جمالًا وقيمة من الإناء السليم — ليصوغ منها آلية تحويل نفسي بديلة عن كل من الكبت والتسامي على السواء. ففي هذا النموذج لا يُراد إخفاء الجرح النفسي (كما في الكبت) ولا مجرّد إعادة توجيه طاقته (كما في التسامي)، بل دمجه في السردية الذاتية الجديدة للفرد بوصفه موضعًا أُفرغت فيه رحمة الله وحكمته، فيتحوّل مكان الكسر ذاته إلى مصدر نور لا إلى نقطة ضعف مستترة.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وتقوم هذه الآلية على ثلاث خطوات متتابعة: أولاها الاعتراف الكامل بالجرح دون إنكار أو تهوين، بخلاف الإنكار الفرويدي الذي يسعى لطمس الواقع المؤلم. وثانيتها إعادة التأطير عبر أسماء الله الحسنى — كالشافي والجبّار واللطيف — بحيث يُقرأ الجرح في ضوء حكمة إلهية لا في ضوء عبثية وجودية. وثالثتها الدمج السردي الذي يُعيد صياغة قصة الذات بحيث يُصبح موضع الكسر جزءًا من هوية الفرد الاستخلافية الجديدة، لا وصمة يُخفيها أو طاقة يُصعّدها بمعزل عن مصدرها.</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وجه المقارنة</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التسامي الفرويدي</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الكينتسوغي النفسي القرآني</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موقف الآلية من الجرح</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تحويل وجهة الطاقة دون معالجة الجذر</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دمج الجرح ذاته في هوية جديدة أكثر نورًا</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مصدر إعادة التأطير</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قيمة اجتماعية أو ثقافية بديلة</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أسماء الله الحسنى وحكمة القدر</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أثر الكسر النهائي</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يبقى مصدرًا كامنًا للتوتر يُدار باستمرار</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يتحوّل إلى مصدر قوة ومعنى مستقر</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معيار النجاح</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القبول الاجتماعي للنشاط البديل</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السكينة الداخلية والرضا وثبات الأثر</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الأفق الزمني للأثر</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قد ينتكس بزوال الحافز الاجتماعي</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ثابت لارتباطه بيقين لا يتبدّل</w:t>
            </w:r>
          </w:p>
        </w:tc>
      </w:tr>
    </w:tbl>
    <w:p>
      <w:pPr>
        <w:spacing w:after="240"/>
      </w:pP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سادسًا: الغاية العلاجية القصوى — الأنا القوي في مقابل النفس المطمئنة الخليفة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يبلغ الافتراق بين النموذجَين ذروته حين يُطرح السؤال الأخير: إلامَ يهدف العلاج في نهاية المطاف؟ فتحديد الغاية القصوى هو المعيار الذي تُقاس به كل تقنية علاجية وكل تفسير نظري سبق ذكره.</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6.1 الغاية الفرويدية: حيث كان الهو يجب أن تكون الأنا</w:t>
      </w:r>
    </w:p>
    <w:p>
      <w:pPr>
        <w:pBdr>
          <w:top w:val="single" w:color="1F3864" w:sz="4"/>
          <w:bottom w:val="single" w:color="1F3864" w:sz="4"/>
        </w:pBdr>
        <w:shd w:fill="F7F7F7" w:val="clear"/>
        <w:bidi/>
        <w:spacing w:after="60" w:before="120" w:line="320"/>
        <w:ind w:left="700" w:right="700"/>
        <w:jc w:val="center"/>
      </w:pPr>
      <w:r>
        <w:rPr>
          <w:rFonts w:ascii="Traditional Arabic" w:cs="Traditional Arabic" w:eastAsia="Traditional Arabic" w:hAnsi="Traditional Arabic"/>
          <w:b w:val="false"/>
          <w:bCs w:val="false"/>
          <w:i/>
          <w:iCs/>
          <w:color w:val="1F3864"/>
          <w:sz w:val="24"/>
          <w:szCs w:val="24"/>
          <w:rtl/>
        </w:rPr>
        <w:t xml:space="preserve">حيث كان الهو، ينبغي أن تكون الأنا.</w:t>
      </w:r>
    </w:p>
    <w:p>
      <w:pPr>
        <w:bidi/>
        <w:spacing w:after="240"/>
        <w:jc w:val="center"/>
      </w:pPr>
      <w:r>
        <w:rPr>
          <w:rFonts w:ascii="Traditional Arabic" w:cs="Traditional Arabic" w:eastAsia="Traditional Arabic" w:hAnsi="Traditional Arabic"/>
          <w:b w:val="false"/>
          <w:bCs w:val="false"/>
          <w:i/>
          <w:iCs/>
          <w:color w:val="555555"/>
          <w:sz w:val="20"/>
          <w:szCs w:val="20"/>
          <w:rtl/>
        </w:rPr>
        <w:t xml:space="preserve">— فرويد، المحاضرات التمهيدية الجديدة في التحليل النفسي (1933)</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تُلخّص هذه العبارة الشهيرة غاية التحليل النفسي الفرويدي: توسيع رقعة الوعي على حساب اللاواعي، وتقوية الأنا بحيث تُدير التوازن بين مطالب الهو وصرامة الأنا الأعلى وقيود الواقع إدارةً عقلانية ناضجة. وحين سُئل فرويد عن معيار الصحة النفسية أجاب بعبارته المأثورة إن الإنسان السويّ هو من يستطيع «أن يعمل وأن يحبّ» (Lieben und Arbeiten) — وهو معيار وظيفي متواضع الطموح مقارنةً بسعة المشروع النظري الذي بناه.</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وتظل هذه الغاية، على واقعيتها العلاجية، محكومةً بأفق أفقي محض: فالإنسان السويّ فرويديًا هو من تصالح مع محدوديته ووازن بين غرائزه وواقعه الاجتماعي، دون أن يُطرح سؤال عن غاية وجوده الكبرى أو مصيره الأخروي.</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6.2 الغاية الاستخلافية: من الأمارة إلى المطمئنة الخليفة الفاعلة</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لا يكتفي النموذج الاستخلافي بغاية التوازن الوظيفي، بل يرسم مسارًا تصاعديًا ثلاثي المراحل: الانتقال من هيمنة الأمارة إلى استقرار اللوامة المحاسِبة، ثم إلى سكينة المطمئنة الراضية المرضية. غير أن هذا المسار لا يكتمل عند حدّ السكينة الفردية، بل يمتدّ إلى تفعيل وظيفة الاستخلاف: أن يُترجم الفرد سكينته الداخلية إلى فاعلية في إعمار الأرض وخدمة الناس. فالصحة النفسية هنا ليست حالة داخلية مغلقة على الذات، بل طاقة تنبعث من الذات لتُصلح ما حولها.</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ومن هنا يتجاوز هذا النموذج معيار «العمل والحب» الفرويدي إلى معيار أشمل يمكن صياغته بأن الإنسان السويّ استخلافيًا هو من عمِل وأحبّ وعبَد واستخلَف، أي جمع بين الفاعلية الاجتماعية والاتزان النفسي والصلة الروحية والمسؤولية الحضارية في آنٍ واحد.</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6.3 جدول مقارن للمعايير النهائية للصحة النفسية</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المعيار</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الغاية الفرويدية</w:t>
            </w:r>
          </w:p>
        </w:tc>
        <w:tc>
          <w:tcPr>
            <w:tcW w:type="dxa" w:w="3000"/>
            <w:shd w:fill="1F3864" w:val="clear"/>
            <w:tcMar>
              <w:top w:type="dxa" w:w="100"/>
              <w:left w:type="dxa" w:w="120"/>
              <w:bottom w:type="dxa" w:w="100"/>
              <w:right w:type="dxa" w:w="120"/>
            </w:tcMar>
          </w:tcPr>
          <w:p>
            <w:pPr>
              <w:bidi/>
              <w:spacing w:after="0" w:line="320"/>
              <w:jc w:val="center"/>
            </w:pPr>
            <w:r>
              <w:rPr>
                <w:rFonts w:ascii="Traditional Arabic" w:cs="Traditional Arabic" w:eastAsia="Traditional Arabic" w:hAnsi="Traditional Arabic"/>
                <w:b/>
                <w:bCs/>
                <w:i w:val="false"/>
                <w:iCs w:val="false"/>
                <w:color w:val="FFFFFF"/>
                <w:sz w:val="22"/>
                <w:szCs w:val="22"/>
                <w:rtl/>
              </w:rPr>
              <w:t xml:space="preserve">الغاية الاستخلافية</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الصياغة المرجعية</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«حيث كان الهو يجب أن تكون الأنا»</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«فادخلي في عبادي وادخلي جنّتي»</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مضمون الشفاء</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توسيع الوعي وتقوية الأنا الوظيفية</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الانتقال من الأمارة إلى المطمئنة</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المعيار العملي</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القدرة على العمل والحب</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العمل + الحب + العبادة + الاستخلاف</w:t>
            </w:r>
          </w:p>
        </w:tc>
      </w:tr>
      <w:tr>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أفق الغاية</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توازن نفسي داخل الحياة الدنيا</w:t>
            </w:r>
          </w:p>
        </w:tc>
        <w:tc>
          <w:tcPr>
            <w:tcW w:type="dxa" w:w="3000"/>
            <w:shd w:fill="FFFFFF"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سكينة دنيوية ممتدة إلى رضا أخروي</w:t>
            </w:r>
          </w:p>
        </w:tc>
      </w:tr>
      <w:tr>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دور الفرد بعد الشفاء</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فرد متكيّف اجتماعيًا</w:t>
            </w:r>
          </w:p>
        </w:tc>
        <w:tc>
          <w:tcPr>
            <w:tcW w:type="dxa" w:w="3000"/>
            <w:shd w:fill="F2F2F2" w:val="clear"/>
            <w:tcMar>
              <w:top w:type="dxa" w:w="100"/>
              <w:left w:type="dxa" w:w="120"/>
              <w:bottom w:type="dxa" w:w="100"/>
              <w:right w:type="dxa" w:w="120"/>
            </w:tcMar>
          </w:tcPr>
          <w:p>
            <w:pPr>
              <w:bidi/>
              <w:spacing w:after="0" w:line="320"/>
              <w:jc w:val="right"/>
            </w:pPr>
            <w:r>
              <w:rPr>
                <w:rFonts w:ascii="Traditional Arabic" w:cs="Traditional Arabic" w:eastAsia="Traditional Arabic" w:hAnsi="Traditional Arabic"/>
                <w:b w:val="false"/>
                <w:bCs w:val="false"/>
                <w:i w:val="false"/>
                <w:iCs w:val="false"/>
                <w:sz w:val="20"/>
                <w:szCs w:val="20"/>
                <w:rtl/>
              </w:rPr>
              <w:t xml:space="preserve">خليفة فاعل مسؤول عن إعمار الأرض</w:t>
            </w:r>
          </w:p>
        </w:tc>
      </w:tr>
    </w:tbl>
    <w:p>
      <w:pPr>
        <w:spacing w:after="240"/>
      </w:pP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سابعًا: خاتمة — التركيب النقدي النهائي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تخلص هذه الدراسة، بعد المقارنة المعمّقة في البنى النفسية والنقد الإبستمولوجي وآليات التحويل والغايات العلاجية القصوى، إلى أن العلاقة بين النموذجَين ليست علاقة رفض مطلق ولا علاقة توفيق ساذج، بل علاقة استثمار نقدي موجَّه. فقد وفّر فرويد أدواتٍ تشخيصية دقيقة لرصد آليات الدفاع وبنية الصراع الداخلي، لكن مشروعه ظلّ أسير مسلّماته المادية والحتمية، فقدّم — كما ورد في ملخص هذا البحث — «تشريحًا عبقريًا» لجراح النفس البشرية دون أن يملك مبضعًا يتجاوز التشريح إلى الشفاء الجذري.</w:t>
      </w:r>
    </w:p>
    <w:p>
      <w:pPr>
        <w:bidi/>
        <w:spacing w:after="200" w:line="320"/>
        <w:jc w:val="both"/>
      </w:pPr>
      <w:r>
        <w:rPr>
          <w:rFonts w:ascii="Traditional Arabic" w:cs="Traditional Arabic" w:eastAsia="Traditional Arabic" w:hAnsi="Traditional Arabic"/>
          <w:b w:val="false"/>
          <w:bCs w:val="false"/>
          <w:i w:val="false"/>
          <w:iCs w:val="false"/>
          <w:sz w:val="22"/>
          <w:szCs w:val="22"/>
          <w:rtl/>
        </w:rPr>
        <w:t xml:space="preserve">في المقابل، يستوعب علم النفس القرآني الاستخلافي هذه الدقة التشخيصية ويُخضعها لعقلانية الوحي، فيتحوّل التشريح إلى «جراحة تحويلية» تعترف بالجرح، وتُعيد تأطيره في ضوء أسماء الله الحسنى، وتدمجه في سردية استخلافية جديدة تصل الفرد بربّه وبمهمته الكونية. وبذلك يكون الفارق الجوهري بين النموذجَين فارقًا في الغاية لا في مجرّد الأداة: أحدهما يسعى إلى إدارة الصراع، والآخر يسعى إلى تجاوزه نحو أفق أرحب من المعنى والسكينة والفاعلية.</w:t>
      </w:r>
    </w:p>
    <w:p>
      <w:pPr>
        <w:pStyle w:val="Heading2"/>
        <w:bidi/>
        <w:spacing w:after="160" w:before="300"/>
        <w:jc w:val="right"/>
      </w:pPr>
      <w:r>
        <w:rPr>
          <w:rFonts w:ascii="Traditional Arabic" w:cs="Traditional Arabic" w:eastAsia="Traditional Arabic" w:hAnsi="Traditional Arabic"/>
          <w:b/>
          <w:bCs/>
          <w:i w:val="false"/>
          <w:iCs w:val="false"/>
          <w:color w:val="2E4E7E"/>
          <w:sz w:val="26"/>
          <w:szCs w:val="26"/>
          <w:rtl/>
        </w:rPr>
        <w:t xml:space="preserve">توصيات بحثية مستقبلية</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إجراء دراسات إكلينيكية تطبيقية تقيس أثر بروتوكول الكينتسوغي النفسي مقارنةً بتقنيات التسامي الكلاسيكية.</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توسيع المقارنة لتشمل مدارس ما بعد فرويدية (يونغ، أدلر، لاكان) في ضوء النموذج الاستخلافي.</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دراسة استقبال هذا النقد الإبستمولوجي في أدبيات علم النفس الإسلامي المعاصر ومدى تكامله مع نماذج أخرى كنموذج TIIP.</w:t>
      </w:r>
    </w:p>
    <w:p>
      <w:pPr>
        <w:pStyle w:val="ListParagraph"/>
        <w:numPr>
          <w:ilvl w:val="0"/>
          <w:numId w:val="2"/>
        </w:numPr>
        <w:bidi/>
        <w:spacing w:after="120" w:line="320"/>
        <w:jc w:val="both"/>
      </w:pPr>
      <w:r>
        <w:rPr>
          <w:rFonts w:ascii="Traditional Arabic" w:cs="Traditional Arabic" w:eastAsia="Traditional Arabic" w:hAnsi="Traditional Arabic"/>
          <w:b w:val="false"/>
          <w:bCs w:val="false"/>
          <w:i w:val="false"/>
          <w:iCs w:val="false"/>
          <w:sz w:val="22"/>
          <w:szCs w:val="22"/>
          <w:rtl/>
        </w:rPr>
        <w:t xml:space="preserve">بناء أدوات قياس كمّية (مقاييس نفسية) تُترجم مفاهيم الأمارة واللوامة والمطمئنة إلى مؤشرات إكلينيكية قابلة للقياس.</w:t>
      </w:r>
    </w:p>
    <w:p>
      <w:pPr>
        <w:spacing w:after="120"/>
      </w:pPr>
    </w:p>
    <w:p>
      <w:pPr>
        <w:pStyle w:val="Heading1"/>
        <w:pBdr>
          <w:bottom w:val="single" w:color="1F3864" w:sz="6"/>
        </w:pBdr>
        <w:bidi/>
        <w:spacing w:after="200" w:before="400"/>
        <w:jc w:val="right"/>
      </w:pPr>
      <w:r>
        <w:rPr>
          <w:rFonts w:ascii="Traditional Arabic" w:cs="Traditional Arabic" w:eastAsia="Traditional Arabic" w:hAnsi="Traditional Arabic"/>
          <w:b/>
          <w:bCs/>
          <w:i w:val="false"/>
          <w:iCs w:val="false"/>
          <w:color w:val="1F3864"/>
          <w:sz w:val="30"/>
          <w:szCs w:val="30"/>
          <w:rtl/>
        </w:rPr>
        <w:t xml:space="preserve">المصادر والمراجع</w:t>
      </w:r>
    </w:p>
    <w:p>
      <w:pPr>
        <w:bidi/>
        <w:spacing w:after="140" w:before="260"/>
        <w:jc w:val="right"/>
      </w:pPr>
      <w:r>
        <w:rPr>
          <w:rFonts w:ascii="Traditional Arabic" w:cs="Traditional Arabic" w:eastAsia="Traditional Arabic" w:hAnsi="Traditional Arabic"/>
          <w:b/>
          <w:bCs/>
          <w:i w:val="false"/>
          <w:iCs w:val="false"/>
          <w:color w:val="1F3864"/>
          <w:sz w:val="24"/>
          <w:szCs w:val="24"/>
          <w:rtl/>
        </w:rPr>
        <w:t xml:space="preserve">أولًا: المصادر الفرويدية الأولية</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Freud, S. (1900). Die Traumdeutung [تفسير الأحلام].</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Freud, S. (1923). Das Ich und das Es [الأنا والهو].</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Freud, S. (1927). Die Zukunft einer Illusion [مستقبل وهم].</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Freud, S. (1930). Das Unbehagen in der Kultur [الحضارة وأسقامها].</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Freud, S. (1933). New Introductory Lectures on Psycho-Analysis [المحاضرات التمهيدية الجديدة في التحليل النفسي].</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Freud, A. (1936). The Ego and the Mechanisms of Defence [الأنا وآليات الدفاع].</w:t>
      </w:r>
    </w:p>
    <w:p>
      <w:pPr>
        <w:bidi/>
        <w:spacing w:after="140" w:before="260"/>
        <w:jc w:val="right"/>
      </w:pPr>
      <w:r>
        <w:rPr>
          <w:rFonts w:ascii="Traditional Arabic" w:cs="Traditional Arabic" w:eastAsia="Traditional Arabic" w:hAnsi="Traditional Arabic"/>
          <w:b/>
          <w:bCs/>
          <w:i w:val="false"/>
          <w:iCs w:val="false"/>
          <w:color w:val="1F3864"/>
          <w:sz w:val="24"/>
          <w:szCs w:val="24"/>
          <w:rtl/>
        </w:rPr>
        <w:t xml:space="preserve">ثانيًا: مصادر النقد الفلسفي والإبستمولوجي</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Popper, K. (1963). Conjectures and Refutations: The Growth of Scientific Knowledge.</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Horney, K. (1939). New Ways in Psychoanalysis.</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Frankl, V. (1946). Man's Search for Meaning [الإنسان يبحث عن المعنى].</w:t>
      </w:r>
    </w:p>
    <w:p>
      <w:pPr>
        <w:bidi/>
        <w:spacing w:after="140" w:before="260"/>
        <w:jc w:val="right"/>
      </w:pPr>
      <w:r>
        <w:rPr>
          <w:rFonts w:ascii="Traditional Arabic" w:cs="Traditional Arabic" w:eastAsia="Traditional Arabic" w:hAnsi="Traditional Arabic"/>
          <w:b/>
          <w:bCs/>
          <w:i w:val="false"/>
          <w:iCs w:val="false"/>
          <w:color w:val="1F3864"/>
          <w:sz w:val="24"/>
          <w:szCs w:val="24"/>
          <w:rtl/>
        </w:rPr>
        <w:t xml:space="preserve">ثالثًا: المصادر القرآنية والتفسيرية</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القرآن الكريم: سورة يوسف (53)، القيامة (2)، الفجر (27-30)، البقرة (30، 286)، الملك (14)، الروم (30)، العنكبوت (65)، الذاريات (56).</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ابن كثير، إسماعيل بن عمر. تفسير القرآن العظيم.</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القرطبي، محمد بن أحمد. الجامع لأحكام القرآن.</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الطبري، محمد بن جرير. جامع البيان عن تأويل آي القرآن.</w:t>
      </w:r>
    </w:p>
    <w:p>
      <w:pPr>
        <w:bidi/>
        <w:spacing w:after="140" w:before="260"/>
        <w:jc w:val="right"/>
      </w:pPr>
      <w:r>
        <w:rPr>
          <w:rFonts w:ascii="Traditional Arabic" w:cs="Traditional Arabic" w:eastAsia="Traditional Arabic" w:hAnsi="Traditional Arabic"/>
          <w:b/>
          <w:bCs/>
          <w:i w:val="false"/>
          <w:iCs w:val="false"/>
          <w:color w:val="1F3864"/>
          <w:sz w:val="24"/>
          <w:szCs w:val="24"/>
          <w:rtl/>
        </w:rPr>
        <w:t xml:space="preserve">رابعًا: مصادر علم النفس الاستخلافي والدراسات الإسلامية المعاصرة</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الزراع، عبد السلام. أطروحات في علم النفس الاستخلافي (سلسلة أبحاث ومصنّفات).</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الزراع، عبد السلام. بروتوكول TLRT للعلاج النفسي التحويلي: فصول إعادة بناء السردية الذاتية والتحويل الطاقي.</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Benslama, F. La psychanalyse à l'épreuve de l'Islam.</w:t>
      </w:r>
    </w:p>
    <w:p>
      <w:pPr>
        <w:bidi/>
        <w:spacing w:after="100" w:line="300"/>
        <w:ind w:right="431"/>
        <w:jc w:val="right"/>
      </w:pPr>
      <w:r>
        <w:rPr>
          <w:rFonts w:ascii="Traditional Arabic" w:cs="Traditional Arabic" w:eastAsia="Traditional Arabic" w:hAnsi="Traditional Arabic"/>
          <w:b w:val="false"/>
          <w:bCs w:val="false"/>
          <w:i w:val="false"/>
          <w:iCs w:val="false"/>
          <w:sz w:val="20"/>
          <w:szCs w:val="20"/>
          <w:rtl/>
        </w:rPr>
        <w:t xml:space="preserve">Keshavarzi, H. &amp; Haque, A. Integrating Islamic Traditions in Modern Psychology: Research Trends in Last Ten Years [نموذج TIIP].</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18"/>
        <w:szCs w:val="18"/>
      </w:rPr>
      <w:fldChar w:fldCharType="begin"/>
      <w:instrText xml:space="preserve">PAGE</w:instrText>
      <w:fldChar w:fldCharType="separate"/>
      <w:fldChar w:fldCharType="end"/>
    </w:r>
    <w:r>
      <w:rPr>
        <w:rFonts w:ascii="Traditional Arabic" w:cs="Traditional Arabic" w:eastAsia="Traditional Arabic" w:hAnsi="Traditional Arabic"/>
        <w:sz w:val="18"/>
        <w:szCs w:val="18"/>
      </w:rPr>
      <w:t xml:space="preserve"> / </w:t>
    </w:r>
    <w:r>
      <w:rPr>
        <w:rFonts w:ascii="Traditional Arabic" w:cs="Traditional Arabic" w:eastAsia="Traditional Arabic" w:hAnsi="Traditional Arabic"/>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bidi/>
      <w:jc w:val="center"/>
    </w:pPr>
    <w:r>
      <w:rPr>
        <w:rFonts w:ascii="Traditional Arabic" w:cs="Traditional Arabic" w:eastAsia="Traditional Arabic" w:hAnsi="Traditional Arabic"/>
        <w:b w:val="false"/>
        <w:bCs w:val="false"/>
        <w:i w:val="false"/>
        <w:iCs w:val="false"/>
        <w:color w:val="999999"/>
        <w:sz w:val="16"/>
        <w:szCs w:val="16"/>
        <w:rtl/>
      </w:rPr>
      <w:t xml:space="preserve">علم النفس الاستخلافي — دراسة مقارنة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bidi/>
        <w:ind w:right="720" w:hanging="360"/>
      </w:pPr>
      <w:rPr>
        <w:rFonts w:ascii="Traditional Arabic" w:cs="Traditional Arabic" w:eastAsia="Traditional Arabic" w:hAnsi="Traditional Arabic"/>
        <w:rtl/>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2"/>
        <w:szCs w:val="22"/>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2026-07-04T18:12:07.644Z</dcterms:created>
  <dcterms:modified xsi:type="dcterms:W3CDTF">2026-07-04T18:12:07.657Z</dcterms:modified>
</cp:coreProperties>
</file>

<file path=docProps/custom.xml><?xml version="1.0" encoding="utf-8"?>
<Properties xmlns="http://schemas.openxmlformats.org/officeDocument/2006/custom-properties" xmlns:vt="http://schemas.openxmlformats.org/officeDocument/2006/docPropsVTypes"/>
</file>