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46A7D" w14:textId="77777777" w:rsidR="003D296D" w:rsidRDefault="00EE46CD">
      <w:pPr>
        <w:spacing w:before="200" w:after="120"/>
        <w:jc w:val="center"/>
      </w:pPr>
      <w:r>
        <w:rPr>
          <w:rFonts w:ascii="Traditional Arabic" w:eastAsia="Traditional Arabic" w:hAnsi="Traditional Arabic" w:cs="Traditional Arabic" w:hint="cs"/>
          <w:b/>
          <w:bCs/>
          <w:color w:val="1B2A4A"/>
          <w:sz w:val="40"/>
          <w:szCs w:val="40"/>
          <w:rtl/>
        </w:rPr>
        <w:t>م</w:t>
      </w:r>
      <w:r>
        <w:rPr>
          <w:rFonts w:ascii="Traditional Arabic" w:eastAsia="Traditional Arabic" w:hAnsi="Traditional Arabic" w:cs="Traditional Arabic"/>
          <w:b/>
          <w:bCs/>
          <w:color w:val="1B2A4A"/>
          <w:sz w:val="40"/>
          <w:szCs w:val="40"/>
          <w:rtl/>
        </w:rPr>
        <w:t>ن "الأنا أفكر" إلى "القلب يعقل": نحو نظرية استخلافية للعقل</w:t>
      </w:r>
    </w:p>
    <w:p w14:paraId="797609FC" w14:textId="77777777" w:rsidR="003D296D" w:rsidRDefault="00EE46CD">
      <w:pPr>
        <w:spacing w:after="100"/>
        <w:jc w:val="center"/>
      </w:pPr>
      <w:r>
        <w:rPr>
          <w:rFonts w:ascii="Traditional Arabic" w:eastAsia="Traditional Arabic" w:hAnsi="Traditional Arabic" w:cs="Traditional Arabic"/>
          <w:b/>
          <w:bCs/>
          <w:i/>
          <w:iCs/>
          <w:color w:val="0E6E6E"/>
          <w:sz w:val="28"/>
          <w:szCs w:val="28"/>
          <w:rtl/>
        </w:rPr>
        <w:t>دراسة موسّعة في أنطولوجيا "الملكة الروحية" عند عبد السلام الزراع</w:t>
      </w:r>
    </w:p>
    <w:p w14:paraId="406A11D1" w14:textId="590F735C" w:rsidR="003D296D" w:rsidRDefault="003D296D">
      <w:pPr>
        <w:pBdr>
          <w:bottom w:val="single" w:sz="6" w:space="8" w:color="B8912F"/>
        </w:pBdr>
        <w:spacing w:after="400"/>
        <w:jc w:val="center"/>
      </w:pPr>
    </w:p>
    <w:p w14:paraId="403A4FC6" w14:textId="77777777" w:rsidR="003D296D" w:rsidRDefault="00EE46CD" w:rsidP="006B79BE">
      <w:pPr>
        <w:pStyle w:val="1"/>
        <w:pBdr>
          <w:bottom w:val="single" w:sz="10" w:space="6" w:color="1B2A4A"/>
        </w:pBdr>
        <w:bidi/>
        <w:spacing w:before="400" w:after="200"/>
      </w:pPr>
      <w:r>
        <w:rPr>
          <w:rFonts w:ascii="Traditional Arabic" w:eastAsia="Traditional Arabic" w:hAnsi="Traditional Arabic" w:cs="Traditional Arabic"/>
          <w:b/>
          <w:bCs/>
          <w:color w:val="1B2A4A"/>
          <w:sz w:val="30"/>
          <w:szCs w:val="30"/>
          <w:rtl/>
        </w:rPr>
        <w:t>تمهيد: العقل بوصفه "معركة الأنطولوجيات" – لماذا تُعد "نظرية العقل" هي "المحك" لكل مشروع فكري؟</w:t>
      </w:r>
    </w:p>
    <w:p w14:paraId="18133866"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إذا كان لكل "مشروع فكري" "مفهومه المركزي" الذي يدور حوله، فإن "مفهوم العقل" هو بلا شك "محور" "المشروع الاستخلافي" للباحث عبد السلام الزراع. فـ"العقل" – في "هذا المشروع" – ليس "مجرد" "ملكة معرفية" أو "أداة منطقية"، بل هو "جوهر" "الإنسان" بوصفه "خليفة"، و"البوصلة" التي توجه "حركته" في "الوجود"، و"المعيار" الذي يميز به بين "الخير" و"الشر"، و"الحق" و"الباطل"، و"الهدى" و"الضلال".</w:t>
      </w:r>
    </w:p>
    <w:p w14:paraId="34674FE3"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لكن "السؤال" الذي يطرح نفسه بإلحاح هو: كيف يختلف "هذا المفهوم" للعقل عن "المفاهيم" الأخرى التي قدمتها "الفلسفات" و"المدارس النفسية" عبر التاريخ؟ وما الذي يضيفه "الزراع" إلى "فلسفة العقل" و"علم النفس المعرفي"؟ وما هي "الآليات" التي يعمل بها "هذا العقل" في "الحياة اليومية" وفي "العملية العلاجية"؟</w:t>
      </w:r>
    </w:p>
    <w:p w14:paraId="7A707F18"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وتزداد "أهمية" هذا "السؤال" إذا لاحظنا أن "أزمة" "الفلسفة المعاصرة" في "تناولها" لـ"العقل" ليست "أزمة" في "التفاصيل"، بل هي "أزمة" في "الأساس" نفسه: فمنذ "ديكارت" وحتى "فلسفة العقل التحليلية" المعاصرة (</w:t>
      </w:r>
      <w:proofErr w:type="spellStart"/>
      <w:r>
        <w:rPr>
          <w:rFonts w:ascii="Traditional Arabic" w:eastAsia="Traditional Arabic" w:hAnsi="Traditional Arabic" w:cs="Traditional Arabic"/>
          <w:color w:val="1A1A1A"/>
          <w:sz w:val="24"/>
          <w:szCs w:val="24"/>
          <w:rtl/>
        </w:rPr>
        <w:t>Philosophy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Mind</w:t>
      </w:r>
      <w:proofErr w:type="spellEnd"/>
      <w:r>
        <w:rPr>
          <w:rFonts w:ascii="Traditional Arabic" w:eastAsia="Traditional Arabic" w:hAnsi="Traditional Arabic" w:cs="Traditional Arabic"/>
          <w:color w:val="1A1A1A"/>
          <w:sz w:val="24"/>
          <w:szCs w:val="24"/>
          <w:rtl/>
        </w:rPr>
        <w:t xml:space="preserve">)، ظل "السؤال" عن "طبيعة" "العقل" وعلاقته بـ"الجسد" و"الدماغ" (مسألة العقل والجسد – </w:t>
      </w:r>
      <w:proofErr w:type="spellStart"/>
      <w:r>
        <w:rPr>
          <w:rFonts w:ascii="Traditional Arabic" w:eastAsia="Traditional Arabic" w:hAnsi="Traditional Arabic" w:cs="Traditional Arabic"/>
          <w:color w:val="1A1A1A"/>
          <w:sz w:val="24"/>
          <w:szCs w:val="24"/>
          <w:rtl/>
        </w:rPr>
        <w:t>Mind-Body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Problem</w:t>
      </w:r>
      <w:proofErr w:type="spellEnd"/>
      <w:r>
        <w:rPr>
          <w:rFonts w:ascii="Traditional Arabic" w:eastAsia="Traditional Arabic" w:hAnsi="Traditional Arabic" w:cs="Traditional Arabic"/>
          <w:color w:val="1A1A1A"/>
          <w:sz w:val="24"/>
          <w:szCs w:val="24"/>
          <w:rtl/>
        </w:rPr>
        <w:t>) "معلقاً" بلا "حسم" نهائي، متأرجحاً بين "الثنائية" (</w:t>
      </w:r>
      <w:proofErr w:type="spellStart"/>
      <w:r>
        <w:rPr>
          <w:rFonts w:ascii="Traditional Arabic" w:eastAsia="Traditional Arabic" w:hAnsi="Traditional Arabic" w:cs="Traditional Arabic"/>
          <w:color w:val="1A1A1A"/>
          <w:sz w:val="24"/>
          <w:szCs w:val="24"/>
          <w:rtl/>
        </w:rPr>
        <w:t>Dualism</w:t>
      </w:r>
      <w:proofErr w:type="spellEnd"/>
      <w:r>
        <w:rPr>
          <w:rFonts w:ascii="Traditional Arabic" w:eastAsia="Traditional Arabic" w:hAnsi="Traditional Arabic" w:cs="Traditional Arabic"/>
          <w:color w:val="1A1A1A"/>
          <w:sz w:val="24"/>
          <w:szCs w:val="24"/>
          <w:rtl/>
        </w:rPr>
        <w:t>) و"المادية الاختزالية" (</w:t>
      </w:r>
      <w:proofErr w:type="spellStart"/>
      <w:r>
        <w:rPr>
          <w:rFonts w:ascii="Traditional Arabic" w:eastAsia="Traditional Arabic" w:hAnsi="Traditional Arabic" w:cs="Traditional Arabic"/>
          <w:color w:val="1A1A1A"/>
          <w:sz w:val="24"/>
          <w:szCs w:val="24"/>
          <w:rtl/>
        </w:rPr>
        <w:t>Reductive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Materialism</w:t>
      </w:r>
      <w:proofErr w:type="spellEnd"/>
      <w:r>
        <w:rPr>
          <w:rFonts w:ascii="Traditional Arabic" w:eastAsia="Traditional Arabic" w:hAnsi="Traditional Arabic" w:cs="Traditional Arabic"/>
          <w:color w:val="1A1A1A"/>
          <w:sz w:val="24"/>
          <w:szCs w:val="24"/>
          <w:rtl/>
        </w:rPr>
        <w:t>) و"الوظيفية" (</w:t>
      </w:r>
      <w:proofErr w:type="spellStart"/>
      <w:r>
        <w:rPr>
          <w:rFonts w:ascii="Traditional Arabic" w:eastAsia="Traditional Arabic" w:hAnsi="Traditional Arabic" w:cs="Traditional Arabic"/>
          <w:color w:val="1A1A1A"/>
          <w:sz w:val="24"/>
          <w:szCs w:val="24"/>
          <w:rtl/>
        </w:rPr>
        <w:t>Functionalism</w:t>
      </w:r>
      <w:proofErr w:type="spellEnd"/>
      <w:r>
        <w:rPr>
          <w:rFonts w:ascii="Traditional Arabic" w:eastAsia="Traditional Arabic" w:hAnsi="Traditional Arabic" w:cs="Traditional Arabic"/>
          <w:color w:val="1A1A1A"/>
          <w:sz w:val="24"/>
          <w:szCs w:val="24"/>
          <w:rtl/>
        </w:rPr>
        <w:t>). وما "يطرحه" "الزراع" ليس "حلاً" "توفيقياً" بين هذه "المواقف"، بل هو "إعادة تأسيس" "كاملة" للسؤال نفسه، انطلاقاً من "أنطولوجيا" "مغايرة" جذرياً: أنطولوجيا "الاستخلاف".</w:t>
      </w:r>
    </w:p>
    <w:p w14:paraId="48C8AE6F"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للإجابة عن هذه "الأسئلة"، سنقوم في هذه "الدراسة الموسعة" بتفكيك "مفهوم العقل" في "النظرية الاستخلافية"، وتتبعه في "جذوره الفلسفية" و"تجلياته التطبيقية"، مع مقارنته بـ "النماذج" الأخرى – </w:t>
      </w:r>
      <w:proofErr w:type="spellStart"/>
      <w:r>
        <w:rPr>
          <w:rFonts w:ascii="Traditional Arabic" w:eastAsia="Traditional Arabic" w:hAnsi="Traditional Arabic" w:cs="Traditional Arabic"/>
          <w:color w:val="1A1A1A"/>
          <w:sz w:val="24"/>
          <w:szCs w:val="24"/>
          <w:rtl/>
        </w:rPr>
        <w:t>الديكارتية</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والكانطية</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والهيدغرية</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والأرندتية</w:t>
      </w:r>
      <w:proofErr w:type="spellEnd"/>
      <w:r>
        <w:rPr>
          <w:rFonts w:ascii="Traditional Arabic" w:eastAsia="Traditional Arabic" w:hAnsi="Traditional Arabic" w:cs="Traditional Arabic"/>
          <w:color w:val="1A1A1A"/>
          <w:sz w:val="24"/>
          <w:szCs w:val="24"/>
          <w:rtl/>
        </w:rPr>
        <w:t>، وكذا "النماذج" العصبية-المعرفية المعاصرة (</w:t>
      </w:r>
      <w:proofErr w:type="spellStart"/>
      <w:r>
        <w:rPr>
          <w:rFonts w:ascii="Traditional Arabic" w:eastAsia="Traditional Arabic" w:hAnsi="Traditional Arabic" w:cs="Traditional Arabic"/>
          <w:color w:val="1A1A1A"/>
          <w:sz w:val="24"/>
          <w:szCs w:val="24"/>
          <w:rtl/>
        </w:rPr>
        <w:t>كانمان</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لودو</w:t>
      </w:r>
      <w:proofErr w:type="spellEnd"/>
      <w:r>
        <w:rPr>
          <w:rFonts w:ascii="Traditional Arabic" w:eastAsia="Traditional Arabic" w:hAnsi="Traditional Arabic" w:cs="Traditional Arabic"/>
          <w:color w:val="1A1A1A"/>
          <w:sz w:val="24"/>
          <w:szCs w:val="24"/>
          <w:rtl/>
        </w:rPr>
        <w:t xml:space="preserve">، سيغل، </w:t>
      </w:r>
      <w:proofErr w:type="spellStart"/>
      <w:r>
        <w:rPr>
          <w:rFonts w:ascii="Traditional Arabic" w:eastAsia="Traditional Arabic" w:hAnsi="Traditional Arabic" w:cs="Traditional Arabic"/>
          <w:color w:val="1A1A1A"/>
          <w:sz w:val="24"/>
          <w:szCs w:val="24"/>
          <w:rtl/>
        </w:rPr>
        <w:t>دويدج</w:t>
      </w:r>
      <w:proofErr w:type="spellEnd"/>
      <w:r>
        <w:rPr>
          <w:rFonts w:ascii="Traditional Arabic" w:eastAsia="Traditional Arabic" w:hAnsi="Traditional Arabic" w:cs="Traditional Arabic"/>
          <w:color w:val="1A1A1A"/>
          <w:sz w:val="24"/>
          <w:szCs w:val="24"/>
          <w:rtl/>
        </w:rPr>
        <w:t>) – وكشف "أبعاده" المتعددة التي تتجاوز "المفهوم المادي الضيق للذكاء"، مع "استعادة" "الجذور" "التراثية" الإسلامية لهذا "المشروع" عند الغزالي وابن القيم والمحاسبي والفارابي.</w:t>
      </w:r>
    </w:p>
    <w:p w14:paraId="55D8B5C2" w14:textId="77777777" w:rsidR="003D296D" w:rsidRDefault="00EE46CD" w:rsidP="006B79BE">
      <w:pPr>
        <w:pStyle w:val="1"/>
        <w:pBdr>
          <w:bottom w:val="single" w:sz="10" w:space="6" w:color="1B2A4A"/>
        </w:pBdr>
        <w:bidi/>
        <w:spacing w:before="400" w:after="200"/>
      </w:pPr>
      <w:r>
        <w:rPr>
          <w:rFonts w:ascii="Traditional Arabic" w:eastAsia="Traditional Arabic" w:hAnsi="Traditional Arabic" w:cs="Traditional Arabic"/>
          <w:b/>
          <w:bCs/>
          <w:color w:val="1B2A4A"/>
          <w:sz w:val="30"/>
          <w:szCs w:val="30"/>
          <w:rtl/>
        </w:rPr>
        <w:t>الفصل الأول: "أركيولوجيا" العقل الاستخلافي – "التفكيك" و"التركيب"</w:t>
      </w:r>
    </w:p>
    <w:p w14:paraId="75C1C0B8" w14:textId="77777777" w:rsidR="003D296D" w:rsidRDefault="00EE46CD" w:rsidP="006B79BE">
      <w:pPr>
        <w:pStyle w:val="2"/>
        <w:bidi/>
        <w:spacing w:before="300" w:after="160"/>
      </w:pPr>
      <w:r>
        <w:rPr>
          <w:rFonts w:ascii="Traditional Arabic" w:eastAsia="Traditional Arabic" w:hAnsi="Traditional Arabic" w:cs="Traditional Arabic"/>
          <w:b/>
          <w:bCs/>
          <w:color w:val="0E6E6E"/>
          <w:rtl/>
        </w:rPr>
        <w:t>1.1 "العقل" في "الحداثة الغربية": "الأنا أفكر" و"اختزال" الوجود في "المعرفة"</w:t>
      </w:r>
    </w:p>
    <w:p w14:paraId="250B4C9B"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لفهم "خصوصية" "العقل الاستخلافي"، لا بد من "العودة" إلى "اللحظة التأسيسية" للعقل في "الحداثة الغربية"، وهي "اللحظة </w:t>
      </w:r>
      <w:proofErr w:type="spellStart"/>
      <w:r>
        <w:rPr>
          <w:rFonts w:ascii="Traditional Arabic" w:eastAsia="Traditional Arabic" w:hAnsi="Traditional Arabic" w:cs="Traditional Arabic"/>
          <w:color w:val="1A1A1A"/>
          <w:sz w:val="24"/>
          <w:szCs w:val="24"/>
          <w:rtl/>
        </w:rPr>
        <w:t>الديكارتية</w:t>
      </w:r>
      <w:proofErr w:type="spellEnd"/>
      <w:r>
        <w:rPr>
          <w:rFonts w:ascii="Traditional Arabic" w:eastAsia="Traditional Arabic" w:hAnsi="Traditional Arabic" w:cs="Traditional Arabic"/>
          <w:color w:val="1A1A1A"/>
          <w:sz w:val="24"/>
          <w:szCs w:val="24"/>
          <w:rtl/>
        </w:rPr>
        <w:t>" التي أعلن فيها "</w:t>
      </w:r>
      <w:proofErr w:type="spellStart"/>
      <w:r>
        <w:rPr>
          <w:rFonts w:ascii="Traditional Arabic" w:eastAsia="Traditional Arabic" w:hAnsi="Traditional Arabic" w:cs="Traditional Arabic"/>
          <w:color w:val="1A1A1A"/>
          <w:sz w:val="24"/>
          <w:szCs w:val="24"/>
          <w:rtl/>
        </w:rPr>
        <w:t>رينيه</w:t>
      </w:r>
      <w:proofErr w:type="spellEnd"/>
      <w:r>
        <w:rPr>
          <w:rFonts w:ascii="Traditional Arabic" w:eastAsia="Traditional Arabic" w:hAnsi="Traditional Arabic" w:cs="Traditional Arabic"/>
          <w:color w:val="1A1A1A"/>
          <w:sz w:val="24"/>
          <w:szCs w:val="24"/>
          <w:rtl/>
        </w:rPr>
        <w:t xml:space="preserve"> ديكارت" مقولته الشهيرة: "أنا أفكر، إذن أنا موجود" (</w:t>
      </w:r>
      <w:proofErr w:type="spellStart"/>
      <w:r>
        <w:rPr>
          <w:rFonts w:ascii="Traditional Arabic" w:eastAsia="Traditional Arabic" w:hAnsi="Traditional Arabic" w:cs="Traditional Arabic"/>
          <w:color w:val="1A1A1A"/>
          <w:sz w:val="24"/>
          <w:szCs w:val="24"/>
          <w:rtl/>
        </w:rPr>
        <w:t>Cogito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ergo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sum</w:t>
      </w:r>
      <w:proofErr w:type="spellEnd"/>
      <w:r>
        <w:rPr>
          <w:rFonts w:ascii="Traditional Arabic" w:eastAsia="Traditional Arabic" w:hAnsi="Traditional Arabic" w:cs="Traditional Arabic"/>
          <w:color w:val="1A1A1A"/>
          <w:sz w:val="24"/>
          <w:szCs w:val="24"/>
          <w:rtl/>
        </w:rPr>
        <w:t>). في هذه "اللحظة"، "انفصل" "العقل" عن "الجسد" و"الروح" و"العالم"، وأصبح "جوهر" "الإنسان" هو "التفكير"، و"معيار" "الحقيقة" هو "الوضوح" و"التميز" العقلي.</w:t>
      </w:r>
    </w:p>
    <w:p w14:paraId="3D86903B"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هذا "التحول" – الذي كان "ضرورياً" في "سياقه التاريخي" لـ"تحرير" "العقل" من "سلطة" "الكنيسة" و"التقليد" – أدى في "نهاية المطاف" إلى "اختزال" الوجود الإنساني في "المعرفة"، وإلى "نفي" "الأبعاد" الأخرى للعقل (الوجدانية، الروحية، الأخلاقية، الجمالية). "العقل" – في "الحداثة" – أصبح "عقلاً </w:t>
      </w:r>
      <w:proofErr w:type="spellStart"/>
      <w:r>
        <w:rPr>
          <w:rFonts w:ascii="Traditional Arabic" w:eastAsia="Traditional Arabic" w:hAnsi="Traditional Arabic" w:cs="Traditional Arabic"/>
          <w:color w:val="1A1A1A"/>
          <w:sz w:val="24"/>
          <w:szCs w:val="24"/>
          <w:rtl/>
        </w:rPr>
        <w:t>أداتياً</w:t>
      </w:r>
      <w:proofErr w:type="spellEnd"/>
      <w:r>
        <w:rPr>
          <w:rFonts w:ascii="Traditional Arabic" w:eastAsia="Traditional Arabic" w:hAnsi="Traditional Arabic" w:cs="Traditional Arabic"/>
          <w:color w:val="1A1A1A"/>
          <w:sz w:val="24"/>
          <w:szCs w:val="24"/>
          <w:rtl/>
        </w:rPr>
        <w:t>" (</w:t>
      </w:r>
      <w:proofErr w:type="spellStart"/>
      <w:r>
        <w:rPr>
          <w:rFonts w:ascii="Traditional Arabic" w:eastAsia="Traditional Arabic" w:hAnsi="Traditional Arabic" w:cs="Traditional Arabic"/>
          <w:color w:val="1A1A1A"/>
          <w:sz w:val="24"/>
          <w:szCs w:val="24"/>
          <w:rtl/>
        </w:rPr>
        <w:t>Instrumental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Reason</w:t>
      </w:r>
      <w:proofErr w:type="spellEnd"/>
      <w:r>
        <w:rPr>
          <w:rFonts w:ascii="Traditional Arabic" w:eastAsia="Traditional Arabic" w:hAnsi="Traditional Arabic" w:cs="Traditional Arabic"/>
          <w:color w:val="1A1A1A"/>
          <w:sz w:val="24"/>
          <w:szCs w:val="24"/>
          <w:rtl/>
        </w:rPr>
        <w:t xml:space="preserve">) يهتم بـ"الوسائل" لا بـ"الغايات"، </w:t>
      </w:r>
      <w:proofErr w:type="spellStart"/>
      <w:r>
        <w:rPr>
          <w:rFonts w:ascii="Traditional Arabic" w:eastAsia="Traditional Arabic" w:hAnsi="Traditional Arabic" w:cs="Traditional Arabic"/>
          <w:color w:val="1A1A1A"/>
          <w:sz w:val="24"/>
          <w:szCs w:val="24"/>
          <w:rtl/>
        </w:rPr>
        <w:t>وبـ"الكيف</w:t>
      </w:r>
      <w:proofErr w:type="spellEnd"/>
      <w:r>
        <w:rPr>
          <w:rFonts w:ascii="Traditional Arabic" w:eastAsia="Traditional Arabic" w:hAnsi="Traditional Arabic" w:cs="Traditional Arabic"/>
          <w:color w:val="1A1A1A"/>
          <w:sz w:val="24"/>
          <w:szCs w:val="24"/>
          <w:rtl/>
        </w:rPr>
        <w:t>" لا بـ"</w:t>
      </w:r>
      <w:proofErr w:type="spellStart"/>
      <w:r>
        <w:rPr>
          <w:rFonts w:ascii="Traditional Arabic" w:eastAsia="Traditional Arabic" w:hAnsi="Traditional Arabic" w:cs="Traditional Arabic"/>
          <w:color w:val="1A1A1A"/>
          <w:sz w:val="24"/>
          <w:szCs w:val="24"/>
          <w:rtl/>
        </w:rPr>
        <w:t>اللماذا</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وبـ"الكم</w:t>
      </w:r>
      <w:proofErr w:type="spellEnd"/>
      <w:r>
        <w:rPr>
          <w:rFonts w:ascii="Traditional Arabic" w:eastAsia="Traditional Arabic" w:hAnsi="Traditional Arabic" w:cs="Traditional Arabic"/>
          <w:color w:val="1A1A1A"/>
          <w:sz w:val="24"/>
          <w:szCs w:val="24"/>
          <w:rtl/>
        </w:rPr>
        <w:t>" لا بـ"الكيف" [5].</w:t>
      </w:r>
    </w:p>
    <w:p w14:paraId="6E57EA91"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ومن "المفارقات" "اللافتة" التي "يرصدها" "التحليل الاستخلافي" أن "</w:t>
      </w:r>
      <w:proofErr w:type="spellStart"/>
      <w:r>
        <w:rPr>
          <w:rFonts w:ascii="Traditional Arabic" w:eastAsia="Traditional Arabic" w:hAnsi="Traditional Arabic" w:cs="Traditional Arabic"/>
          <w:color w:val="1A1A1A"/>
          <w:sz w:val="24"/>
          <w:szCs w:val="24"/>
          <w:rtl/>
        </w:rPr>
        <w:t>الكوجيتو</w:t>
      </w:r>
      <w:proofErr w:type="spellEnd"/>
      <w:r>
        <w:rPr>
          <w:rFonts w:ascii="Traditional Arabic" w:eastAsia="Traditional Arabic" w:hAnsi="Traditional Arabic" w:cs="Traditional Arabic"/>
          <w:color w:val="1A1A1A"/>
          <w:sz w:val="24"/>
          <w:szCs w:val="24"/>
          <w:rtl/>
        </w:rPr>
        <w:t>" الديكارتي، رغم "ادعائه" "اليقين المطلق"، إنما "بدأ" من "الشك" لا من "اليقين". فـ"ديكارت" اضطر إلى "الشك" في "كل شيء" – الحواس، والعالم الخارجي، بل وحتى "البديهيات الرياضية" – قبل أن "يستقر" على "يقين" "الأنا المفكرة" وحدها. وهذا "المسار" – من "الشك" إلى "اليقين" الفردي المنعزل – هو "بالضبط" ما "يرفضه" "النموذج الاستخلافي"، الذي "ينطلق" لا من "شك" "منهجي" معزول عن "العالم"، بل من "يقين" "فطري" (الفطرة) "متصل" بـ"الوجود" و"بخالقه" منذ "اللحظة" الأولى.</w:t>
      </w:r>
    </w:p>
    <w:p w14:paraId="3DCEB34A" w14:textId="77777777" w:rsidR="003D296D" w:rsidRDefault="00EE46CD" w:rsidP="006B79BE">
      <w:pPr>
        <w:pStyle w:val="2"/>
        <w:bidi/>
        <w:spacing w:before="300" w:after="160"/>
      </w:pPr>
      <w:r>
        <w:rPr>
          <w:rFonts w:ascii="Traditional Arabic" w:eastAsia="Traditional Arabic" w:hAnsi="Traditional Arabic" w:cs="Traditional Arabic"/>
          <w:b/>
          <w:bCs/>
          <w:color w:val="0E6E6E"/>
          <w:rtl/>
        </w:rPr>
        <w:t>1.2 "العقل" في "التراث الإسلامي": "القلب" مركزاً و"الوحي" مرجعاً</w:t>
      </w:r>
    </w:p>
    <w:p w14:paraId="3DC0E60A"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في مقابل "هذا الاختزال"، يقدم "التراث الإسلامي" – كما يستعيده "الزراع" – تصوراً "مغايراً" و"أكثر شمولاً" للعقل. فـ"العقل" – في "القرآن الكريم" – ليس "جوهراً" منفصلاً، بل هو "فعل" و"عملية": إنه "التعقل" و"التفكر" و"التدبر" و"التذكر". وهو ليس "متمركزاً" في "الدماغ" فقط، بل هو "مرتبط عضوياً" بـ"القلب":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3D296D" w14:paraId="1B9BAA5D" w14:textId="77777777">
        <w:tc>
          <w:tcPr>
            <w:tcW w:w="9000" w:type="dxa"/>
            <w:tcBorders>
              <w:top w:val="single" w:sz="12" w:space="0" w:color="B8912F"/>
              <w:left w:val="single" w:sz="12" w:space="0" w:color="B8912F"/>
              <w:bottom w:val="single" w:sz="12" w:space="0" w:color="B8912F"/>
              <w:right w:val="single" w:sz="12" w:space="0" w:color="B8912F"/>
            </w:tcBorders>
            <w:shd w:val="clear" w:color="auto" w:fill="FBF6E9"/>
            <w:tcMar>
              <w:top w:w="200" w:type="dxa"/>
              <w:left w:w="300" w:type="dxa"/>
              <w:bottom w:w="200" w:type="dxa"/>
              <w:right w:w="300" w:type="dxa"/>
            </w:tcMar>
          </w:tcPr>
          <w:p w14:paraId="2C45E467" w14:textId="77777777" w:rsidR="003D296D" w:rsidRDefault="00EE46CD" w:rsidP="006B79BE">
            <w:pPr>
              <w:spacing w:after="80"/>
            </w:pPr>
            <w:r>
              <w:rPr>
                <w:rFonts w:ascii="Traditional Arabic" w:eastAsia="Traditional Arabic" w:hAnsi="Traditional Arabic" w:cs="Traditional Arabic"/>
                <w:b/>
                <w:bCs/>
                <w:color w:val="1B2A4A"/>
                <w:sz w:val="26"/>
                <w:szCs w:val="26"/>
                <w:rtl/>
              </w:rPr>
              <w:t>{لَهُمْ قُلُوبٌ لَا يَفْقَهُونَ بِهَا}</w:t>
            </w:r>
          </w:p>
          <w:p w14:paraId="105803EF" w14:textId="77777777" w:rsidR="003D296D" w:rsidRDefault="00EE46CD" w:rsidP="006B79BE">
            <w:r>
              <w:rPr>
                <w:rFonts w:ascii="Traditional Arabic" w:eastAsia="Traditional Arabic" w:hAnsi="Traditional Arabic" w:cs="Traditional Arabic"/>
                <w:i/>
                <w:iCs/>
                <w:color w:val="0E6E6E"/>
                <w:rtl/>
              </w:rPr>
              <w:t>[الأعراف: 179]</w:t>
            </w:r>
          </w:p>
        </w:tc>
      </w:tr>
    </w:tbl>
    <w:p w14:paraId="3DE370A7" w14:textId="77777777" w:rsidR="003D296D" w:rsidRDefault="003D296D" w:rsidP="006B79BE">
      <w:pPr>
        <w:spacing w:after="160"/>
      </w:pPr>
    </w:p>
    <w:p w14:paraId="5965795A"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فالقلب – في "اللغة القرآنية" – هو "مركز" "الإدراك" و"الفهم" و"الإيمان"، وليس "مجرد" "مضخة" للدم.</w:t>
      </w:r>
    </w:p>
    <w:p w14:paraId="24ED64DD"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وهذا "الارتباط" بين "العقل" و"القلب" هو "أساس" "النظرية الاستخلافية" للعقل. فـ"العقل" – عند "الزراع" – ليس "ملكة" "باردة" و"محايدة"، بل هو "ملكة روحية" مشبعة بـ"القيم" و"الأخلاق" و"الإيمان". إنه – كما يصفه – "دليل وحَكَم للنفس"، و"وسيلة لإدراك آيات الله في الكون" [1].</w:t>
      </w:r>
    </w:p>
    <w:p w14:paraId="42432CBB" w14:textId="3A5EDC6D" w:rsidR="003D296D" w:rsidRDefault="00EE46CD" w:rsidP="006B79BE">
      <w:pPr>
        <w:pStyle w:val="2"/>
        <w:bidi/>
        <w:spacing w:before="300" w:after="160"/>
      </w:pPr>
      <w:r>
        <w:rPr>
          <w:rFonts w:ascii="Traditional Arabic" w:eastAsia="Traditional Arabic" w:hAnsi="Traditional Arabic" w:cs="Traditional Arabic"/>
          <w:b/>
          <w:bCs/>
          <w:color w:val="0E6E6E"/>
          <w:rtl/>
        </w:rPr>
        <w:t xml:space="preserve">1.3  نقد "العقل الاستخلافي" لـ"العقل الخالص" عند </w:t>
      </w:r>
      <w:proofErr w:type="spellStart"/>
      <w:r>
        <w:rPr>
          <w:rFonts w:ascii="Traditional Arabic" w:eastAsia="Traditional Arabic" w:hAnsi="Traditional Arabic" w:cs="Traditional Arabic"/>
          <w:b/>
          <w:bCs/>
          <w:color w:val="0E6E6E"/>
          <w:rtl/>
        </w:rPr>
        <w:t>كانط</w:t>
      </w:r>
      <w:proofErr w:type="spellEnd"/>
      <w:r>
        <w:rPr>
          <w:rFonts w:ascii="Traditional Arabic" w:eastAsia="Traditional Arabic" w:hAnsi="Traditional Arabic" w:cs="Traditional Arabic"/>
          <w:b/>
          <w:bCs/>
          <w:color w:val="0E6E6E"/>
          <w:rtl/>
        </w:rPr>
        <w:t>: بين "الحدود" و"الانفتاح"</w:t>
      </w:r>
    </w:p>
    <w:p w14:paraId="2617CF7C"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إذا كانت "اللحظة </w:t>
      </w:r>
      <w:proofErr w:type="spellStart"/>
      <w:r>
        <w:rPr>
          <w:rFonts w:ascii="Traditional Arabic" w:eastAsia="Traditional Arabic" w:hAnsi="Traditional Arabic" w:cs="Traditional Arabic"/>
          <w:color w:val="1A1A1A"/>
          <w:sz w:val="24"/>
          <w:szCs w:val="24"/>
          <w:rtl/>
        </w:rPr>
        <w:t>الديكارتية</w:t>
      </w:r>
      <w:proofErr w:type="spellEnd"/>
      <w:r>
        <w:rPr>
          <w:rFonts w:ascii="Traditional Arabic" w:eastAsia="Traditional Arabic" w:hAnsi="Traditional Arabic" w:cs="Traditional Arabic"/>
          <w:color w:val="1A1A1A"/>
          <w:sz w:val="24"/>
          <w:szCs w:val="24"/>
          <w:rtl/>
        </w:rPr>
        <w:t xml:space="preserve">" قد "أسست" لـ"انفصال" "العقل" عن "الوجود"، فإن "اللحظة </w:t>
      </w:r>
      <w:proofErr w:type="spellStart"/>
      <w:r>
        <w:rPr>
          <w:rFonts w:ascii="Traditional Arabic" w:eastAsia="Traditional Arabic" w:hAnsi="Traditional Arabic" w:cs="Traditional Arabic"/>
          <w:color w:val="1A1A1A"/>
          <w:sz w:val="24"/>
          <w:szCs w:val="24"/>
          <w:rtl/>
        </w:rPr>
        <w:t>الكانطية</w:t>
      </w:r>
      <w:proofErr w:type="spellEnd"/>
      <w:r>
        <w:rPr>
          <w:rFonts w:ascii="Traditional Arabic" w:eastAsia="Traditional Arabic" w:hAnsi="Traditional Arabic" w:cs="Traditional Arabic"/>
          <w:color w:val="1A1A1A"/>
          <w:sz w:val="24"/>
          <w:szCs w:val="24"/>
          <w:rtl/>
        </w:rPr>
        <w:t>" – التي "توّجت" "المشروع النقدي" للحداثة – قد "رسخت" "هذا الانفصال" من "زاوية" أخرى. ففي "نقد العقل الخالص"، "يقيم" "</w:t>
      </w:r>
      <w:proofErr w:type="spellStart"/>
      <w:r>
        <w:rPr>
          <w:rFonts w:ascii="Traditional Arabic" w:eastAsia="Traditional Arabic" w:hAnsi="Traditional Arabic" w:cs="Traditional Arabic"/>
          <w:color w:val="1A1A1A"/>
          <w:sz w:val="24"/>
          <w:szCs w:val="24"/>
          <w:rtl/>
        </w:rPr>
        <w:t>كانط</w:t>
      </w:r>
      <w:proofErr w:type="spellEnd"/>
      <w:r>
        <w:rPr>
          <w:rFonts w:ascii="Traditional Arabic" w:eastAsia="Traditional Arabic" w:hAnsi="Traditional Arabic" w:cs="Traditional Arabic"/>
          <w:color w:val="1A1A1A"/>
          <w:sz w:val="24"/>
          <w:szCs w:val="24"/>
          <w:rtl/>
        </w:rPr>
        <w:t>" "تمييزاً" "حاسماً" بين "الظاهر" (</w:t>
      </w:r>
      <w:proofErr w:type="spellStart"/>
      <w:r>
        <w:rPr>
          <w:rFonts w:ascii="Traditional Arabic" w:eastAsia="Traditional Arabic" w:hAnsi="Traditional Arabic" w:cs="Traditional Arabic"/>
          <w:color w:val="1A1A1A"/>
          <w:sz w:val="24"/>
          <w:szCs w:val="24"/>
          <w:rtl/>
        </w:rPr>
        <w:t>Phenomenon</w:t>
      </w:r>
      <w:proofErr w:type="spellEnd"/>
      <w:r>
        <w:rPr>
          <w:rFonts w:ascii="Traditional Arabic" w:eastAsia="Traditional Arabic" w:hAnsi="Traditional Arabic" w:cs="Traditional Arabic"/>
          <w:color w:val="1A1A1A"/>
          <w:sz w:val="24"/>
          <w:szCs w:val="24"/>
          <w:rtl/>
        </w:rPr>
        <w:t>) و"الشيء في ذاته" (</w:t>
      </w:r>
      <w:proofErr w:type="spellStart"/>
      <w:r>
        <w:rPr>
          <w:rFonts w:ascii="Traditional Arabic" w:eastAsia="Traditional Arabic" w:hAnsi="Traditional Arabic" w:cs="Traditional Arabic"/>
          <w:color w:val="1A1A1A"/>
          <w:sz w:val="24"/>
          <w:szCs w:val="24"/>
          <w:rtl/>
        </w:rPr>
        <w:t>Noumenon</w:t>
      </w:r>
      <w:proofErr w:type="spellEnd"/>
      <w:r>
        <w:rPr>
          <w:rFonts w:ascii="Traditional Arabic" w:eastAsia="Traditional Arabic" w:hAnsi="Traditional Arabic" w:cs="Traditional Arabic"/>
          <w:color w:val="1A1A1A"/>
          <w:sz w:val="24"/>
          <w:szCs w:val="24"/>
          <w:rtl/>
        </w:rPr>
        <w:t>)، ويخلص إلى أن "العقل النظري" (</w:t>
      </w:r>
      <w:proofErr w:type="spellStart"/>
      <w:r>
        <w:rPr>
          <w:rFonts w:ascii="Traditional Arabic" w:eastAsia="Traditional Arabic" w:hAnsi="Traditional Arabic" w:cs="Traditional Arabic"/>
          <w:color w:val="1A1A1A"/>
          <w:sz w:val="24"/>
          <w:szCs w:val="24"/>
          <w:rtl/>
        </w:rPr>
        <w:t>Theoretical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Reason</w:t>
      </w:r>
      <w:proofErr w:type="spellEnd"/>
      <w:r>
        <w:rPr>
          <w:rFonts w:ascii="Traditional Arabic" w:eastAsia="Traditional Arabic" w:hAnsi="Traditional Arabic" w:cs="Traditional Arabic"/>
          <w:color w:val="1A1A1A"/>
          <w:sz w:val="24"/>
          <w:szCs w:val="24"/>
          <w:rtl/>
        </w:rPr>
        <w:t>) "محكوم" بـ"حدود" "التجربة الحسية"، وأنه لا "يمكن" "للعقل" أن "يعرف" "ما وراء الطبيعة" – الله، والحرية، والخلود – "معرفة يقينية"، بل "غاية" ما "يمكنه" هو "افتراضها" كـ"مسلمات" "عملية" ضرورية لـ"الأخلاق" [6].</w:t>
      </w:r>
    </w:p>
    <w:p w14:paraId="7A7FA1CF"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و"النقد الاستخلافي" لـ"هذا الموقف" لا "ينكر" "قيمة" "المشروع النقدي" </w:t>
      </w:r>
      <w:proofErr w:type="spellStart"/>
      <w:r>
        <w:rPr>
          <w:rFonts w:ascii="Traditional Arabic" w:eastAsia="Traditional Arabic" w:hAnsi="Traditional Arabic" w:cs="Traditional Arabic"/>
          <w:color w:val="1A1A1A"/>
          <w:sz w:val="24"/>
          <w:szCs w:val="24"/>
          <w:rtl/>
        </w:rPr>
        <w:t>الكانطي</w:t>
      </w:r>
      <w:proofErr w:type="spellEnd"/>
      <w:r>
        <w:rPr>
          <w:rFonts w:ascii="Traditional Arabic" w:eastAsia="Traditional Arabic" w:hAnsi="Traditional Arabic" w:cs="Traditional Arabic"/>
          <w:color w:val="1A1A1A"/>
          <w:sz w:val="24"/>
          <w:szCs w:val="24"/>
          <w:rtl/>
        </w:rPr>
        <w:t xml:space="preserve"> في "كشفه" لـ"حدود" "العقل النظري" المجرد عن "الوحي"، بل "يتفق" معه – جزئياً – في أن "العقل" وحده، "معزولاً" عن "مصدر" "متعالٍ" للمعرفة، "عاجز" عن "الوصول" إلى "يقين" في "أمور" "الغيب". لكن "الاختلاف" "الجوهري" يكمن في أن "</w:t>
      </w:r>
      <w:proofErr w:type="spellStart"/>
      <w:r>
        <w:rPr>
          <w:rFonts w:ascii="Traditional Arabic" w:eastAsia="Traditional Arabic" w:hAnsi="Traditional Arabic" w:cs="Traditional Arabic"/>
          <w:color w:val="1A1A1A"/>
          <w:sz w:val="24"/>
          <w:szCs w:val="24"/>
          <w:rtl/>
        </w:rPr>
        <w:t>كانط</w:t>
      </w:r>
      <w:proofErr w:type="spellEnd"/>
      <w:r>
        <w:rPr>
          <w:rFonts w:ascii="Traditional Arabic" w:eastAsia="Traditional Arabic" w:hAnsi="Traditional Arabic" w:cs="Traditional Arabic"/>
          <w:color w:val="1A1A1A"/>
          <w:sz w:val="24"/>
          <w:szCs w:val="24"/>
          <w:rtl/>
        </w:rPr>
        <w:t>" يترك "هذا الفراغ" "مفتوحاً" على "الشك" الوجودي، أو – في "أفضل الأحوال" – على "إيمان عملي" (</w:t>
      </w:r>
      <w:proofErr w:type="spellStart"/>
      <w:r>
        <w:rPr>
          <w:rFonts w:ascii="Traditional Arabic" w:eastAsia="Traditional Arabic" w:hAnsi="Traditional Arabic" w:cs="Traditional Arabic"/>
          <w:color w:val="1A1A1A"/>
          <w:sz w:val="24"/>
          <w:szCs w:val="24"/>
          <w:rtl/>
        </w:rPr>
        <w:t>Practical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Faith</w:t>
      </w:r>
      <w:proofErr w:type="spellEnd"/>
      <w:r>
        <w:rPr>
          <w:rFonts w:ascii="Traditional Arabic" w:eastAsia="Traditional Arabic" w:hAnsi="Traditional Arabic" w:cs="Traditional Arabic"/>
          <w:color w:val="1A1A1A"/>
          <w:sz w:val="24"/>
          <w:szCs w:val="24"/>
          <w:rtl/>
        </w:rPr>
        <w:t>) هش "مبني" على "الحاجة" الأخلاقية لا على "معرفة" حقيقية؛ في حين أن "العقل الاستخلافي" "يملأ" هذا "الفراغ" بـ"الوحي" بوصفه "مصدراً" "معرفياً" "موازياً" لـ"العقل" لا "بديلاً" عنه، بحيث "يتحول" "العقل" من "أداة" "محدودة" "محاصرة" بـ"جدران" "التجربة الحسية"، إلى "ملكة" "منفتحة" على "ما وراء الحس" عبر "شراكتها" مع "الوحي" و"القلب" معاً. وبعبارة أخرى: "حدود" "العقل" عند "</w:t>
      </w:r>
      <w:proofErr w:type="spellStart"/>
      <w:r>
        <w:rPr>
          <w:rFonts w:ascii="Traditional Arabic" w:eastAsia="Traditional Arabic" w:hAnsi="Traditional Arabic" w:cs="Traditional Arabic"/>
          <w:color w:val="1A1A1A"/>
          <w:sz w:val="24"/>
          <w:szCs w:val="24"/>
          <w:rtl/>
        </w:rPr>
        <w:t>كانط</w:t>
      </w:r>
      <w:proofErr w:type="spellEnd"/>
      <w:r>
        <w:rPr>
          <w:rFonts w:ascii="Traditional Arabic" w:eastAsia="Traditional Arabic" w:hAnsi="Traditional Arabic" w:cs="Traditional Arabic"/>
          <w:color w:val="1A1A1A"/>
          <w:sz w:val="24"/>
          <w:szCs w:val="24"/>
          <w:rtl/>
        </w:rPr>
        <w:t>" هي "نهاية" المطاف، بينما هي عند "الزراع" مجرد "نقطة انتقال" إلى "مصدر معرفي" أرحب.</w:t>
      </w:r>
    </w:p>
    <w:p w14:paraId="0D6F7345" w14:textId="15ECDDE1" w:rsidR="003D296D" w:rsidRDefault="00EE46CD" w:rsidP="006B79BE">
      <w:pPr>
        <w:pStyle w:val="2"/>
        <w:bidi/>
        <w:spacing w:before="300" w:after="160"/>
      </w:pPr>
      <w:r>
        <w:rPr>
          <w:rFonts w:ascii="Traditional Arabic" w:eastAsia="Traditional Arabic" w:hAnsi="Traditional Arabic" w:cs="Traditional Arabic"/>
          <w:b/>
          <w:bCs/>
          <w:color w:val="0E6E6E"/>
          <w:rtl/>
        </w:rPr>
        <w:t>1.4  "العقل" و"الوجود": من "</w:t>
      </w:r>
      <w:proofErr w:type="spellStart"/>
      <w:r>
        <w:rPr>
          <w:rFonts w:ascii="Traditional Arabic" w:eastAsia="Traditional Arabic" w:hAnsi="Traditional Arabic" w:cs="Traditional Arabic"/>
          <w:b/>
          <w:bCs/>
          <w:color w:val="0E6E6E"/>
          <w:rtl/>
        </w:rPr>
        <w:t>الدازاين</w:t>
      </w:r>
      <w:proofErr w:type="spellEnd"/>
      <w:r>
        <w:rPr>
          <w:rFonts w:ascii="Traditional Arabic" w:eastAsia="Traditional Arabic" w:hAnsi="Traditional Arabic" w:cs="Traditional Arabic"/>
          <w:b/>
          <w:bCs/>
          <w:color w:val="0E6E6E"/>
          <w:rtl/>
        </w:rPr>
        <w:t xml:space="preserve">" </w:t>
      </w:r>
      <w:proofErr w:type="spellStart"/>
      <w:r>
        <w:rPr>
          <w:rFonts w:ascii="Traditional Arabic" w:eastAsia="Traditional Arabic" w:hAnsi="Traditional Arabic" w:cs="Traditional Arabic"/>
          <w:b/>
          <w:bCs/>
          <w:color w:val="0E6E6E"/>
          <w:rtl/>
        </w:rPr>
        <w:t>الهيدغري</w:t>
      </w:r>
      <w:proofErr w:type="spellEnd"/>
      <w:r>
        <w:rPr>
          <w:rFonts w:ascii="Traditional Arabic" w:eastAsia="Traditional Arabic" w:hAnsi="Traditional Arabic" w:cs="Traditional Arabic"/>
          <w:b/>
          <w:bCs/>
          <w:color w:val="0E6E6E"/>
          <w:rtl/>
        </w:rPr>
        <w:t xml:space="preserve"> إلى "الاستخلاف" القرآني</w:t>
      </w:r>
    </w:p>
    <w:p w14:paraId="07A5D54B"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يقدم "مارتن هيدغر" في "الوجود والزمان" "نقداً" "عميقاً" لـ"الميتافيزيقا الغربية" بأكملها، بما فيها "العقلانية" </w:t>
      </w:r>
      <w:proofErr w:type="spellStart"/>
      <w:r>
        <w:rPr>
          <w:rFonts w:ascii="Traditional Arabic" w:eastAsia="Traditional Arabic" w:hAnsi="Traditional Arabic" w:cs="Traditional Arabic"/>
          <w:color w:val="1A1A1A"/>
          <w:sz w:val="24"/>
          <w:szCs w:val="24"/>
          <w:rtl/>
        </w:rPr>
        <w:t>الديكارتية</w:t>
      </w:r>
      <w:proofErr w:type="spellEnd"/>
      <w:r>
        <w:rPr>
          <w:rFonts w:ascii="Traditional Arabic" w:eastAsia="Traditional Arabic" w:hAnsi="Traditional Arabic" w:cs="Traditional Arabic"/>
          <w:color w:val="1A1A1A"/>
          <w:sz w:val="24"/>
          <w:szCs w:val="24"/>
          <w:rtl/>
        </w:rPr>
        <w:t>، معتبراً أنها "نسيت" "السؤال" عن "الوجود" (</w:t>
      </w:r>
      <w:proofErr w:type="spellStart"/>
      <w:r>
        <w:rPr>
          <w:rFonts w:ascii="Traditional Arabic" w:eastAsia="Traditional Arabic" w:hAnsi="Traditional Arabic" w:cs="Traditional Arabic"/>
          <w:color w:val="1A1A1A"/>
          <w:sz w:val="24"/>
          <w:szCs w:val="24"/>
          <w:rtl/>
        </w:rPr>
        <w:t>Sein</w:t>
      </w:r>
      <w:proofErr w:type="spellEnd"/>
      <w:r>
        <w:rPr>
          <w:rFonts w:ascii="Traditional Arabic" w:eastAsia="Traditional Arabic" w:hAnsi="Traditional Arabic" w:cs="Traditional Arabic"/>
          <w:color w:val="1A1A1A"/>
          <w:sz w:val="24"/>
          <w:szCs w:val="24"/>
          <w:rtl/>
        </w:rPr>
        <w:t>) ذاته، وانشغلت بـ"الموجودات" (</w:t>
      </w:r>
      <w:proofErr w:type="spellStart"/>
      <w:r>
        <w:rPr>
          <w:rFonts w:ascii="Traditional Arabic" w:eastAsia="Traditional Arabic" w:hAnsi="Traditional Arabic" w:cs="Traditional Arabic"/>
          <w:color w:val="1A1A1A"/>
          <w:sz w:val="24"/>
          <w:szCs w:val="24"/>
          <w:rtl/>
        </w:rPr>
        <w:t>Seiendes</w:t>
      </w:r>
      <w:proofErr w:type="spellEnd"/>
      <w:r>
        <w:rPr>
          <w:rFonts w:ascii="Traditional Arabic" w:eastAsia="Traditional Arabic" w:hAnsi="Traditional Arabic" w:cs="Traditional Arabic"/>
          <w:color w:val="1A1A1A"/>
          <w:sz w:val="24"/>
          <w:szCs w:val="24"/>
          <w:rtl/>
        </w:rPr>
        <w:t>) فحسب. و"يقترح" "هيدغر" بدلاً من "ذلك" مفهوم "</w:t>
      </w:r>
      <w:proofErr w:type="spellStart"/>
      <w:r>
        <w:rPr>
          <w:rFonts w:ascii="Traditional Arabic" w:eastAsia="Traditional Arabic" w:hAnsi="Traditional Arabic" w:cs="Traditional Arabic"/>
          <w:color w:val="1A1A1A"/>
          <w:sz w:val="24"/>
          <w:szCs w:val="24"/>
          <w:rtl/>
        </w:rPr>
        <w:t>الدازاين</w:t>
      </w:r>
      <w:proofErr w:type="spellEnd"/>
      <w:r>
        <w:rPr>
          <w:rFonts w:ascii="Traditional Arabic" w:eastAsia="Traditional Arabic" w:hAnsi="Traditional Arabic" w:cs="Traditional Arabic"/>
          <w:color w:val="1A1A1A"/>
          <w:sz w:val="24"/>
          <w:szCs w:val="24"/>
          <w:rtl/>
        </w:rPr>
        <w:t>" (</w:t>
      </w:r>
      <w:proofErr w:type="spellStart"/>
      <w:r>
        <w:rPr>
          <w:rFonts w:ascii="Traditional Arabic" w:eastAsia="Traditional Arabic" w:hAnsi="Traditional Arabic" w:cs="Traditional Arabic"/>
          <w:color w:val="1A1A1A"/>
          <w:sz w:val="24"/>
          <w:szCs w:val="24"/>
          <w:rtl/>
        </w:rPr>
        <w:t>Dasein</w:t>
      </w:r>
      <w:proofErr w:type="spellEnd"/>
      <w:r>
        <w:rPr>
          <w:rFonts w:ascii="Traditional Arabic" w:eastAsia="Traditional Arabic" w:hAnsi="Traditional Arabic" w:cs="Traditional Arabic"/>
          <w:color w:val="1A1A1A"/>
          <w:sz w:val="24"/>
          <w:szCs w:val="24"/>
          <w:rtl/>
        </w:rPr>
        <w:t>) – "الوجود-هناك" – ككائن "يتحدد" "وجوده" بـ"كونه" "مشروعاً" "ملقى" (</w:t>
      </w:r>
      <w:proofErr w:type="spellStart"/>
      <w:r>
        <w:rPr>
          <w:rFonts w:ascii="Traditional Arabic" w:eastAsia="Traditional Arabic" w:hAnsi="Traditional Arabic" w:cs="Traditional Arabic"/>
          <w:color w:val="1A1A1A"/>
          <w:sz w:val="24"/>
          <w:szCs w:val="24"/>
          <w:rtl/>
        </w:rPr>
        <w:t>Geworfenheit</w:t>
      </w:r>
      <w:proofErr w:type="spellEnd"/>
      <w:r>
        <w:rPr>
          <w:rFonts w:ascii="Traditional Arabic" w:eastAsia="Traditional Arabic" w:hAnsi="Traditional Arabic" w:cs="Traditional Arabic"/>
          <w:color w:val="1A1A1A"/>
          <w:sz w:val="24"/>
          <w:szCs w:val="24"/>
          <w:rtl/>
        </w:rPr>
        <w:t>) في "العالم"، "موجهاً" نحو "الموت" (</w:t>
      </w:r>
      <w:proofErr w:type="spellStart"/>
      <w:r>
        <w:rPr>
          <w:rFonts w:ascii="Traditional Arabic" w:eastAsia="Traditional Arabic" w:hAnsi="Traditional Arabic" w:cs="Traditional Arabic"/>
          <w:color w:val="1A1A1A"/>
          <w:sz w:val="24"/>
          <w:szCs w:val="24"/>
          <w:rtl/>
        </w:rPr>
        <w:t>Being-toward-death</w:t>
      </w:r>
      <w:proofErr w:type="spellEnd"/>
      <w:r>
        <w:rPr>
          <w:rFonts w:ascii="Traditional Arabic" w:eastAsia="Traditional Arabic" w:hAnsi="Traditional Arabic" w:cs="Traditional Arabic"/>
          <w:color w:val="1A1A1A"/>
          <w:sz w:val="24"/>
          <w:szCs w:val="24"/>
          <w:rtl/>
        </w:rPr>
        <w:t>) بوصفه "أفقه" "النهائي" الذي "يمنح" "وجوده" "أصالته" [7].</w:t>
      </w:r>
    </w:p>
    <w:p w14:paraId="7FF44CB3"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و"موضع" "الالتقاء" بين "هذا التصور" و"النظرية الاستخلافية" لافت: فكلاهما "يرفض" "الاختزال" الديكارتي لـ"الإنسان" في "الذات المفكرة" المعزولة، ويعيد "الاعتبار" لـ"كون" "الإنسان" "مشروعاً" في "حركة" "دائمة" ضمن "عالم" يسبقه. غير أن "الفارق الجوهري" يكمن في "الأفق" الذي "يوجه" "هذا المشروع": فـ"</w:t>
      </w:r>
      <w:proofErr w:type="spellStart"/>
      <w:r>
        <w:rPr>
          <w:rFonts w:ascii="Traditional Arabic" w:eastAsia="Traditional Arabic" w:hAnsi="Traditional Arabic" w:cs="Traditional Arabic"/>
          <w:color w:val="1A1A1A"/>
          <w:sz w:val="24"/>
          <w:szCs w:val="24"/>
          <w:rtl/>
        </w:rPr>
        <w:t>الدازاين</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الهيدغري</w:t>
      </w:r>
      <w:proofErr w:type="spellEnd"/>
      <w:r>
        <w:rPr>
          <w:rFonts w:ascii="Traditional Arabic" w:eastAsia="Traditional Arabic" w:hAnsi="Traditional Arabic" w:cs="Traditional Arabic"/>
          <w:color w:val="1A1A1A"/>
          <w:sz w:val="24"/>
          <w:szCs w:val="24"/>
          <w:rtl/>
        </w:rPr>
        <w:t xml:space="preserve"> "مشروع" "متناهٍ"، "مُلقى" في "عالم" بلا "غاية متعالية" مسبقة، و"أصالته" الوحيدة تكمن في "استباق" "موته" الخاص و"تحمل" "قلق" (</w:t>
      </w:r>
      <w:proofErr w:type="spellStart"/>
      <w:r>
        <w:rPr>
          <w:rFonts w:ascii="Traditional Arabic" w:eastAsia="Traditional Arabic" w:hAnsi="Traditional Arabic" w:cs="Traditional Arabic"/>
          <w:color w:val="1A1A1A"/>
          <w:sz w:val="24"/>
          <w:szCs w:val="24"/>
          <w:rtl/>
        </w:rPr>
        <w:t>Angst</w:t>
      </w:r>
      <w:proofErr w:type="spellEnd"/>
      <w:r>
        <w:rPr>
          <w:rFonts w:ascii="Traditional Arabic" w:eastAsia="Traditional Arabic" w:hAnsi="Traditional Arabic" w:cs="Traditional Arabic"/>
          <w:color w:val="1A1A1A"/>
          <w:sz w:val="24"/>
          <w:szCs w:val="24"/>
          <w:rtl/>
        </w:rPr>
        <w:t>) هذا "الانتهاء" دون "هروب" إلى "الزيف" (</w:t>
      </w:r>
      <w:proofErr w:type="spellStart"/>
      <w:r>
        <w:rPr>
          <w:rFonts w:ascii="Traditional Arabic" w:eastAsia="Traditional Arabic" w:hAnsi="Traditional Arabic" w:cs="Traditional Arabic"/>
          <w:color w:val="1A1A1A"/>
          <w:sz w:val="24"/>
          <w:szCs w:val="24"/>
          <w:rtl/>
        </w:rPr>
        <w:t>Inauthenticity</w:t>
      </w:r>
      <w:proofErr w:type="spellEnd"/>
      <w:r>
        <w:rPr>
          <w:rFonts w:ascii="Traditional Arabic" w:eastAsia="Traditional Arabic" w:hAnsi="Traditional Arabic" w:cs="Traditional Arabic"/>
          <w:color w:val="1A1A1A"/>
          <w:sz w:val="24"/>
          <w:szCs w:val="24"/>
          <w:rtl/>
        </w:rPr>
        <w:t xml:space="preserve">)؛ أما "الإنسان الخليفة" في "النظرية الاستخلافية" فهو "مشروع" له "غاية متعالية" مسبقة (العبودية </w:t>
      </w:r>
      <w:proofErr w:type="spellStart"/>
      <w:r>
        <w:rPr>
          <w:rFonts w:ascii="Traditional Arabic" w:eastAsia="Traditional Arabic" w:hAnsi="Traditional Arabic" w:cs="Traditional Arabic"/>
          <w:color w:val="1A1A1A"/>
          <w:sz w:val="24"/>
          <w:szCs w:val="24"/>
          <w:rtl/>
        </w:rPr>
        <w:t>والاستخلاف</w:t>
      </w:r>
      <w:proofErr w:type="spellEnd"/>
      <w:r>
        <w:rPr>
          <w:rFonts w:ascii="Traditional Arabic" w:eastAsia="Traditional Arabic" w:hAnsi="Traditional Arabic" w:cs="Traditional Arabic"/>
          <w:color w:val="1A1A1A"/>
          <w:sz w:val="24"/>
          <w:szCs w:val="24"/>
          <w:rtl/>
        </w:rPr>
        <w:t xml:space="preserve">)، و"الموت" عنده ليس "أفقاً" "نهائياً" "مغلقاً" بل "عتبة" "انتقال" إلى "حياة" أخرى تُحاسب فيها "حركته" في "الأرض". وبذلك "يستعيد" "العقل الاستخلافي" من "هيدغر" "حساسيته" لـ"الوجود" و"الزمانية" </w:t>
      </w:r>
      <w:proofErr w:type="spellStart"/>
      <w:r>
        <w:rPr>
          <w:rFonts w:ascii="Traditional Arabic" w:eastAsia="Traditional Arabic" w:hAnsi="Traditional Arabic" w:cs="Traditional Arabic"/>
          <w:color w:val="1A1A1A"/>
          <w:sz w:val="24"/>
          <w:szCs w:val="24"/>
          <w:rtl/>
        </w:rPr>
        <w:t>و"الإلقائية</w:t>
      </w:r>
      <w:proofErr w:type="spellEnd"/>
      <w:r>
        <w:rPr>
          <w:rFonts w:ascii="Traditional Arabic" w:eastAsia="Traditional Arabic" w:hAnsi="Traditional Arabic" w:cs="Traditional Arabic"/>
          <w:color w:val="1A1A1A"/>
          <w:sz w:val="24"/>
          <w:szCs w:val="24"/>
          <w:rtl/>
        </w:rPr>
        <w:t>"، لكنه "يعيد توجيهها" نحو "أفق" "غائي" "متعالٍ" يرفضه "هيدغر" على "مستوى" "الفلسفة الأنطولوجية" الأساسية.</w:t>
      </w:r>
    </w:p>
    <w:p w14:paraId="5A2F608B" w14:textId="45934339" w:rsidR="003D296D" w:rsidRDefault="00EE46CD" w:rsidP="006B79BE">
      <w:pPr>
        <w:pStyle w:val="2"/>
        <w:bidi/>
        <w:spacing w:before="300" w:after="160"/>
      </w:pPr>
      <w:r>
        <w:rPr>
          <w:rFonts w:ascii="Traditional Arabic" w:eastAsia="Traditional Arabic" w:hAnsi="Traditional Arabic" w:cs="Traditional Arabic"/>
          <w:b/>
          <w:bCs/>
          <w:color w:val="0E6E6E"/>
          <w:rtl/>
        </w:rPr>
        <w:t xml:space="preserve">1.5 حنة </w:t>
      </w:r>
      <w:proofErr w:type="spellStart"/>
      <w:r>
        <w:rPr>
          <w:rFonts w:ascii="Traditional Arabic" w:eastAsia="Traditional Arabic" w:hAnsi="Traditional Arabic" w:cs="Traditional Arabic"/>
          <w:b/>
          <w:bCs/>
          <w:color w:val="0E6E6E"/>
          <w:rtl/>
        </w:rPr>
        <w:t>أرندت</w:t>
      </w:r>
      <w:proofErr w:type="spellEnd"/>
      <w:r>
        <w:rPr>
          <w:rFonts w:ascii="Traditional Arabic" w:eastAsia="Traditional Arabic" w:hAnsi="Traditional Arabic" w:cs="Traditional Arabic"/>
          <w:b/>
          <w:bCs/>
          <w:color w:val="0E6E6E"/>
          <w:rtl/>
        </w:rPr>
        <w:t xml:space="preserve"> و"حياة الذهن": التفكير والإرادة والحكم في ميزان الاستخلاف</w:t>
      </w:r>
    </w:p>
    <w:p w14:paraId="66979587"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في "مؤلَّفها" "الأخير" غير "المكتمل" "حياة الذهن"، "تميز" "حنة </w:t>
      </w:r>
      <w:proofErr w:type="spellStart"/>
      <w:r>
        <w:rPr>
          <w:rFonts w:ascii="Traditional Arabic" w:eastAsia="Traditional Arabic" w:hAnsi="Traditional Arabic" w:cs="Traditional Arabic"/>
          <w:color w:val="1A1A1A"/>
          <w:sz w:val="24"/>
          <w:szCs w:val="24"/>
          <w:rtl/>
        </w:rPr>
        <w:t>أرندت</w:t>
      </w:r>
      <w:proofErr w:type="spellEnd"/>
      <w:r>
        <w:rPr>
          <w:rFonts w:ascii="Traditional Arabic" w:eastAsia="Traditional Arabic" w:hAnsi="Traditional Arabic" w:cs="Traditional Arabic"/>
          <w:color w:val="1A1A1A"/>
          <w:sz w:val="24"/>
          <w:szCs w:val="24"/>
          <w:rtl/>
        </w:rPr>
        <w:t>" بين "ثلاث" "ملكات" "ذهنية" "مستقلة": "التفكير" (</w:t>
      </w:r>
      <w:proofErr w:type="spellStart"/>
      <w:r>
        <w:rPr>
          <w:rFonts w:ascii="Traditional Arabic" w:eastAsia="Traditional Arabic" w:hAnsi="Traditional Arabic" w:cs="Traditional Arabic"/>
          <w:color w:val="1A1A1A"/>
          <w:sz w:val="24"/>
          <w:szCs w:val="24"/>
          <w:rtl/>
        </w:rPr>
        <w:t>Thinking</w:t>
      </w:r>
      <w:proofErr w:type="spellEnd"/>
      <w:r>
        <w:rPr>
          <w:rFonts w:ascii="Traditional Arabic" w:eastAsia="Traditional Arabic" w:hAnsi="Traditional Arabic" w:cs="Traditional Arabic"/>
          <w:color w:val="1A1A1A"/>
          <w:sz w:val="24"/>
          <w:szCs w:val="24"/>
          <w:rtl/>
        </w:rPr>
        <w:t>)، و"الإرادة" (</w:t>
      </w:r>
      <w:proofErr w:type="spellStart"/>
      <w:r>
        <w:rPr>
          <w:rFonts w:ascii="Traditional Arabic" w:eastAsia="Traditional Arabic" w:hAnsi="Traditional Arabic" w:cs="Traditional Arabic"/>
          <w:color w:val="1A1A1A"/>
          <w:sz w:val="24"/>
          <w:szCs w:val="24"/>
          <w:rtl/>
        </w:rPr>
        <w:t>Willing</w:t>
      </w:r>
      <w:proofErr w:type="spellEnd"/>
      <w:r>
        <w:rPr>
          <w:rFonts w:ascii="Traditional Arabic" w:eastAsia="Traditional Arabic" w:hAnsi="Traditional Arabic" w:cs="Traditional Arabic"/>
          <w:color w:val="1A1A1A"/>
          <w:sz w:val="24"/>
          <w:szCs w:val="24"/>
          <w:rtl/>
        </w:rPr>
        <w:t>)، و"الحكم" (</w:t>
      </w:r>
      <w:proofErr w:type="spellStart"/>
      <w:r>
        <w:rPr>
          <w:rFonts w:ascii="Traditional Arabic" w:eastAsia="Traditional Arabic" w:hAnsi="Traditional Arabic" w:cs="Traditional Arabic"/>
          <w:color w:val="1A1A1A"/>
          <w:sz w:val="24"/>
          <w:szCs w:val="24"/>
          <w:rtl/>
        </w:rPr>
        <w:t>Judging</w:t>
      </w:r>
      <w:proofErr w:type="spellEnd"/>
      <w:r>
        <w:rPr>
          <w:rFonts w:ascii="Traditional Arabic" w:eastAsia="Traditional Arabic" w:hAnsi="Traditional Arabic" w:cs="Traditional Arabic"/>
          <w:color w:val="1A1A1A"/>
          <w:sz w:val="24"/>
          <w:szCs w:val="24"/>
          <w:rtl/>
        </w:rPr>
        <w:t>). و"تنبه" "</w:t>
      </w:r>
      <w:proofErr w:type="spellStart"/>
      <w:r>
        <w:rPr>
          <w:rFonts w:ascii="Traditional Arabic" w:eastAsia="Traditional Arabic" w:hAnsi="Traditional Arabic" w:cs="Traditional Arabic"/>
          <w:color w:val="1A1A1A"/>
          <w:sz w:val="24"/>
          <w:szCs w:val="24"/>
          <w:rtl/>
        </w:rPr>
        <w:t>أرندت</w:t>
      </w:r>
      <w:proofErr w:type="spellEnd"/>
      <w:r>
        <w:rPr>
          <w:rFonts w:ascii="Traditional Arabic" w:eastAsia="Traditional Arabic" w:hAnsi="Traditional Arabic" w:cs="Traditional Arabic"/>
          <w:color w:val="1A1A1A"/>
          <w:sz w:val="24"/>
          <w:szCs w:val="24"/>
          <w:rtl/>
        </w:rPr>
        <w:t>" إلى "خطورة" "غياب" "التفكير" – لا "غياب" "الذكاء" – في "تفسيرها" "لتفاهة الشر" (</w:t>
      </w:r>
      <w:proofErr w:type="spellStart"/>
      <w:r>
        <w:rPr>
          <w:rFonts w:ascii="Traditional Arabic" w:eastAsia="Traditional Arabic" w:hAnsi="Traditional Arabic" w:cs="Traditional Arabic"/>
          <w:color w:val="1A1A1A"/>
          <w:sz w:val="24"/>
          <w:szCs w:val="24"/>
          <w:rtl/>
        </w:rPr>
        <w:t>Banality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Evil</w:t>
      </w:r>
      <w:proofErr w:type="spellEnd"/>
      <w:r>
        <w:rPr>
          <w:rFonts w:ascii="Traditional Arabic" w:eastAsia="Traditional Arabic" w:hAnsi="Traditional Arabic" w:cs="Traditional Arabic"/>
          <w:color w:val="1A1A1A"/>
          <w:sz w:val="24"/>
          <w:szCs w:val="24"/>
          <w:rtl/>
        </w:rPr>
        <w:t>) لدى "الأشخاص" الذين "ارتكبوا" "جرائم" "فظيعة" دون أن "يتوقفوا" لحظة "للتفكر" في "معنى" "ما يفعلون" [8].</w:t>
      </w:r>
    </w:p>
    <w:p w14:paraId="60503E7F"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وهذا "التمييز" </w:t>
      </w:r>
      <w:proofErr w:type="spellStart"/>
      <w:r>
        <w:rPr>
          <w:rFonts w:ascii="Traditional Arabic" w:eastAsia="Traditional Arabic" w:hAnsi="Traditional Arabic" w:cs="Traditional Arabic"/>
          <w:color w:val="1A1A1A"/>
          <w:sz w:val="24"/>
          <w:szCs w:val="24"/>
          <w:rtl/>
        </w:rPr>
        <w:t>الأرندتي</w:t>
      </w:r>
      <w:proofErr w:type="spellEnd"/>
      <w:r>
        <w:rPr>
          <w:rFonts w:ascii="Traditional Arabic" w:eastAsia="Traditional Arabic" w:hAnsi="Traditional Arabic" w:cs="Traditional Arabic"/>
          <w:color w:val="1A1A1A"/>
          <w:sz w:val="24"/>
          <w:szCs w:val="24"/>
          <w:rtl/>
        </w:rPr>
        <w:t xml:space="preserve"> بين "الذكاء" التنفيذي و"التفكير" التأملي "يتقاطع" بعمق مع "التمييز" الذي "يقيمه" "الزراع" بين "الذكاء" (</w:t>
      </w:r>
      <w:proofErr w:type="spellStart"/>
      <w:r>
        <w:rPr>
          <w:rFonts w:ascii="Traditional Arabic" w:eastAsia="Traditional Arabic" w:hAnsi="Traditional Arabic" w:cs="Traditional Arabic"/>
          <w:color w:val="1A1A1A"/>
          <w:sz w:val="24"/>
          <w:szCs w:val="24"/>
          <w:rtl/>
        </w:rPr>
        <w:t>Intelligence</w:t>
      </w:r>
      <w:proofErr w:type="spellEnd"/>
      <w:r>
        <w:rPr>
          <w:rFonts w:ascii="Traditional Arabic" w:eastAsia="Traditional Arabic" w:hAnsi="Traditional Arabic" w:cs="Traditional Arabic"/>
          <w:color w:val="1A1A1A"/>
          <w:sz w:val="24"/>
          <w:szCs w:val="24"/>
          <w:rtl/>
        </w:rPr>
        <w:t>) و"العقل" (</w:t>
      </w:r>
      <w:proofErr w:type="spellStart"/>
      <w:r>
        <w:rPr>
          <w:rFonts w:ascii="Traditional Arabic" w:eastAsia="Traditional Arabic" w:hAnsi="Traditional Arabic" w:cs="Traditional Arabic"/>
          <w:color w:val="1A1A1A"/>
          <w:sz w:val="24"/>
          <w:szCs w:val="24"/>
          <w:rtl/>
        </w:rPr>
        <w:t>ʿAql</w:t>
      </w:r>
      <w:proofErr w:type="spellEnd"/>
      <w:r>
        <w:rPr>
          <w:rFonts w:ascii="Traditional Arabic" w:eastAsia="Traditional Arabic" w:hAnsi="Traditional Arabic" w:cs="Traditional Arabic"/>
          <w:color w:val="1A1A1A"/>
          <w:sz w:val="24"/>
          <w:szCs w:val="24"/>
          <w:rtl/>
        </w:rPr>
        <w:t>) – كما سيأتي تفصيله في الفصل الثالث. فـ"الشخص" الذي "لا يعقل" في "اللغة القرآنية" ليس بالضرورة "شخصاً" "غبياً"، بل هو "شخص" "معطل" "ملكة" "التفكر" و"الاستبصار" و"المساءلة الأخلاقية"، تماماً كما "وصفت" "</w:t>
      </w:r>
      <w:proofErr w:type="spellStart"/>
      <w:r>
        <w:rPr>
          <w:rFonts w:ascii="Traditional Arabic" w:eastAsia="Traditional Arabic" w:hAnsi="Traditional Arabic" w:cs="Traditional Arabic"/>
          <w:color w:val="1A1A1A"/>
          <w:sz w:val="24"/>
          <w:szCs w:val="24"/>
          <w:rtl/>
        </w:rPr>
        <w:t>أرندت</w:t>
      </w:r>
      <w:proofErr w:type="spellEnd"/>
      <w:r>
        <w:rPr>
          <w:rFonts w:ascii="Traditional Arabic" w:eastAsia="Traditional Arabic" w:hAnsi="Traditional Arabic" w:cs="Traditional Arabic"/>
          <w:color w:val="1A1A1A"/>
          <w:sz w:val="24"/>
          <w:szCs w:val="24"/>
          <w:rtl/>
        </w:rPr>
        <w:t>" "أدولف أيخمان" بأنه لم "يكن" "وحشاً" بل "رجلاً" "عادياً" "عطّل" "قدرته" على "التفكير" في "عواقب" "أفعاله". غير أن "الزراع" "يذهب" "أبعد" من "</w:t>
      </w:r>
      <w:proofErr w:type="spellStart"/>
      <w:r>
        <w:rPr>
          <w:rFonts w:ascii="Traditional Arabic" w:eastAsia="Traditional Arabic" w:hAnsi="Traditional Arabic" w:cs="Traditional Arabic"/>
          <w:color w:val="1A1A1A"/>
          <w:sz w:val="24"/>
          <w:szCs w:val="24"/>
          <w:rtl/>
        </w:rPr>
        <w:t>أرندت</w:t>
      </w:r>
      <w:proofErr w:type="spellEnd"/>
      <w:r>
        <w:rPr>
          <w:rFonts w:ascii="Traditional Arabic" w:eastAsia="Traditional Arabic" w:hAnsi="Traditional Arabic" w:cs="Traditional Arabic"/>
          <w:color w:val="1A1A1A"/>
          <w:sz w:val="24"/>
          <w:szCs w:val="24"/>
          <w:rtl/>
        </w:rPr>
        <w:t>" حين "يربط" "هذا التعطيل" بـ"مفهوم" "عمى القلب" القرآني، فيمنح "التفسير" "</w:t>
      </w:r>
      <w:proofErr w:type="spellStart"/>
      <w:r>
        <w:rPr>
          <w:rFonts w:ascii="Traditional Arabic" w:eastAsia="Traditional Arabic" w:hAnsi="Traditional Arabic" w:cs="Traditional Arabic"/>
          <w:color w:val="1A1A1A"/>
          <w:sz w:val="24"/>
          <w:szCs w:val="24"/>
          <w:rtl/>
        </w:rPr>
        <w:t>الأرندتي</w:t>
      </w:r>
      <w:proofErr w:type="spellEnd"/>
      <w:r>
        <w:rPr>
          <w:rFonts w:ascii="Traditional Arabic" w:eastAsia="Traditional Arabic" w:hAnsi="Traditional Arabic" w:cs="Traditional Arabic"/>
          <w:color w:val="1A1A1A"/>
          <w:sz w:val="24"/>
          <w:szCs w:val="24"/>
          <w:rtl/>
        </w:rPr>
        <w:t>" – الذي "ظل" "علمانياً" "محضاً" – "عمقاً" "أنطولوجياً" "روحياً" يفسر "لماذا" "يحدث" "هذا التعطيل" أصلاً، لا "كيف" "يتجلى" فحسب.</w:t>
      </w:r>
    </w:p>
    <w:p w14:paraId="017A81E8" w14:textId="77777777" w:rsidR="003D296D" w:rsidRDefault="00EE46CD" w:rsidP="006B79BE">
      <w:pPr>
        <w:pStyle w:val="1"/>
        <w:pBdr>
          <w:bottom w:val="single" w:sz="10" w:space="6" w:color="1B2A4A"/>
        </w:pBdr>
        <w:bidi/>
        <w:spacing w:before="400" w:after="200"/>
      </w:pPr>
      <w:r>
        <w:rPr>
          <w:rFonts w:ascii="Traditional Arabic" w:eastAsia="Traditional Arabic" w:hAnsi="Traditional Arabic" w:cs="Traditional Arabic"/>
          <w:b/>
          <w:bCs/>
          <w:color w:val="1B2A4A"/>
          <w:sz w:val="30"/>
          <w:szCs w:val="30"/>
          <w:rtl/>
        </w:rPr>
        <w:t xml:space="preserve">الفصل الثاني: "الوظيفة </w:t>
      </w:r>
      <w:proofErr w:type="spellStart"/>
      <w:r>
        <w:rPr>
          <w:rFonts w:ascii="Traditional Arabic" w:eastAsia="Traditional Arabic" w:hAnsi="Traditional Arabic" w:cs="Traditional Arabic"/>
          <w:b/>
          <w:bCs/>
          <w:color w:val="1B2A4A"/>
          <w:sz w:val="30"/>
          <w:szCs w:val="30"/>
          <w:rtl/>
        </w:rPr>
        <w:t>السُّننية</w:t>
      </w:r>
      <w:proofErr w:type="spellEnd"/>
      <w:r>
        <w:rPr>
          <w:rFonts w:ascii="Traditional Arabic" w:eastAsia="Traditional Arabic" w:hAnsi="Traditional Arabic" w:cs="Traditional Arabic"/>
          <w:b/>
          <w:bCs/>
          <w:color w:val="1B2A4A"/>
          <w:sz w:val="30"/>
          <w:szCs w:val="30"/>
          <w:rtl/>
        </w:rPr>
        <w:t>" للعقل – "قراءة" "المسطور" و"المنظور"</w:t>
      </w:r>
    </w:p>
    <w:p w14:paraId="53D646BF" w14:textId="77777777" w:rsidR="003D296D" w:rsidRDefault="00EE46CD" w:rsidP="006B79BE">
      <w:pPr>
        <w:pStyle w:val="2"/>
        <w:bidi/>
        <w:spacing w:before="300" w:after="160"/>
      </w:pPr>
      <w:r>
        <w:rPr>
          <w:rFonts w:ascii="Traditional Arabic" w:eastAsia="Traditional Arabic" w:hAnsi="Traditional Arabic" w:cs="Traditional Arabic"/>
          <w:b/>
          <w:bCs/>
          <w:color w:val="0E6E6E"/>
          <w:rtl/>
        </w:rPr>
        <w:t>2.1 "السنن الغائية" و"السنن السببية": "تكامل" لا "تناقض"</w:t>
      </w:r>
    </w:p>
    <w:p w14:paraId="5E64E055"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من أبرز "إسهامات" "الزراع" في "فلسفة العقل" هو "تطويره" لمفهوم "الوظيفة </w:t>
      </w:r>
      <w:proofErr w:type="spellStart"/>
      <w:r>
        <w:rPr>
          <w:rFonts w:ascii="Traditional Arabic" w:eastAsia="Traditional Arabic" w:hAnsi="Traditional Arabic" w:cs="Traditional Arabic"/>
          <w:color w:val="1A1A1A"/>
          <w:sz w:val="24"/>
          <w:szCs w:val="24"/>
          <w:rtl/>
        </w:rPr>
        <w:t>السُّننية</w:t>
      </w:r>
      <w:proofErr w:type="spellEnd"/>
      <w:r>
        <w:rPr>
          <w:rFonts w:ascii="Traditional Arabic" w:eastAsia="Traditional Arabic" w:hAnsi="Traditional Arabic" w:cs="Traditional Arabic"/>
          <w:color w:val="1A1A1A"/>
          <w:sz w:val="24"/>
          <w:szCs w:val="24"/>
          <w:rtl/>
        </w:rPr>
        <w:t>" للعقل. فـ"العقل" – في "هذا التصور" – لا "يقتصر" على "فهم" "القوانين" "المادية" التي "تحكم" "الكون" (السنن السببية)، بل "يمتد" ليشمل "فهم" "الغايات" و"المعاني" التي "تكمن" وراء "هذه القوانين" (السنن الغائية).</w:t>
      </w:r>
    </w:p>
    <w:p w14:paraId="5EFF051A"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وهذا "التمييز" – بين "السنن السببية" و"السنن الغائية" – هو "تمييز" "منهجي" "بالغ الأهمية". فـ"العقل" – في "النموذج المادي" – "يقرأ" "الكون" "قراءة" "أفقية" "</w:t>
      </w:r>
      <w:proofErr w:type="spellStart"/>
      <w:r>
        <w:rPr>
          <w:rFonts w:ascii="Traditional Arabic" w:eastAsia="Traditional Arabic" w:hAnsi="Traditional Arabic" w:cs="Traditional Arabic"/>
          <w:color w:val="1A1A1A"/>
          <w:sz w:val="24"/>
          <w:szCs w:val="24"/>
          <w:rtl/>
        </w:rPr>
        <w:t>محايثة</w:t>
      </w:r>
      <w:proofErr w:type="spellEnd"/>
      <w:r>
        <w:rPr>
          <w:rFonts w:ascii="Traditional Arabic" w:eastAsia="Traditional Arabic" w:hAnsi="Traditional Arabic" w:cs="Traditional Arabic"/>
          <w:color w:val="1A1A1A"/>
          <w:sz w:val="24"/>
          <w:szCs w:val="24"/>
          <w:rtl/>
        </w:rPr>
        <w:t>": يسأل "كيف" تعمل "الأشياء"؟ وما هي "الآليات" التي "تحكمها"؟ وهذا – بلا شك – "ضروري" و"مفيد"، لكنه "غير كافٍ". فـ"الإنسان" – بوصفه "خليفة" – "يحتاج" أيضاً إلى "قراءة" "عمودية" "متعالية": يسأل "لماذا" وُجدت "هذه الأشياء"؟ وما هي "الغاية" من "وجودها"؟ وكيف "نستخدمها" في "عمارة الأرض" و"عبادة الله"؟</w:t>
      </w:r>
    </w:p>
    <w:p w14:paraId="7873A9AF"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و"العقل الاستخلافي" – كما "يصفه" "الزراع" – هو "العقل" الذي "يُوازن" بين "هاتين القراءتين"، و"يربط" بين "السبب" و"الغاية"، و"يجعل" من "حركة الإنسان في الأرض" "فعلاً تعبدياً واعياً" [875، 921، 1100].</w:t>
      </w:r>
    </w:p>
    <w:p w14:paraId="0841865B" w14:textId="77777777" w:rsidR="003D296D" w:rsidRDefault="00EE46CD" w:rsidP="006B79BE">
      <w:pPr>
        <w:pStyle w:val="2"/>
        <w:bidi/>
        <w:spacing w:before="300" w:after="160"/>
      </w:pPr>
      <w:r>
        <w:rPr>
          <w:rFonts w:ascii="Traditional Arabic" w:eastAsia="Traditional Arabic" w:hAnsi="Traditional Arabic" w:cs="Traditional Arabic"/>
          <w:b/>
          <w:bCs/>
          <w:color w:val="0E6E6E"/>
          <w:rtl/>
        </w:rPr>
        <w:t>2.2 "باسم ربك" و"وربك الأكرم": "القسمان" و"الوظيفتان"</w:t>
      </w:r>
    </w:p>
    <w:p w14:paraId="54CBF433"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يستند "الزراع" في "تطويره" لهذا "المفهوم" إلى "أول" ما "نزل" من "القرآن الكريم":</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3D296D" w14:paraId="3BA30E13" w14:textId="77777777">
        <w:tc>
          <w:tcPr>
            <w:tcW w:w="9000" w:type="dxa"/>
            <w:tcBorders>
              <w:top w:val="single" w:sz="12" w:space="0" w:color="B8912F"/>
              <w:left w:val="single" w:sz="12" w:space="0" w:color="B8912F"/>
              <w:bottom w:val="single" w:sz="12" w:space="0" w:color="B8912F"/>
              <w:right w:val="single" w:sz="12" w:space="0" w:color="B8912F"/>
            </w:tcBorders>
            <w:shd w:val="clear" w:color="auto" w:fill="FBF6E9"/>
            <w:tcMar>
              <w:top w:w="200" w:type="dxa"/>
              <w:left w:w="300" w:type="dxa"/>
              <w:bottom w:w="200" w:type="dxa"/>
              <w:right w:w="300" w:type="dxa"/>
            </w:tcMar>
          </w:tcPr>
          <w:p w14:paraId="2F6429A3" w14:textId="77777777" w:rsidR="003D296D" w:rsidRDefault="00EE46CD" w:rsidP="006B79BE">
            <w:pPr>
              <w:spacing w:after="80"/>
            </w:pPr>
            <w:r>
              <w:rPr>
                <w:rFonts w:ascii="Traditional Arabic" w:eastAsia="Traditional Arabic" w:hAnsi="Traditional Arabic" w:cs="Traditional Arabic"/>
                <w:b/>
                <w:bCs/>
                <w:color w:val="1B2A4A"/>
                <w:sz w:val="26"/>
                <w:szCs w:val="26"/>
                <w:rtl/>
              </w:rPr>
              <w:t>{اقْرَأْ بِاسْمِ رَبِّكَ الَّذِي خَلَقَ}</w:t>
            </w:r>
          </w:p>
          <w:p w14:paraId="309E1547" w14:textId="77777777" w:rsidR="003D296D" w:rsidRDefault="00EE46CD" w:rsidP="006B79BE">
            <w:r>
              <w:rPr>
                <w:rFonts w:ascii="Traditional Arabic" w:eastAsia="Traditional Arabic" w:hAnsi="Traditional Arabic" w:cs="Traditional Arabic"/>
                <w:i/>
                <w:iCs/>
                <w:color w:val="0E6E6E"/>
                <w:rtl/>
              </w:rPr>
              <w:t>[العلق: 1]</w:t>
            </w:r>
          </w:p>
        </w:tc>
      </w:tr>
    </w:tbl>
    <w:p w14:paraId="795FBB1A" w14:textId="77777777" w:rsidR="003D296D" w:rsidRDefault="003D296D" w:rsidP="006B79BE">
      <w:pPr>
        <w:spacing w:after="160"/>
      </w:pPr>
    </w:p>
    <w:p w14:paraId="6899CA3B"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فـ"الأمر" "الإلهي" الأول للإنسان هو "أن يقرأ". لكن "القراءة" – هنا – ليست "قراءة" "محايدة" أو "عبثية"، بل هي "قراءة" "باسم الرب": "قراءة" "مُرتبطة" بـ"الخالق" </w:t>
      </w:r>
      <w:proofErr w:type="spellStart"/>
      <w:r>
        <w:rPr>
          <w:rFonts w:ascii="Traditional Arabic" w:eastAsia="Traditional Arabic" w:hAnsi="Traditional Arabic" w:cs="Traditional Arabic"/>
          <w:color w:val="1A1A1A"/>
          <w:sz w:val="24"/>
          <w:szCs w:val="24"/>
          <w:rtl/>
        </w:rPr>
        <w:t>و"مُوجهة</w:t>
      </w:r>
      <w:proofErr w:type="spellEnd"/>
      <w:r>
        <w:rPr>
          <w:rFonts w:ascii="Traditional Arabic" w:eastAsia="Traditional Arabic" w:hAnsi="Traditional Arabic" w:cs="Traditional Arabic"/>
          <w:color w:val="1A1A1A"/>
          <w:sz w:val="24"/>
          <w:szCs w:val="24"/>
          <w:rtl/>
        </w:rPr>
        <w:t>" بـ"الوحي".</w:t>
      </w:r>
    </w:p>
    <w:p w14:paraId="6EF027F3"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و"الزراع" "يُفرق" بين "قسمي" "السورة":</w:t>
      </w:r>
    </w:p>
    <w:p w14:paraId="0E399269" w14:textId="77777777" w:rsidR="003D296D" w:rsidRDefault="00EE46CD" w:rsidP="006B79BE">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"باسم ربك": وهي "القراءة" "الغائية": "قراءة" "الوجود" "للبحث" عن "المعنى" و"الحكمة" و"الغاية" (لماذا خُلقنا؟ وإلامَ نسير؟).</w:t>
      </w:r>
    </w:p>
    <w:p w14:paraId="51B286A8" w14:textId="77777777" w:rsidR="003D296D" w:rsidRDefault="00EE46CD" w:rsidP="006B79BE">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"وربك الأكرم": وهي "القراءة" "السببية": "قراءة" "الوجود" "للبحث" عن "القوانين" و"الآليات" و"الوسائل" (كيف نعيش؟ وكيف نعمر؟ وكيف نسخر؟).</w:t>
      </w:r>
    </w:p>
    <w:p w14:paraId="48E4C3EE"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 xml:space="preserve">و"العقل" – في "النظرية الاستخلافية" – هو "الأداة" التي "تقرأ" "القسمين" معاً، و"تربط" بينهما، و"تنتج" من "تفاعلهما" "الإنسان </w:t>
      </w:r>
      <w:proofErr w:type="spellStart"/>
      <w:r>
        <w:rPr>
          <w:rFonts w:ascii="Traditional Arabic" w:eastAsia="Traditional Arabic" w:hAnsi="Traditional Arabic" w:cs="Traditional Arabic"/>
          <w:color w:val="1A1A1A"/>
          <w:sz w:val="24"/>
          <w:szCs w:val="24"/>
          <w:rtl/>
        </w:rPr>
        <w:t>السُّنَني</w:t>
      </w:r>
      <w:proofErr w:type="spellEnd"/>
      <w:r>
        <w:rPr>
          <w:rFonts w:ascii="Traditional Arabic" w:eastAsia="Traditional Arabic" w:hAnsi="Traditional Arabic" w:cs="Traditional Arabic"/>
          <w:color w:val="1A1A1A"/>
          <w:sz w:val="24"/>
          <w:szCs w:val="24"/>
          <w:rtl/>
        </w:rPr>
        <w:t>" الذي "يعيش" في "الأرض" لكنه "يتطلع" إلى "السماء" [2].</w:t>
      </w:r>
    </w:p>
    <w:p w14:paraId="0B3D66B1" w14:textId="433897F8" w:rsidR="003D296D" w:rsidRDefault="00EE46CD" w:rsidP="006B79BE">
      <w:pPr>
        <w:pStyle w:val="2"/>
        <w:bidi/>
        <w:spacing w:before="300" w:after="160"/>
      </w:pPr>
      <w:r>
        <w:rPr>
          <w:rFonts w:ascii="Traditional Arabic" w:eastAsia="Traditional Arabic" w:hAnsi="Traditional Arabic" w:cs="Traditional Arabic"/>
          <w:b/>
          <w:bCs/>
          <w:color w:val="0E6E6E"/>
          <w:rtl/>
        </w:rPr>
        <w:t xml:space="preserve">2.3 نقد </w:t>
      </w:r>
      <w:proofErr w:type="spellStart"/>
      <w:r>
        <w:rPr>
          <w:rFonts w:ascii="Traditional Arabic" w:eastAsia="Traditional Arabic" w:hAnsi="Traditional Arabic" w:cs="Traditional Arabic"/>
          <w:b/>
          <w:bCs/>
          <w:color w:val="0E6E6E"/>
          <w:rtl/>
        </w:rPr>
        <w:t>ابستمولوجي</w:t>
      </w:r>
      <w:proofErr w:type="spellEnd"/>
      <w:r>
        <w:rPr>
          <w:rFonts w:ascii="Traditional Arabic" w:eastAsia="Traditional Arabic" w:hAnsi="Traditional Arabic" w:cs="Traditional Arabic"/>
          <w:b/>
          <w:bCs/>
          <w:color w:val="0E6E6E"/>
          <w:rtl/>
        </w:rPr>
        <w:t xml:space="preserve">: هل "الوظيفة </w:t>
      </w:r>
      <w:proofErr w:type="spellStart"/>
      <w:r>
        <w:rPr>
          <w:rFonts w:ascii="Traditional Arabic" w:eastAsia="Traditional Arabic" w:hAnsi="Traditional Arabic" w:cs="Traditional Arabic"/>
          <w:b/>
          <w:bCs/>
          <w:color w:val="0E6E6E"/>
          <w:rtl/>
        </w:rPr>
        <w:t>السننية</w:t>
      </w:r>
      <w:proofErr w:type="spellEnd"/>
      <w:r>
        <w:rPr>
          <w:rFonts w:ascii="Traditional Arabic" w:eastAsia="Traditional Arabic" w:hAnsi="Traditional Arabic" w:cs="Traditional Arabic"/>
          <w:b/>
          <w:bCs/>
          <w:color w:val="0E6E6E"/>
          <w:rtl/>
        </w:rPr>
        <w:t>" وقوع في "المغالطة الطبيعية"؟</w:t>
      </w:r>
    </w:p>
    <w:p w14:paraId="4D9956FD"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يثير "الدمج" بين "القراءة السببية" و"القراءة الغائية" "اعتراضاً" "فلسفياً" "كلاسيكياً" يستحق "المناقشة": هو "اعتراض" "المغالطة الطبيعية" (</w:t>
      </w:r>
      <w:proofErr w:type="spellStart"/>
      <w:r>
        <w:rPr>
          <w:rFonts w:ascii="Traditional Arabic" w:eastAsia="Traditional Arabic" w:hAnsi="Traditional Arabic" w:cs="Traditional Arabic"/>
          <w:color w:val="1A1A1A"/>
          <w:sz w:val="24"/>
          <w:szCs w:val="24"/>
          <w:rtl/>
        </w:rPr>
        <w:t>Naturalistic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Fallacy</w:t>
      </w:r>
      <w:proofErr w:type="spellEnd"/>
      <w:r>
        <w:rPr>
          <w:rFonts w:ascii="Traditional Arabic" w:eastAsia="Traditional Arabic" w:hAnsi="Traditional Arabic" w:cs="Traditional Arabic"/>
          <w:color w:val="1A1A1A"/>
          <w:sz w:val="24"/>
          <w:szCs w:val="24"/>
          <w:rtl/>
        </w:rPr>
        <w:t>) الذي "صاغه" "ديفيد هيوم" في "أطروحته" الشهيرة عن "استحالة" استنتاج "ما ينبغي أن يكون" (</w:t>
      </w:r>
      <w:proofErr w:type="spellStart"/>
      <w:r>
        <w:rPr>
          <w:rFonts w:ascii="Traditional Arabic" w:eastAsia="Traditional Arabic" w:hAnsi="Traditional Arabic" w:cs="Traditional Arabic"/>
          <w:color w:val="1A1A1A"/>
          <w:sz w:val="24"/>
          <w:szCs w:val="24"/>
          <w:rtl/>
        </w:rPr>
        <w:t>Ought</w:t>
      </w:r>
      <w:proofErr w:type="spellEnd"/>
      <w:r>
        <w:rPr>
          <w:rFonts w:ascii="Traditional Arabic" w:eastAsia="Traditional Arabic" w:hAnsi="Traditional Arabic" w:cs="Traditional Arabic"/>
          <w:color w:val="1A1A1A"/>
          <w:sz w:val="24"/>
          <w:szCs w:val="24"/>
          <w:rtl/>
        </w:rPr>
        <w:t>) من "ما هو كائن" (</w:t>
      </w:r>
      <w:proofErr w:type="spellStart"/>
      <w:r>
        <w:rPr>
          <w:rFonts w:ascii="Traditional Arabic" w:eastAsia="Traditional Arabic" w:hAnsi="Traditional Arabic" w:cs="Traditional Arabic"/>
          <w:color w:val="1A1A1A"/>
          <w:sz w:val="24"/>
          <w:szCs w:val="24"/>
          <w:rtl/>
        </w:rPr>
        <w:t>Is</w:t>
      </w:r>
      <w:proofErr w:type="spellEnd"/>
      <w:r>
        <w:rPr>
          <w:rFonts w:ascii="Traditional Arabic" w:eastAsia="Traditional Arabic" w:hAnsi="Traditional Arabic" w:cs="Traditional Arabic"/>
          <w:color w:val="1A1A1A"/>
          <w:sz w:val="24"/>
          <w:szCs w:val="24"/>
          <w:rtl/>
        </w:rPr>
        <w:t>) بمجرد "الوصف" "الواقعي" للظواهر. فهل "استخلاص" "غاية" "متعالية" (لماذا خُلق الكون؟) من "قراءة" "الظواهر" "الطبيعية" (كيف يعمل الكون؟) هو "وقوع" في "هذه المغالطة"؟</w:t>
      </w:r>
    </w:p>
    <w:p w14:paraId="0EAAF4B7"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"الجواب الاستخلافي" على "هذا الاعتراض" يقوم على "تفكيك" "</w:t>
      </w:r>
      <w:proofErr w:type="spellStart"/>
      <w:r>
        <w:rPr>
          <w:rFonts w:ascii="Traditional Arabic" w:eastAsia="Traditional Arabic" w:hAnsi="Traditional Arabic" w:cs="Traditional Arabic"/>
          <w:color w:val="1A1A1A"/>
          <w:sz w:val="24"/>
          <w:szCs w:val="24"/>
          <w:rtl/>
        </w:rPr>
        <w:t>منطلقه</w:t>
      </w:r>
      <w:proofErr w:type="spellEnd"/>
      <w:r>
        <w:rPr>
          <w:rFonts w:ascii="Traditional Arabic" w:eastAsia="Traditional Arabic" w:hAnsi="Traditional Arabic" w:cs="Traditional Arabic"/>
          <w:color w:val="1A1A1A"/>
          <w:sz w:val="24"/>
          <w:szCs w:val="24"/>
          <w:rtl/>
        </w:rPr>
        <w:t xml:space="preserve">" ذاته: فـ"مغالطة" هيوم "صحيحة" فقط "إذا افترضنا" أن "الوصف" "الطبيعي" "منقطع" "ابتداءً" عن "أي غائية" – وهو "بالضبط" "الافتراض" "المادي" الذي "يرفضه" "النموذج الاستخلافي". فـ"القراءة السببية" في "الرؤية القرآنية" ليست "معطى" "محايداً" "خالياً" من "الدلالة"، بل هي – من "البداية" – "آيات" (علامات دالة)، والآية بحكم "طبيعتها" "اللغوية" و"الدينية" "تستلزم" "مُشيراً" </w:t>
      </w:r>
      <w:proofErr w:type="spellStart"/>
      <w:r>
        <w:rPr>
          <w:rFonts w:ascii="Traditional Arabic" w:eastAsia="Traditional Arabic" w:hAnsi="Traditional Arabic" w:cs="Traditional Arabic"/>
          <w:color w:val="1A1A1A"/>
          <w:sz w:val="24"/>
          <w:szCs w:val="24"/>
          <w:rtl/>
        </w:rPr>
        <w:t>و"مدلولاً</w:t>
      </w:r>
      <w:proofErr w:type="spellEnd"/>
      <w:r>
        <w:rPr>
          <w:rFonts w:ascii="Traditional Arabic" w:eastAsia="Traditional Arabic" w:hAnsi="Traditional Arabic" w:cs="Traditional Arabic"/>
          <w:color w:val="1A1A1A"/>
          <w:sz w:val="24"/>
          <w:szCs w:val="24"/>
          <w:rtl/>
        </w:rPr>
        <w:t>" و"غاية". فـ"الانتقال" من "السنن السببية" إلى "السنن الغائية" ليس "قفزة" "استدلالية" "غير مشروعة" من "حقل" إلى "حقل" مختلف، بل هو "كشف" لـ"بنية" "دلالية" "كامنة" أصلاً في "مفهوم" "الآية" نفسه، بشرط أن "يُقرأ" "الكون" – من "البدء" – بوصفه "نصاً" لا "مجرد" "مادة" صماء. وهذا "بالضبط" هو "الفارق" بين "قراءة علمية بحتة" (تفترض حياد الطبيعة) و"قراءة استخلافية" (تفترض أن الطبيعة "مسطورة" بقلم إلهي، ومن ثم فهي "دالة" على غايتها بذاتها).</w:t>
      </w:r>
    </w:p>
    <w:p w14:paraId="4F7ACAED" w14:textId="77777777" w:rsidR="003D296D" w:rsidRDefault="00EE46CD" w:rsidP="006B79BE">
      <w:pPr>
        <w:pStyle w:val="1"/>
        <w:pBdr>
          <w:bottom w:val="single" w:sz="10" w:space="6" w:color="1B2A4A"/>
        </w:pBdr>
        <w:bidi/>
        <w:spacing w:before="400" w:after="200"/>
      </w:pPr>
      <w:r>
        <w:rPr>
          <w:rFonts w:ascii="Traditional Arabic" w:eastAsia="Traditional Arabic" w:hAnsi="Traditional Arabic" w:cs="Traditional Arabic"/>
          <w:b/>
          <w:bCs/>
          <w:color w:val="1B2A4A"/>
          <w:sz w:val="30"/>
          <w:szCs w:val="30"/>
          <w:rtl/>
        </w:rPr>
        <w:t>الفصل الثالث: "العقل" و"القلب" – "جدلية" "الإدراك" و"الإيمان"</w:t>
      </w:r>
    </w:p>
    <w:p w14:paraId="34C7B3A6" w14:textId="77777777" w:rsidR="003D296D" w:rsidRDefault="00EE46CD" w:rsidP="006B79BE">
      <w:pPr>
        <w:pStyle w:val="2"/>
        <w:bidi/>
        <w:spacing w:before="300" w:after="160"/>
      </w:pPr>
      <w:r>
        <w:rPr>
          <w:rFonts w:ascii="Traditional Arabic" w:eastAsia="Traditional Arabic" w:hAnsi="Traditional Arabic" w:cs="Traditional Arabic"/>
          <w:b/>
          <w:bCs/>
          <w:color w:val="0E6E6E"/>
          <w:rtl/>
        </w:rPr>
        <w:t>3.1 "القلب" بوصفه "مركز العقل": "العمى الحقيقي" و"البصيرة"</w:t>
      </w:r>
    </w:p>
    <w:p w14:paraId="6C43C111" w14:textId="77777777" w:rsidR="003D296D" w:rsidRDefault="00EE46CD" w:rsidP="006B79BE">
      <w:pPr>
        <w:spacing w:after="180" w:line="340" w:lineRule="auto"/>
      </w:pPr>
      <w:r>
        <w:rPr>
          <w:rFonts w:ascii="Traditional Arabic" w:eastAsia="Traditional Arabic" w:hAnsi="Traditional Arabic" w:cs="Traditional Arabic"/>
          <w:color w:val="1A1A1A"/>
          <w:sz w:val="24"/>
          <w:szCs w:val="24"/>
          <w:rtl/>
        </w:rPr>
        <w:t>من "أهم" ما "يميز" "النظرية الاستخلافية" للعقل هو "تأكيدها" على "الارتباط العضوي" بين "العقل" و"القلب". فـ"العقل" – في "هذا التصور" – ليس "نشاطاً" "دماغياً" "محضاً"، بل هو "نشاط" "قلبي" "روحي" في "الدرجة الأولى". و"الدليل" على ذلك – كما "يستشهد" "الزراع" – هو "الآيات" "القرآنية" التي "تربط" بين "العمى" و"القلب"، لا بين "العمى" و"البصر":</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3D296D" w14:paraId="4C9A7911" w14:textId="77777777">
        <w:tc>
          <w:tcPr>
            <w:tcW w:w="9000" w:type="dxa"/>
            <w:tcBorders>
              <w:top w:val="single" w:sz="12" w:space="0" w:color="B8912F"/>
              <w:left w:val="single" w:sz="12" w:space="0" w:color="B8912F"/>
              <w:bottom w:val="single" w:sz="12" w:space="0" w:color="B8912F"/>
              <w:right w:val="single" w:sz="12" w:space="0" w:color="B8912F"/>
            </w:tcBorders>
            <w:shd w:val="clear" w:color="auto" w:fill="FBF6E9"/>
            <w:tcMar>
              <w:top w:w="200" w:type="dxa"/>
              <w:left w:w="300" w:type="dxa"/>
              <w:bottom w:w="200" w:type="dxa"/>
              <w:right w:w="300" w:type="dxa"/>
            </w:tcMar>
          </w:tcPr>
          <w:p w14:paraId="7E529A3D" w14:textId="77777777" w:rsidR="003D296D" w:rsidRDefault="00EE46CD">
            <w:pPr>
              <w:spacing w:after="80"/>
              <w:jc w:val="center"/>
            </w:pPr>
            <w:r>
              <w:rPr>
                <w:rFonts w:ascii="Traditional Arabic" w:eastAsia="Traditional Arabic" w:hAnsi="Traditional Arabic" w:cs="Traditional Arabic"/>
                <w:b/>
                <w:bCs/>
                <w:color w:val="1B2A4A"/>
                <w:sz w:val="26"/>
                <w:szCs w:val="26"/>
                <w:rtl/>
              </w:rPr>
              <w:t xml:space="preserve">{فَإِنَّهَا لَا تَعْمَى الْأَبْصَارُ </w:t>
            </w:r>
            <w:proofErr w:type="spellStart"/>
            <w:r>
              <w:rPr>
                <w:rFonts w:ascii="Traditional Arabic" w:eastAsia="Traditional Arabic" w:hAnsi="Traditional Arabic" w:cs="Traditional Arabic"/>
                <w:b/>
                <w:bCs/>
                <w:color w:val="1B2A4A"/>
                <w:sz w:val="26"/>
                <w:szCs w:val="26"/>
                <w:rtl/>
              </w:rPr>
              <w:t>وَلَٰكِن</w:t>
            </w:r>
            <w:proofErr w:type="spellEnd"/>
            <w:r>
              <w:rPr>
                <w:rFonts w:ascii="Traditional Arabic" w:eastAsia="Traditional Arabic" w:hAnsi="Traditional Arabic" w:cs="Traditional Arabic"/>
                <w:b/>
                <w:bCs/>
                <w:color w:val="1B2A4A"/>
                <w:sz w:val="26"/>
                <w:szCs w:val="26"/>
                <w:rtl/>
              </w:rPr>
              <w:t xml:space="preserve"> تَعْمَى الْقُلُوبُ الَّتِي فِي الصُّدُورِ}</w:t>
            </w:r>
          </w:p>
          <w:p w14:paraId="41F41A1C" w14:textId="77777777" w:rsidR="003D296D" w:rsidRDefault="00EE46CD">
            <w:pPr>
              <w:jc w:val="center"/>
            </w:pPr>
            <w:r>
              <w:rPr>
                <w:rFonts w:ascii="Traditional Arabic" w:eastAsia="Traditional Arabic" w:hAnsi="Traditional Arabic" w:cs="Traditional Arabic"/>
                <w:i/>
                <w:iCs/>
                <w:color w:val="0E6E6E"/>
                <w:rtl/>
              </w:rPr>
              <w:t>[الحج: 46]</w:t>
            </w:r>
          </w:p>
        </w:tc>
      </w:tr>
    </w:tbl>
    <w:p w14:paraId="5D23534C" w14:textId="77777777" w:rsidR="003D296D" w:rsidRDefault="003D296D">
      <w:pPr>
        <w:spacing w:after="160"/>
      </w:pPr>
    </w:p>
    <w:p w14:paraId="2F3F6772"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هذا "الارتباط" – بين "العقل" و"القلب" – له "نتائج" "بالغة الأهمية" على "مفهوم" "الصحة" و"المرض" النفسيين. فـ"المرض" – في "النظرية الاستخلافية" – ليس "مجرد" "خلل" في "النواقل العصبية" أو "تشوه" في "المخططات المعرفية"، بل هو – في "العمق" – "عمى" "قلب" و"انقطاع" عن "المصدر". و"العلاج" – بالتالي – ليس "مجرد" "تصحيح" "كيميائي" أو "معرفي"، بل هو – قبل ذلك – "استعادة" "للبصيرة" و"إعادة وصل" "القلب" بـ"خالقه".</w:t>
      </w:r>
    </w:p>
    <w:p w14:paraId="2E705C47" w14:textId="77777777" w:rsidR="003D296D" w:rsidRDefault="00EE46CD" w:rsidP="00E558A7">
      <w:pPr>
        <w:pStyle w:val="2"/>
        <w:bidi/>
        <w:spacing w:before="300" w:after="160"/>
      </w:pPr>
      <w:r>
        <w:rPr>
          <w:rFonts w:ascii="Traditional Arabic" w:eastAsia="Traditional Arabic" w:hAnsi="Traditional Arabic" w:cs="Traditional Arabic"/>
          <w:b/>
          <w:bCs/>
          <w:color w:val="0E6E6E"/>
          <w:rtl/>
        </w:rPr>
        <w:t>3.2 "العقل" و"الذكاء": "فرق" "نوعي" لا "درجي"</w:t>
      </w:r>
    </w:p>
    <w:p w14:paraId="2790DDCC"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انطلاقاً من هذا "التصور"، "يُفرق" "الزراع" – بشكل "حاسم" – بين "العقل" و"الذكاء". فـ"الذكاء" (</w:t>
      </w:r>
      <w:proofErr w:type="spellStart"/>
      <w:r>
        <w:rPr>
          <w:rFonts w:ascii="Traditional Arabic" w:eastAsia="Traditional Arabic" w:hAnsi="Traditional Arabic" w:cs="Traditional Arabic"/>
          <w:color w:val="1A1A1A"/>
          <w:sz w:val="24"/>
          <w:szCs w:val="24"/>
          <w:rtl/>
        </w:rPr>
        <w:t>Intelligence</w:t>
      </w:r>
      <w:proofErr w:type="spellEnd"/>
      <w:r>
        <w:rPr>
          <w:rFonts w:ascii="Traditional Arabic" w:eastAsia="Traditional Arabic" w:hAnsi="Traditional Arabic" w:cs="Traditional Arabic"/>
          <w:color w:val="1A1A1A"/>
          <w:sz w:val="24"/>
          <w:szCs w:val="24"/>
          <w:rtl/>
        </w:rPr>
        <w:t>) – كما "تُعرفه" "المدارس الغربية" – هو "القدرة" على "حل المشكلات" و"التكيف مع البيئة" و"التعلم من الخبرة". وهو "قدرة" "محايدة" "قيمياً": يمكن "للمجرم" أن "يكون" "ذكياً"، كما يمكن "للقديس" أن "يكون" "ذكياً".</w:t>
      </w:r>
    </w:p>
    <w:p w14:paraId="7B9991F4"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أما "العقل" (</w:t>
      </w:r>
      <w:proofErr w:type="spellStart"/>
      <w:r>
        <w:rPr>
          <w:rFonts w:ascii="Traditional Arabic" w:eastAsia="Traditional Arabic" w:hAnsi="Traditional Arabic" w:cs="Traditional Arabic"/>
          <w:color w:val="1A1A1A"/>
          <w:sz w:val="24"/>
          <w:szCs w:val="24"/>
          <w:rtl/>
        </w:rPr>
        <w:t>ʿAql</w:t>
      </w:r>
      <w:proofErr w:type="spellEnd"/>
      <w:r>
        <w:rPr>
          <w:rFonts w:ascii="Traditional Arabic" w:eastAsia="Traditional Arabic" w:hAnsi="Traditional Arabic" w:cs="Traditional Arabic"/>
          <w:color w:val="1A1A1A"/>
          <w:sz w:val="24"/>
          <w:szCs w:val="24"/>
          <w:rtl/>
        </w:rPr>
        <w:t>) – في "النظرية الاستخلافية" – فهو "أكثر" من "الذكاء" و"أعمق". إنه "يتضمن" – بالإضافة إلى "القدرات المعرفية" – "بُعداً قيمياً وأخلاقياً" [3]. فـ"العاقل" – في "اللغة القرآنية" – هو "الذي يميز بين الخير والشر"، و"يختار الخير"، و"يتجنب الشر". وهو "الذي يتفكر في آيات الله"، و"يستجيب لدعوة الرسل". ولذلك، فإن "الكفار" – في "القرآن" – "وُصفوا" بأنهم "لا يعقلون"، رغم أنهم – بلا شك – كانوا "أذكياء" في "شؤون" "الدنيا".</w:t>
      </w:r>
    </w:p>
    <w:p w14:paraId="4D813C58"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وهذا "الفرق النوعي" – بين "العقل" و"الذكاء" – هو "أساس" "النقد" الذي "يوجهه" "الزراع" لـ"النموذج" "الغربي" للعقل، و"أساس" "المشروع" "البديل" الذي "يقدمه".</w:t>
      </w:r>
    </w:p>
    <w:p w14:paraId="71F4DBCD" w14:textId="686F73F0" w:rsidR="003D296D" w:rsidRDefault="00EE46CD" w:rsidP="00E558A7">
      <w:pPr>
        <w:pStyle w:val="2"/>
        <w:bidi/>
        <w:spacing w:before="300" w:after="160"/>
      </w:pPr>
      <w:r>
        <w:rPr>
          <w:rFonts w:ascii="Traditional Arabic" w:eastAsia="Traditional Arabic" w:hAnsi="Traditional Arabic" w:cs="Traditional Arabic"/>
          <w:b/>
          <w:bCs/>
          <w:color w:val="0E6E6E"/>
          <w:rtl/>
        </w:rPr>
        <w:t xml:space="preserve">3.3  علم الأعصاب الإدراكي في ميزان الاستخلاف: </w:t>
      </w:r>
      <w:proofErr w:type="spellStart"/>
      <w:r>
        <w:rPr>
          <w:rFonts w:ascii="Traditional Arabic" w:eastAsia="Traditional Arabic" w:hAnsi="Traditional Arabic" w:cs="Traditional Arabic"/>
          <w:b/>
          <w:bCs/>
          <w:color w:val="0E6E6E"/>
          <w:rtl/>
        </w:rPr>
        <w:t>كانمان</w:t>
      </w:r>
      <w:proofErr w:type="spellEnd"/>
      <w:r>
        <w:rPr>
          <w:rFonts w:ascii="Traditional Arabic" w:eastAsia="Traditional Arabic" w:hAnsi="Traditional Arabic" w:cs="Traditional Arabic"/>
          <w:b/>
          <w:bCs/>
          <w:color w:val="0E6E6E"/>
          <w:rtl/>
        </w:rPr>
        <w:t xml:space="preserve"> ولودو وسيغل </w:t>
      </w:r>
      <w:proofErr w:type="spellStart"/>
      <w:r>
        <w:rPr>
          <w:rFonts w:ascii="Traditional Arabic" w:eastAsia="Traditional Arabic" w:hAnsi="Traditional Arabic" w:cs="Traditional Arabic"/>
          <w:b/>
          <w:bCs/>
          <w:color w:val="0E6E6E"/>
          <w:rtl/>
        </w:rPr>
        <w:t>ودويدج</w:t>
      </w:r>
      <w:proofErr w:type="spellEnd"/>
    </w:p>
    <w:p w14:paraId="59A12D86"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 xml:space="preserve">لا "يكتفي" "النقد الاستخلافي" بـ"مواجهة" "الفلسفة" النظرية للعقل، بل "يمتد" إلى "مساءلة" "النماذج" "العصبية-المعرفية" المعاصرة التي "هيمنت" على "علم النفس" في "العقود الأخيرة"، وفي "مقدمتها" "نموذج" "النظامين" الذي "طوره" "دانيال </w:t>
      </w:r>
      <w:proofErr w:type="spellStart"/>
      <w:r>
        <w:rPr>
          <w:rFonts w:ascii="Traditional Arabic" w:eastAsia="Traditional Arabic" w:hAnsi="Traditional Arabic" w:cs="Traditional Arabic"/>
          <w:color w:val="1A1A1A"/>
          <w:sz w:val="24"/>
          <w:szCs w:val="24"/>
          <w:rtl/>
        </w:rPr>
        <w:t>كانمان</w:t>
      </w:r>
      <w:proofErr w:type="spellEnd"/>
      <w:r>
        <w:rPr>
          <w:rFonts w:ascii="Traditional Arabic" w:eastAsia="Traditional Arabic" w:hAnsi="Traditional Arabic" w:cs="Traditional Arabic"/>
          <w:color w:val="1A1A1A"/>
          <w:sz w:val="24"/>
          <w:szCs w:val="24"/>
          <w:rtl/>
        </w:rPr>
        <w:t>" في "التفكير، السريع والبطيء". فـ"</w:t>
      </w:r>
      <w:proofErr w:type="spellStart"/>
      <w:r>
        <w:rPr>
          <w:rFonts w:ascii="Traditional Arabic" w:eastAsia="Traditional Arabic" w:hAnsi="Traditional Arabic" w:cs="Traditional Arabic"/>
          <w:color w:val="1A1A1A"/>
          <w:sz w:val="24"/>
          <w:szCs w:val="24"/>
          <w:rtl/>
        </w:rPr>
        <w:t>كانمان</w:t>
      </w:r>
      <w:proofErr w:type="spellEnd"/>
      <w:r>
        <w:rPr>
          <w:rFonts w:ascii="Traditional Arabic" w:eastAsia="Traditional Arabic" w:hAnsi="Traditional Arabic" w:cs="Traditional Arabic"/>
          <w:color w:val="1A1A1A"/>
          <w:sz w:val="24"/>
          <w:szCs w:val="24"/>
          <w:rtl/>
        </w:rPr>
        <w:t>" "يميز" بين "نظام 1" (سريع، حدسي، انفعالي، تلقائي) و"نظام 2" (بطيء، تحليلي، مجهد، واعٍ)، ويبين كيف "تسيطر" "</w:t>
      </w:r>
      <w:proofErr w:type="spellStart"/>
      <w:r>
        <w:rPr>
          <w:rFonts w:ascii="Traditional Arabic" w:eastAsia="Traditional Arabic" w:hAnsi="Traditional Arabic" w:cs="Traditional Arabic"/>
          <w:color w:val="1A1A1A"/>
          <w:sz w:val="24"/>
          <w:szCs w:val="24"/>
          <w:rtl/>
        </w:rPr>
        <w:t>الانحيازات</w:t>
      </w:r>
      <w:proofErr w:type="spellEnd"/>
      <w:r>
        <w:rPr>
          <w:rFonts w:ascii="Traditional Arabic" w:eastAsia="Traditional Arabic" w:hAnsi="Traditional Arabic" w:cs="Traditional Arabic"/>
          <w:color w:val="1A1A1A"/>
          <w:sz w:val="24"/>
          <w:szCs w:val="24"/>
          <w:rtl/>
        </w:rPr>
        <w:t xml:space="preserve"> المعرفية" (</w:t>
      </w:r>
      <w:proofErr w:type="spellStart"/>
      <w:r>
        <w:rPr>
          <w:rFonts w:ascii="Traditional Arabic" w:eastAsia="Traditional Arabic" w:hAnsi="Traditional Arabic" w:cs="Traditional Arabic"/>
          <w:color w:val="1A1A1A"/>
          <w:sz w:val="24"/>
          <w:szCs w:val="24"/>
          <w:rtl/>
        </w:rPr>
        <w:t>Cognitive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Biases</w:t>
      </w:r>
      <w:proofErr w:type="spellEnd"/>
      <w:r>
        <w:rPr>
          <w:rFonts w:ascii="Traditional Arabic" w:eastAsia="Traditional Arabic" w:hAnsi="Traditional Arabic" w:cs="Traditional Arabic"/>
          <w:color w:val="1A1A1A"/>
          <w:sz w:val="24"/>
          <w:szCs w:val="24"/>
          <w:rtl/>
        </w:rPr>
        <w:t>) الناتجة عن "هيمنة" "النظام 1" على "كثير" من "قراراتنا" [10].</w:t>
      </w:r>
    </w:p>
    <w:p w14:paraId="175C56A8"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 xml:space="preserve">و"يلاحظ" "التحليل الاستخلافي" أن "هذا التمييز" "الثنائي" – رغم "قيمته" "الوصفية" الكبيرة في "رصد" "آليات" "التفكير" – "يظل" "تمييزاً" "وظيفياً" "محايداً" "قيمياً"، لا "يقدم" "معياراً" لـ"أي" من "النظامين" "ينبغي" أن "يُرجَّح" "أخلاقياً" في "أي سياق". وهنا "يقدم" "النموذج الاستخلافي" "إضافة" "جوهرية" عبر "ربط" "هذا التمييز" الوظيفي بـ"البنية" "الثلاثية" لـ"مراتب" "النفس" القرآنية (الأمارة باتّباع الهوى السريع الاندفاعي، واللوامة بمراجعتها النقدية المتذبذبة، والمطمئنة باستقرارها بعد التزكية)، بحيث "يصبح" "نظام 1" </w:t>
      </w:r>
      <w:proofErr w:type="spellStart"/>
      <w:r>
        <w:rPr>
          <w:rFonts w:ascii="Traditional Arabic" w:eastAsia="Traditional Arabic" w:hAnsi="Traditional Arabic" w:cs="Traditional Arabic"/>
          <w:color w:val="1A1A1A"/>
          <w:sz w:val="24"/>
          <w:szCs w:val="24"/>
          <w:rtl/>
        </w:rPr>
        <w:t>الكانماني</w:t>
      </w:r>
      <w:proofErr w:type="spellEnd"/>
      <w:r>
        <w:rPr>
          <w:rFonts w:ascii="Traditional Arabic" w:eastAsia="Traditional Arabic" w:hAnsi="Traditional Arabic" w:cs="Traditional Arabic"/>
          <w:color w:val="1A1A1A"/>
          <w:sz w:val="24"/>
          <w:szCs w:val="24"/>
          <w:rtl/>
        </w:rPr>
        <w:t xml:space="preserve"> أقرب – في "كثير" من "تجلياته" الانفعالية الاندفاعية – إلى "حركة" "النفس الأمارة"، بينما "يقترب" "نظام 2" – حين "يُوجَّه" بـ"مبادئ" "روحية" وليس "بحساب" "نفعي" محض – من "وظيفة" "العقل" </w:t>
      </w:r>
      <w:proofErr w:type="spellStart"/>
      <w:r>
        <w:rPr>
          <w:rFonts w:ascii="Traditional Arabic" w:eastAsia="Traditional Arabic" w:hAnsi="Traditional Arabic" w:cs="Traditional Arabic"/>
          <w:color w:val="1A1A1A"/>
          <w:sz w:val="24"/>
          <w:szCs w:val="24"/>
          <w:rtl/>
        </w:rPr>
        <w:t>كـ"مُثبّت</w:t>
      </w:r>
      <w:proofErr w:type="spellEnd"/>
      <w:r>
        <w:rPr>
          <w:rFonts w:ascii="Traditional Arabic" w:eastAsia="Traditional Arabic" w:hAnsi="Traditional Arabic" w:cs="Traditional Arabic"/>
          <w:color w:val="1A1A1A"/>
          <w:sz w:val="24"/>
          <w:szCs w:val="24"/>
          <w:rtl/>
        </w:rPr>
        <w:t>" أمام "عواصف" "النفس".</w:t>
      </w:r>
    </w:p>
    <w:p w14:paraId="4C7530DD"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 xml:space="preserve">وفي "السياق" نفسه، "يستدعي" "التحليل الاستخلافي" "نظرية" "الدماغ الانفعالي" التي "طورها" "جوزيف </w:t>
      </w:r>
      <w:proofErr w:type="spellStart"/>
      <w:r>
        <w:rPr>
          <w:rFonts w:ascii="Traditional Arabic" w:eastAsia="Traditional Arabic" w:hAnsi="Traditional Arabic" w:cs="Traditional Arabic"/>
          <w:color w:val="1A1A1A"/>
          <w:sz w:val="24"/>
          <w:szCs w:val="24"/>
          <w:rtl/>
        </w:rPr>
        <w:t>لودو</w:t>
      </w:r>
      <w:proofErr w:type="spellEnd"/>
      <w:r>
        <w:rPr>
          <w:rFonts w:ascii="Traditional Arabic" w:eastAsia="Traditional Arabic" w:hAnsi="Traditional Arabic" w:cs="Traditional Arabic"/>
          <w:color w:val="1A1A1A"/>
          <w:sz w:val="24"/>
          <w:szCs w:val="24"/>
          <w:rtl/>
        </w:rPr>
        <w:t>"، والتي "تبين" "الدور" "المركزي" لـ"اللوزة الدماغية" (</w:t>
      </w:r>
      <w:proofErr w:type="spellStart"/>
      <w:r>
        <w:rPr>
          <w:rFonts w:ascii="Traditional Arabic" w:eastAsia="Traditional Arabic" w:hAnsi="Traditional Arabic" w:cs="Traditional Arabic"/>
          <w:color w:val="1A1A1A"/>
          <w:sz w:val="24"/>
          <w:szCs w:val="24"/>
          <w:rtl/>
        </w:rPr>
        <w:t>Amygdala</w:t>
      </w:r>
      <w:proofErr w:type="spellEnd"/>
      <w:r>
        <w:rPr>
          <w:rFonts w:ascii="Traditional Arabic" w:eastAsia="Traditional Arabic" w:hAnsi="Traditional Arabic" w:cs="Traditional Arabic"/>
          <w:color w:val="1A1A1A"/>
          <w:sz w:val="24"/>
          <w:szCs w:val="24"/>
          <w:rtl/>
        </w:rPr>
        <w:t>) في "معالجة" "الخوف" و"الاستجابات" الانفعالية "السريعة" التي "تسبق" – زمنياً – "المعالجة" "الواعية" "القشرية" [9]. وهذا "الاكتشاف" العصبي – الذي "يوثق" "علمياً" "سبق" "الانفعال" لـ"العقل الواعي" في "كثير" من "المواقف" – "يقدم" "شاهداً" "تجريبياً" "معاصراً" على "ما" "أشار" إليه "علماء" "التراث" "الإسلامي" قديماً من "ضرورة" "ترويض" "النفس الأمارة" قبل "أن تستفحل" "استجاباتها" "الانفعالية" السريعة، وهي "المهمة" التي "يُناط" بها "العقل" – "المدعوم" بـ"القلب" و"التزكية" – في "النظرية الاستخلافية".</w:t>
      </w:r>
    </w:p>
    <w:p w14:paraId="46E07337"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أما "دانيال سيغل"، في "طرحه" لـ"مفهوم" "البصيرة العقلية" (</w:t>
      </w:r>
      <w:proofErr w:type="spellStart"/>
      <w:r>
        <w:rPr>
          <w:rFonts w:ascii="Traditional Arabic" w:eastAsia="Traditional Arabic" w:hAnsi="Traditional Arabic" w:cs="Traditional Arabic"/>
          <w:color w:val="1A1A1A"/>
          <w:sz w:val="24"/>
          <w:szCs w:val="24"/>
          <w:rtl/>
        </w:rPr>
        <w:t>Mindsight</w:t>
      </w:r>
      <w:proofErr w:type="spellEnd"/>
      <w:r>
        <w:rPr>
          <w:rFonts w:ascii="Traditional Arabic" w:eastAsia="Traditional Arabic" w:hAnsi="Traditional Arabic" w:cs="Traditional Arabic"/>
          <w:color w:val="1A1A1A"/>
          <w:sz w:val="24"/>
          <w:szCs w:val="24"/>
          <w:rtl/>
        </w:rPr>
        <w:t>) و"التكامل" (</w:t>
      </w:r>
      <w:proofErr w:type="spellStart"/>
      <w:r>
        <w:rPr>
          <w:rFonts w:ascii="Traditional Arabic" w:eastAsia="Traditional Arabic" w:hAnsi="Traditional Arabic" w:cs="Traditional Arabic"/>
          <w:color w:val="1A1A1A"/>
          <w:sz w:val="24"/>
          <w:szCs w:val="24"/>
          <w:rtl/>
        </w:rPr>
        <w:t>Integration</w:t>
      </w:r>
      <w:proofErr w:type="spellEnd"/>
      <w:r>
        <w:rPr>
          <w:rFonts w:ascii="Traditional Arabic" w:eastAsia="Traditional Arabic" w:hAnsi="Traditional Arabic" w:cs="Traditional Arabic"/>
          <w:color w:val="1A1A1A"/>
          <w:sz w:val="24"/>
          <w:szCs w:val="24"/>
          <w:rtl/>
        </w:rPr>
        <w:t>) بوصفه "أساس" "الصحة النفسية"، فإنه "يقترب" – وإن من "زاوية علمانية" – من "جوهر" ما "تصفه" "النظرية الاستخلافية" بـ"البصيرة" القلبية. فـ"سيغل" "يرى" أن "الصحة النفسية" "تتحقق" حين "تتكامل" "الأنماط" "المختلفة" لـ"المعالجة" "العصبية" (المنطقية والانفعالية والجسدية والعلائقية) في "كل" "منسجم"، بينما "يؤدي" "غياب" "هذا التكامل" إلى إما "الجمود" (</w:t>
      </w:r>
      <w:proofErr w:type="spellStart"/>
      <w:r>
        <w:rPr>
          <w:rFonts w:ascii="Traditional Arabic" w:eastAsia="Traditional Arabic" w:hAnsi="Traditional Arabic" w:cs="Traditional Arabic"/>
          <w:color w:val="1A1A1A"/>
          <w:sz w:val="24"/>
          <w:szCs w:val="24"/>
          <w:rtl/>
        </w:rPr>
        <w:t>Rigidity</w:t>
      </w:r>
      <w:proofErr w:type="spellEnd"/>
      <w:r>
        <w:rPr>
          <w:rFonts w:ascii="Traditional Arabic" w:eastAsia="Traditional Arabic" w:hAnsi="Traditional Arabic" w:cs="Traditional Arabic"/>
          <w:color w:val="1A1A1A"/>
          <w:sz w:val="24"/>
          <w:szCs w:val="24"/>
          <w:rtl/>
        </w:rPr>
        <w:t>) أو "الفوضى" (</w:t>
      </w:r>
      <w:proofErr w:type="spellStart"/>
      <w:r>
        <w:rPr>
          <w:rFonts w:ascii="Traditional Arabic" w:eastAsia="Traditional Arabic" w:hAnsi="Traditional Arabic" w:cs="Traditional Arabic"/>
          <w:color w:val="1A1A1A"/>
          <w:sz w:val="24"/>
          <w:szCs w:val="24"/>
          <w:rtl/>
        </w:rPr>
        <w:t>Chaos</w:t>
      </w:r>
      <w:proofErr w:type="spellEnd"/>
      <w:r>
        <w:rPr>
          <w:rFonts w:ascii="Traditional Arabic" w:eastAsia="Traditional Arabic" w:hAnsi="Traditional Arabic" w:cs="Traditional Arabic"/>
          <w:color w:val="1A1A1A"/>
          <w:sz w:val="24"/>
          <w:szCs w:val="24"/>
          <w:rtl/>
        </w:rPr>
        <w:t>) [11]. و"يقرأ" "الزراع" "هذا التكامل" العصبي بوصفه "الصورة" "المعاصرة" لـما "وصفه" "التراث" بـ"استواء" "النفس" على "الفطرة" و"اعتدالها" بين "أضلاعها" "الثمانية" – "توازناً" لا "يتحقق" بـ"الدماغ" وحده، بل "بتوجيه" "قلبي" "روحي" "يمنح" "التكامل" "غايته" "المتعالية" لا "مجرد" "وظيفته" "التكيفية".</w:t>
      </w:r>
    </w:p>
    <w:p w14:paraId="2BB0D228"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 xml:space="preserve">وأخيراً، "يستثمر" "النموذج الاستخلافي" "أطروحة" "نورمان </w:t>
      </w:r>
      <w:proofErr w:type="spellStart"/>
      <w:r>
        <w:rPr>
          <w:rFonts w:ascii="Traditional Arabic" w:eastAsia="Traditional Arabic" w:hAnsi="Traditional Arabic" w:cs="Traditional Arabic"/>
          <w:color w:val="1A1A1A"/>
          <w:sz w:val="24"/>
          <w:szCs w:val="24"/>
          <w:rtl/>
        </w:rPr>
        <w:t>دويدج</w:t>
      </w:r>
      <w:proofErr w:type="spellEnd"/>
      <w:r>
        <w:rPr>
          <w:rFonts w:ascii="Traditional Arabic" w:eastAsia="Traditional Arabic" w:hAnsi="Traditional Arabic" w:cs="Traditional Arabic"/>
          <w:color w:val="1A1A1A"/>
          <w:sz w:val="24"/>
          <w:szCs w:val="24"/>
          <w:rtl/>
        </w:rPr>
        <w:t>" في "الدماغ الذي يغيّر نفسه" حول "المرونة العصبية" (</w:t>
      </w:r>
      <w:proofErr w:type="spellStart"/>
      <w:r>
        <w:rPr>
          <w:rFonts w:ascii="Traditional Arabic" w:eastAsia="Traditional Arabic" w:hAnsi="Traditional Arabic" w:cs="Traditional Arabic"/>
          <w:color w:val="1A1A1A"/>
          <w:sz w:val="24"/>
          <w:szCs w:val="24"/>
          <w:rtl/>
        </w:rPr>
        <w:t>Neuroplasticity</w:t>
      </w:r>
      <w:proofErr w:type="spellEnd"/>
      <w:r>
        <w:rPr>
          <w:rFonts w:ascii="Traditional Arabic" w:eastAsia="Traditional Arabic" w:hAnsi="Traditional Arabic" w:cs="Traditional Arabic"/>
          <w:color w:val="1A1A1A"/>
          <w:sz w:val="24"/>
          <w:szCs w:val="24"/>
          <w:rtl/>
        </w:rPr>
        <w:t>) بوصفها "شاهداً" "علمياً" "قوياً" على أن "الدماغ" ليس "بنية" "جامدة" "محكومة" بـ"الحتمية" "الجينية"، بل هو "عضو" "قابل" لـ"إعادة التشكل" استجابة لـ"التدريب" و"التكرار" و"التوجيه" الإرادي والقصدي [12]. وهذا "الاكتشاف" – الذي "غيّر" "وجه" "علم الأعصاب" المعاصر – "يمنح" "المشروع الاستخلافي" "سنداً" "تجريبياً" "معاصراً" لـ"فكرة" "أن" "العقل" (كإرادة وقصد ووعي موجَّه) "يمكنه" أن "يُشكّل" "الدماغ" (كعضو مادي)، لا أن "يكون" "مجرد" "انعكاس" "سلبي" له – وهو "بالضبط" "الموقف" الذي "يتبناه" "الزراع" في "رفضه" لـ"الاختزال" المادي للعقل في "الدماغ" [12].</w:t>
      </w:r>
    </w:p>
    <w:p w14:paraId="397B25D1" w14:textId="089529F1" w:rsidR="003D296D" w:rsidRDefault="00EE46CD" w:rsidP="00E558A7">
      <w:pPr>
        <w:pStyle w:val="2"/>
        <w:bidi/>
        <w:spacing w:before="300" w:after="160"/>
      </w:pPr>
      <w:r>
        <w:rPr>
          <w:rFonts w:ascii="Traditional Arabic" w:eastAsia="Traditional Arabic" w:hAnsi="Traditional Arabic" w:cs="Traditional Arabic"/>
          <w:b/>
          <w:bCs/>
          <w:color w:val="0E6E6E"/>
          <w:rtl/>
        </w:rPr>
        <w:t>3.4 الغزالي وابن القيم والمحاسبي: "علم القلوب" كسبق تاريخي على علم النفس المعرفي</w:t>
      </w:r>
    </w:p>
    <w:p w14:paraId="4466A23C"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من "أبرز" "أوجه" "الأصالة" في "المشروع الاستخلافي" أنه لا "يكتفي" بـ"مواجهة" "النماذج" "الغربية" المعاصرة، بل "يستعيد" – في "الوقت نفسه" – "تراثاً" "إسلامياً" "عريقاً" في "علم القلوب" "سبق" "كثيراً" من "اكتشافات" "علم النفس المعرفي" المعاصر بـ"قرون". فـ"الحارث المحاسبي" – في "الرعاية لحقوق الله" – "قدم" ما "يمكن" وصفه بـ"أول" "منهج" "منظم" لـ"محاسبة النفس" (</w:t>
      </w:r>
      <w:proofErr w:type="spellStart"/>
      <w:r>
        <w:rPr>
          <w:rFonts w:ascii="Traditional Arabic" w:eastAsia="Traditional Arabic" w:hAnsi="Traditional Arabic" w:cs="Traditional Arabic"/>
          <w:color w:val="1A1A1A"/>
          <w:sz w:val="24"/>
          <w:szCs w:val="24"/>
          <w:rtl/>
        </w:rPr>
        <w:t>Self-Monitoring</w:t>
      </w:r>
      <w:proofErr w:type="spellEnd"/>
      <w:r>
        <w:rPr>
          <w:rFonts w:ascii="Traditional Arabic" w:eastAsia="Traditional Arabic" w:hAnsi="Traditional Arabic" w:cs="Traditional Arabic"/>
          <w:color w:val="1A1A1A"/>
          <w:sz w:val="24"/>
          <w:szCs w:val="24"/>
          <w:rtl/>
        </w:rPr>
        <w:t>) و"مراقبة" "الخواطر" و"الوساوس" قبل "تحولها" إلى "أفعال"، بأسلوب "يستبق" – من "زاوية" "روحية" – "ما" "طورته" لاحقاً "المدارس المعرفية-السلوكية" (CBT) من "تقنيات" "لرصد" "الأفكار الآلية" [19].</w:t>
      </w:r>
    </w:p>
    <w:p w14:paraId="306AB36F"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أما "أبو حامد الغزالي"، في "إحياء علوم الدين"، "فقدم" "تشريحاً" "دقيقاً" لـ"طبقات" "النفس" و"صراع" "القلب" بين "جند" "الملائكة" و"جند" "الشيطان"، و"وصف" "مراحل" "تزكية" "القلب" من "التخلية" (تفريغه من الرذائل) إلى "التحلية" (تحليته بالفضائل) بـ"منهجية" "علاجية" "متدرجة" تُشبه – في "بنيتها" "الإجرائية" – "البروتوكولات" "العلاجية" المعاصرة، وإن اختلفت عنها "جذرياً" في "غايتها" "المتعالية" [17]. وفي "السياق" نفسه، "قدم" "ابن القيم الجوزية"، في "مدارج السالكين"، "خريطة" "تفصيلية" لـ"منازل" "السالكين" وأحوال "القلب" و"عللها" وأدويتها، بما "يجعل" "كتابه" أقرب إلى "موسوعة" "إكلينيكية" "روحية" في "علم" "أمراض" "القلوب" وعلاجها [18].</w:t>
      </w:r>
    </w:p>
    <w:p w14:paraId="087288C9"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ويخلص "التحليل الاستخلافي" من "هذا الاستدعاء" إلى أن "ما" "يبدو" "جديداً" في "علم النفس المعرفي" المعاصر – من "رصد" "الأفكار الآلية"، ومراقبة "الانفعالات"، و"إعادة البناء المعرفي" – "له" "جذور" "عميقة" في "التراث الإسلامي"، وإن "غاب" عنه "البعد" "الروحي المتعالي" الذي "كان" "حاضراً" بقوة عند "المحاسبي" و"الغزالي" وابن "القيم". و"مهمة" "النظرية الاستخلافية" – كما "</w:t>
      </w:r>
      <w:proofErr w:type="spellStart"/>
      <w:r>
        <w:rPr>
          <w:rFonts w:ascii="Traditional Arabic" w:eastAsia="Traditional Arabic" w:hAnsi="Traditional Arabic" w:cs="Traditional Arabic"/>
          <w:color w:val="1A1A1A"/>
          <w:sz w:val="24"/>
          <w:szCs w:val="24"/>
          <w:rtl/>
        </w:rPr>
        <w:t>يصوغها</w:t>
      </w:r>
      <w:proofErr w:type="spellEnd"/>
      <w:r>
        <w:rPr>
          <w:rFonts w:ascii="Traditional Arabic" w:eastAsia="Traditional Arabic" w:hAnsi="Traditional Arabic" w:cs="Traditional Arabic"/>
          <w:color w:val="1A1A1A"/>
          <w:sz w:val="24"/>
          <w:szCs w:val="24"/>
          <w:rtl/>
        </w:rPr>
        <w:t>" "الزراع" – ليست "استيراد" "أدوات" "غربية" "حديثة" واستنبات "علم القلوب" "التراثي" من "جديد"، بل "الجمع" "الواعي" بين "الدقة" "الإجرائية" لـ"الأدوات" "المعاصرة" و"العمق" "الغائي" لـ"التراث" الروحي.</w:t>
      </w:r>
    </w:p>
    <w:p w14:paraId="2CF64A3B" w14:textId="77777777" w:rsidR="003D296D" w:rsidRDefault="00EE46CD" w:rsidP="00E558A7">
      <w:pPr>
        <w:pStyle w:val="1"/>
        <w:pBdr>
          <w:bottom w:val="single" w:sz="10" w:space="6" w:color="1B2A4A"/>
        </w:pBdr>
        <w:bidi/>
        <w:spacing w:before="400" w:after="200"/>
      </w:pPr>
      <w:r>
        <w:rPr>
          <w:rFonts w:ascii="Traditional Arabic" w:eastAsia="Traditional Arabic" w:hAnsi="Traditional Arabic" w:cs="Traditional Arabic"/>
          <w:b/>
          <w:bCs/>
          <w:color w:val="1B2A4A"/>
          <w:sz w:val="30"/>
          <w:szCs w:val="30"/>
          <w:rtl/>
        </w:rPr>
        <w:t>الفصل الرابع: "العقل" في "العملية العلاجية" – "بروتوكول TLRT" و"استعادة" "السيادة"</w:t>
      </w:r>
    </w:p>
    <w:p w14:paraId="7F8A90A6" w14:textId="77777777" w:rsidR="003D296D" w:rsidRDefault="00EE46CD" w:rsidP="00E558A7">
      <w:pPr>
        <w:pStyle w:val="2"/>
        <w:bidi/>
        <w:spacing w:before="300" w:after="160"/>
      </w:pPr>
      <w:r>
        <w:rPr>
          <w:rFonts w:ascii="Traditional Arabic" w:eastAsia="Traditional Arabic" w:hAnsi="Traditional Arabic" w:cs="Traditional Arabic"/>
          <w:b/>
          <w:bCs/>
          <w:color w:val="0E6E6E"/>
          <w:rtl/>
        </w:rPr>
        <w:t>4.1 "العقل" و"الأضلاع الثمانية": "التفعيل" و"التثبيت"</w:t>
      </w:r>
    </w:p>
    <w:p w14:paraId="01DC1AA2"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 xml:space="preserve">في "بروتوكول TLRT"، "يؤدي" "العقل" "دوراً" "محورياً" في "كل" مراحل "العلاج". لكن "الزراع" – على "خلاف" "المدارس العقلانية المحضة" (مثل REBT التي أسسها ألبرت </w:t>
      </w:r>
      <w:proofErr w:type="spellStart"/>
      <w:r>
        <w:rPr>
          <w:rFonts w:ascii="Traditional Arabic" w:eastAsia="Traditional Arabic" w:hAnsi="Traditional Arabic" w:cs="Traditional Arabic"/>
          <w:color w:val="1A1A1A"/>
          <w:sz w:val="24"/>
          <w:szCs w:val="24"/>
          <w:rtl/>
        </w:rPr>
        <w:t>إليس</w:t>
      </w:r>
      <w:proofErr w:type="spellEnd"/>
      <w:r>
        <w:rPr>
          <w:rFonts w:ascii="Traditional Arabic" w:eastAsia="Traditional Arabic" w:hAnsi="Traditional Arabic" w:cs="Traditional Arabic"/>
          <w:color w:val="1A1A1A"/>
          <w:sz w:val="24"/>
          <w:szCs w:val="24"/>
          <w:rtl/>
        </w:rPr>
        <w:t>) – لا "يعتبر" "العقل" "أداة" "كافية" "بمفردها". فـ"العقل" – عنده – "أداة مهمة لكنها غير كافية"؛ فهو "يحتاج" إلى "التكامل" مع "الروح" و"العاطفة" و"السلوك" [5].</w:t>
      </w:r>
    </w:p>
    <w:p w14:paraId="73F662BC"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وفي "نموذج الأضلاع الثمانية"، "يعمل" "العقل" كـ"أداة" لـ"تنشيط" "الأضلاع الصاعدة" نحو "النفس المطمئنة"، وهو "الذي يُثبّت الإنسان أمام عواصف النفس الأمارة" [922، 1199]. و"يتحقق" هذا "الدور" عبر "ثلاثة مسارات" [1]:</w:t>
      </w:r>
    </w:p>
    <w:p w14:paraId="4E36B4BE" w14:textId="77777777" w:rsidR="003D296D" w:rsidRDefault="00EE46CD" w:rsidP="00E558A7">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"التثقيف النفسي" (</w:t>
      </w:r>
      <w:proofErr w:type="spellStart"/>
      <w:r>
        <w:rPr>
          <w:rFonts w:ascii="Traditional Arabic" w:eastAsia="Traditional Arabic" w:hAnsi="Traditional Arabic" w:cs="Traditional Arabic"/>
          <w:color w:val="1A1A1A"/>
          <w:sz w:val="24"/>
          <w:szCs w:val="24"/>
          <w:rtl/>
        </w:rPr>
        <w:t>Psychoeducation</w:t>
      </w:r>
      <w:proofErr w:type="spellEnd"/>
      <w:r>
        <w:rPr>
          <w:rFonts w:ascii="Traditional Arabic" w:eastAsia="Traditional Arabic" w:hAnsi="Traditional Arabic" w:cs="Traditional Arabic"/>
          <w:color w:val="1A1A1A"/>
          <w:sz w:val="24"/>
          <w:szCs w:val="24"/>
          <w:rtl/>
        </w:rPr>
        <w:t xml:space="preserve">): "فهم" "آيات" "النفس" </w:t>
      </w:r>
      <w:proofErr w:type="spellStart"/>
      <w:r>
        <w:rPr>
          <w:rFonts w:ascii="Traditional Arabic" w:eastAsia="Traditional Arabic" w:hAnsi="Traditional Arabic" w:cs="Traditional Arabic"/>
          <w:color w:val="1A1A1A"/>
          <w:sz w:val="24"/>
          <w:szCs w:val="24"/>
          <w:rtl/>
        </w:rPr>
        <w:t>و"ميكانيزماتها</w:t>
      </w:r>
      <w:proofErr w:type="spellEnd"/>
      <w:r>
        <w:rPr>
          <w:rFonts w:ascii="Traditional Arabic" w:eastAsia="Traditional Arabic" w:hAnsi="Traditional Arabic" w:cs="Traditional Arabic"/>
          <w:color w:val="1A1A1A"/>
          <w:sz w:val="24"/>
          <w:szCs w:val="24"/>
          <w:rtl/>
        </w:rPr>
        <w:t>"، و"معرفة" "كيف" "تعمل" "الأضلاع"، و"كيف" "يمكن" "تفعيل" "أضلاع الصعود" و"تثبيط" "أضلاع الهبوط". وهذا – في "جوهره" – هو "استعادة" "للسيطرة" و"للوعي" و"للقدرة" على "التوجيه".</w:t>
      </w:r>
    </w:p>
    <w:p w14:paraId="23C0C3C1" w14:textId="77777777" w:rsidR="003D296D" w:rsidRDefault="00EE46CD" w:rsidP="00E558A7">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"إعادة البناء المعرفي" (</w:t>
      </w:r>
      <w:proofErr w:type="spellStart"/>
      <w:r>
        <w:rPr>
          <w:rFonts w:ascii="Traditional Arabic" w:eastAsia="Traditional Arabic" w:hAnsi="Traditional Arabic" w:cs="Traditional Arabic"/>
          <w:color w:val="1A1A1A"/>
          <w:sz w:val="24"/>
          <w:szCs w:val="24"/>
          <w:rtl/>
        </w:rPr>
        <w:t>Cognitive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Restructuring</w:t>
      </w:r>
      <w:proofErr w:type="spellEnd"/>
      <w:r>
        <w:rPr>
          <w:rFonts w:ascii="Traditional Arabic" w:eastAsia="Traditional Arabic" w:hAnsi="Traditional Arabic" w:cs="Traditional Arabic"/>
          <w:color w:val="1A1A1A"/>
          <w:sz w:val="24"/>
          <w:szCs w:val="24"/>
          <w:rtl/>
        </w:rPr>
        <w:t>): "مواجهة" "المعتقدات المقيّدة" (التي "زرعها" "الأنا الأعلى القاسي") بـ"نور" "المبادئ الروحية" و"المنطق" "السليم". وهذا – في "جوهره" – هو "تحرير" "للنفس" من "الأوهام" و"الديون الوهمية".</w:t>
      </w:r>
    </w:p>
    <w:p w14:paraId="352277B7" w14:textId="709F13B1" w:rsidR="003D296D" w:rsidRDefault="00EE46CD" w:rsidP="00E558A7">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 xml:space="preserve">"التفكر والتأمل" </w:t>
      </w:r>
      <w:r w:rsidR="00106D89">
        <w:rPr>
          <w:rFonts w:ascii="Traditional Arabic" w:eastAsia="Traditional Arabic" w:hAnsi="Traditional Arabic" w:cs="Traditional Arabic" w:hint="cs"/>
          <w:color w:val="1A1A1A"/>
          <w:sz w:val="24"/>
          <w:szCs w:val="24"/>
          <w:rtl/>
        </w:rPr>
        <w:t>:</w:t>
      </w:r>
      <w:r>
        <w:rPr>
          <w:rFonts w:ascii="Traditional Arabic" w:eastAsia="Traditional Arabic" w:hAnsi="Traditional Arabic" w:cs="Traditional Arabic"/>
          <w:color w:val="1A1A1A"/>
          <w:sz w:val="24"/>
          <w:szCs w:val="24"/>
          <w:rtl/>
        </w:rPr>
        <w:t xml:space="preserve"> "استخلاص" "الحكمة" من "السيرة الشخصية" ومن "آيات الآفاق" و"الأنفس". وهذا – في "جوهره" – هو "ترميم" "للجرح" بـ"الذهب"، و"استخراج" "المعنى" من "المعاناة" [4].</w:t>
      </w:r>
    </w:p>
    <w:p w14:paraId="06576E97" w14:textId="77777777" w:rsidR="003D296D" w:rsidRDefault="00EE46CD" w:rsidP="00E558A7">
      <w:pPr>
        <w:pStyle w:val="2"/>
        <w:bidi/>
        <w:spacing w:before="300" w:after="160"/>
      </w:pPr>
      <w:r>
        <w:rPr>
          <w:rFonts w:ascii="Traditional Arabic" w:eastAsia="Traditional Arabic" w:hAnsi="Traditional Arabic" w:cs="Traditional Arabic"/>
          <w:b/>
          <w:bCs/>
          <w:color w:val="0E6E6E"/>
          <w:rtl/>
        </w:rPr>
        <w:t>4.2 "العقل" و"الدماغ": "التناظر" و"التمايز"</w:t>
      </w:r>
    </w:p>
    <w:p w14:paraId="633A58CA"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من "الأسئلة" "المشروعة" التي "تطرحها" "النظرية الاستخلافية" للعقل: ما هي "العلاقة" بين "العقل" (كملكة روحية) و"الدماغ" (كعضو بيولوجي)؟ هل "العقل" هو "نفسه" "الدماغ" (كما تقول "المادية")؟ أم أنه "شيء" "آخر" "مختلف" عنه؟</w:t>
      </w:r>
    </w:p>
    <w:p w14:paraId="506D3797"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"الزراع" – كما يتبين من "مصنفاته" – لا "ينكر" "أهمية" "الدماغ" و"الدور" "الحيوي" الذي "يلعبه" في "العمليات" "العقلية". لكنه – في الوقت نفسه – "يرفض" "اختزال" "العقل" في "الدماغ". فـ"العقل" – عنده – "يتجاوز" "المادة" و"يرتبط" بـ"الروح" و"القلب".</w:t>
      </w:r>
    </w:p>
    <w:p w14:paraId="08FA7F84"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وهو "يستند" – في "هذا الرفض" – إلى "شواهد" "علمية" و"فلسفية" "عديدة"، منها:</w:t>
      </w:r>
    </w:p>
    <w:p w14:paraId="0CFA8E66" w14:textId="77777777" w:rsidR="003D296D" w:rsidRDefault="00EE46CD" w:rsidP="00E558A7">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"المرونة العصبية" (</w:t>
      </w:r>
      <w:proofErr w:type="spellStart"/>
      <w:r>
        <w:rPr>
          <w:rFonts w:ascii="Traditional Arabic" w:eastAsia="Traditional Arabic" w:hAnsi="Traditional Arabic" w:cs="Traditional Arabic"/>
          <w:color w:val="1A1A1A"/>
          <w:sz w:val="24"/>
          <w:szCs w:val="24"/>
          <w:rtl/>
        </w:rPr>
        <w:t>Neuroplasticity</w:t>
      </w:r>
      <w:proofErr w:type="spellEnd"/>
      <w:r>
        <w:rPr>
          <w:rFonts w:ascii="Traditional Arabic" w:eastAsia="Traditional Arabic" w:hAnsi="Traditional Arabic" w:cs="Traditional Arabic"/>
          <w:color w:val="1A1A1A"/>
          <w:sz w:val="24"/>
          <w:szCs w:val="24"/>
          <w:rtl/>
        </w:rPr>
        <w:t>): "قدرة" "الدماغ" على "التغير" و"التكيف" استجابة لـ"الخبرات" و"التعلم" و"العلاج". وهذا "يثبت" – كما "يقول" "الزراع" – أن "الدماغ" ليس "آلة" "جامدة" و"محكومة" بـ"الجينات" فقط، بل هو "عضو" "قابل للتشكيل" و"التوجيه" من قبل "العقل" و"الوعي" و"الإرادة" [12].</w:t>
      </w:r>
    </w:p>
    <w:p w14:paraId="03358F50" w14:textId="77777777" w:rsidR="003D296D" w:rsidRDefault="00EE46CD" w:rsidP="00E558A7">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"تأثير" "الدواء الوهمي" (</w:t>
      </w:r>
      <w:proofErr w:type="spellStart"/>
      <w:r>
        <w:rPr>
          <w:rFonts w:ascii="Traditional Arabic" w:eastAsia="Traditional Arabic" w:hAnsi="Traditional Arabic" w:cs="Traditional Arabic"/>
          <w:color w:val="1A1A1A"/>
          <w:sz w:val="24"/>
          <w:szCs w:val="24"/>
          <w:rtl/>
        </w:rPr>
        <w:t>Placebo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Effect</w:t>
      </w:r>
      <w:proofErr w:type="spellEnd"/>
      <w:r>
        <w:rPr>
          <w:rFonts w:ascii="Traditional Arabic" w:eastAsia="Traditional Arabic" w:hAnsi="Traditional Arabic" w:cs="Traditional Arabic"/>
          <w:color w:val="1A1A1A"/>
          <w:sz w:val="24"/>
          <w:szCs w:val="24"/>
          <w:rtl/>
        </w:rPr>
        <w:t>): "قدرة" "المعتقدات" و"التوقعات" على "إحداث" "تغيرات" "فسيولوجية" "حقيقية" في "الجسد". وهذا "يثبت" – كما "يقول" "الزراع" – أن "العقل" ليس "انعكاساً" "سلبياً" لـ"لدماغ"، بل هو "قوة" "فاعلة" و"مؤثرة" فيه.</w:t>
      </w:r>
    </w:p>
    <w:p w14:paraId="38C7A2A4" w14:textId="6C402753" w:rsidR="003D296D" w:rsidRDefault="00EE46CD" w:rsidP="00E558A7">
      <w:pPr>
        <w:pStyle w:val="2"/>
        <w:bidi/>
        <w:spacing w:before="300" w:after="160"/>
      </w:pPr>
      <w:r>
        <w:rPr>
          <w:rFonts w:ascii="Traditional Arabic" w:eastAsia="Traditional Arabic" w:hAnsi="Traditional Arabic" w:cs="Traditional Arabic"/>
          <w:b/>
          <w:bCs/>
          <w:color w:val="0E6E6E"/>
          <w:rtl/>
        </w:rPr>
        <w:t>4.3 نقد معمّق لـ REBT وحدود "العقلانية الخالصة" في العلاج النفسي</w:t>
      </w:r>
    </w:p>
    <w:p w14:paraId="5DB7385B"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 xml:space="preserve">يستحق "موقف" "الزراع" من "مدرسة" "العلاج العقلاني الانفعالي السلوكي" (REBT) التي "أسسها" "ألبرت </w:t>
      </w:r>
      <w:proofErr w:type="spellStart"/>
      <w:r>
        <w:rPr>
          <w:rFonts w:ascii="Traditional Arabic" w:eastAsia="Traditional Arabic" w:hAnsi="Traditional Arabic" w:cs="Traditional Arabic"/>
          <w:color w:val="1A1A1A"/>
          <w:sz w:val="24"/>
          <w:szCs w:val="24"/>
          <w:rtl/>
        </w:rPr>
        <w:t>إليس</w:t>
      </w:r>
      <w:proofErr w:type="spellEnd"/>
      <w:r>
        <w:rPr>
          <w:rFonts w:ascii="Traditional Arabic" w:eastAsia="Traditional Arabic" w:hAnsi="Traditional Arabic" w:cs="Traditional Arabic"/>
          <w:color w:val="1A1A1A"/>
          <w:sz w:val="24"/>
          <w:szCs w:val="24"/>
          <w:rtl/>
        </w:rPr>
        <w:t>" "وقفة" "تحليلية" "أعمق"، بوصفها "أوضح" "تجسيد" "معاصر" لـ"مركزية" "العقل" في "العلاج النفسي". فـ"</w:t>
      </w:r>
      <w:proofErr w:type="spellStart"/>
      <w:r>
        <w:rPr>
          <w:rFonts w:ascii="Traditional Arabic" w:eastAsia="Traditional Arabic" w:hAnsi="Traditional Arabic" w:cs="Traditional Arabic"/>
          <w:color w:val="1A1A1A"/>
          <w:sz w:val="24"/>
          <w:szCs w:val="24"/>
          <w:rtl/>
        </w:rPr>
        <w:t>إليس</w:t>
      </w:r>
      <w:proofErr w:type="spellEnd"/>
      <w:r>
        <w:rPr>
          <w:rFonts w:ascii="Traditional Arabic" w:eastAsia="Traditional Arabic" w:hAnsi="Traditional Arabic" w:cs="Traditional Arabic"/>
          <w:color w:val="1A1A1A"/>
          <w:sz w:val="24"/>
          <w:szCs w:val="24"/>
          <w:rtl/>
        </w:rPr>
        <w:t>" "يرى" أن "الاضطراب" "النفسي" "ينشأ" أساساً من "معتقدات لا عقلانية" (</w:t>
      </w:r>
      <w:proofErr w:type="spellStart"/>
      <w:r>
        <w:rPr>
          <w:rFonts w:ascii="Traditional Arabic" w:eastAsia="Traditional Arabic" w:hAnsi="Traditional Arabic" w:cs="Traditional Arabic"/>
          <w:color w:val="1A1A1A"/>
          <w:sz w:val="24"/>
          <w:szCs w:val="24"/>
          <w:rtl/>
        </w:rPr>
        <w:t>Irrational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Beliefs</w:t>
      </w:r>
      <w:proofErr w:type="spellEnd"/>
      <w:r>
        <w:rPr>
          <w:rFonts w:ascii="Traditional Arabic" w:eastAsia="Traditional Arabic" w:hAnsi="Traditional Arabic" w:cs="Traditional Arabic"/>
          <w:color w:val="1A1A1A"/>
          <w:sz w:val="24"/>
          <w:szCs w:val="24"/>
          <w:rtl/>
        </w:rPr>
        <w:t>) صلبة وجازمة (غالباً على صيغة "يجب" المطلقة)، وأن "العلاج" يتحقق عبر "مجادلة" (</w:t>
      </w:r>
      <w:proofErr w:type="spellStart"/>
      <w:r>
        <w:rPr>
          <w:rFonts w:ascii="Traditional Arabic" w:eastAsia="Traditional Arabic" w:hAnsi="Traditional Arabic" w:cs="Traditional Arabic"/>
          <w:color w:val="1A1A1A"/>
          <w:sz w:val="24"/>
          <w:szCs w:val="24"/>
          <w:rtl/>
        </w:rPr>
        <w:t>Disputation</w:t>
      </w:r>
      <w:proofErr w:type="spellEnd"/>
      <w:r>
        <w:rPr>
          <w:rFonts w:ascii="Traditional Arabic" w:eastAsia="Traditional Arabic" w:hAnsi="Traditional Arabic" w:cs="Traditional Arabic"/>
          <w:color w:val="1A1A1A"/>
          <w:sz w:val="24"/>
          <w:szCs w:val="24"/>
          <w:rtl/>
        </w:rPr>
        <w:t>) "منطقية" "صارمة" "لهذه المعتقدات" حتى "تحل" محلها "معتقدات عقلانية" "مرنة".</w:t>
      </w:r>
    </w:p>
    <w:p w14:paraId="58F9F68A" w14:textId="77777777" w:rsidR="003D296D" w:rsidRDefault="00EE46CD" w:rsidP="00E558A7">
      <w:pPr>
        <w:spacing w:after="180" w:line="340" w:lineRule="auto"/>
      </w:pPr>
      <w:r>
        <w:rPr>
          <w:rFonts w:ascii="Traditional Arabic" w:eastAsia="Traditional Arabic" w:hAnsi="Traditional Arabic" w:cs="Traditional Arabic"/>
          <w:color w:val="1A1A1A"/>
          <w:sz w:val="24"/>
          <w:szCs w:val="24"/>
          <w:rtl/>
        </w:rPr>
        <w:t xml:space="preserve">"وجه" "القوة" في "هذا النموذج" – كما "يقر" "التحليل الاستخلافي" – هو "تأكيده" على "الدور" "المحوري" لـ"المعرفة" و"التفسير" في "توليد" "المعاناة"، وهو "ما" "يتقاطع" جزئياً مع "دور" "العقل" في "إعادة البناء المعرفي" ضمن "بروتوكول TLRT". غير أن "وجه" "القصور" – من "منظور" "استخلافي" – هو أن "REBT" "يفترض" "معياراً" "للعقلانية" "محايداً" "قيمياً" </w:t>
      </w:r>
      <w:proofErr w:type="spellStart"/>
      <w:r>
        <w:rPr>
          <w:rFonts w:ascii="Traditional Arabic" w:eastAsia="Traditional Arabic" w:hAnsi="Traditional Arabic" w:cs="Traditional Arabic"/>
          <w:color w:val="1A1A1A"/>
          <w:sz w:val="24"/>
          <w:szCs w:val="24"/>
          <w:rtl/>
        </w:rPr>
        <w:t>و"غائياً</w:t>
      </w:r>
      <w:proofErr w:type="spellEnd"/>
      <w:r>
        <w:rPr>
          <w:rFonts w:ascii="Traditional Arabic" w:eastAsia="Traditional Arabic" w:hAnsi="Traditional Arabic" w:cs="Traditional Arabic"/>
          <w:color w:val="1A1A1A"/>
          <w:sz w:val="24"/>
          <w:szCs w:val="24"/>
          <w:rtl/>
        </w:rPr>
        <w:t>": فـ"المعتقد" "العقلاني" عند "</w:t>
      </w:r>
      <w:proofErr w:type="spellStart"/>
      <w:r>
        <w:rPr>
          <w:rFonts w:ascii="Traditional Arabic" w:eastAsia="Traditional Arabic" w:hAnsi="Traditional Arabic" w:cs="Traditional Arabic"/>
          <w:color w:val="1A1A1A"/>
          <w:sz w:val="24"/>
          <w:szCs w:val="24"/>
          <w:rtl/>
        </w:rPr>
        <w:t>إليس</w:t>
      </w:r>
      <w:proofErr w:type="spellEnd"/>
      <w:r>
        <w:rPr>
          <w:rFonts w:ascii="Traditional Arabic" w:eastAsia="Traditional Arabic" w:hAnsi="Traditional Arabic" w:cs="Traditional Arabic"/>
          <w:color w:val="1A1A1A"/>
          <w:sz w:val="24"/>
          <w:szCs w:val="24"/>
          <w:rtl/>
        </w:rPr>
        <w:t>" هو "ما" "يخدم" "بقاء" "الفرد" و"سعادته" "الذاتية" و"تكيفه" مع "الواقع"، دون "أي" "إحالة" إلى "غاية" "متعالية" أو "معيار" "أخلاقي" "مطلق" خارج "الفرد" نفسه. وبعبارة "الزراع" نفسها، "العقل" هنا "أداة مهمة لكنها غير كافية" [5]: فقد "يُقنع" "المُعالَج" "عقلياً" بـ"التخلي" عن "معتقد" "مؤلم"، لكن "دون" أن "يمتلك" "بديلاً" "معنوياً" "يملأ" "الفراغ" الذي "يتركه" "هذا التخلي"، فيبقى "التغيير" "سطحياً" "هشاً" لأنه "معرفي" "محض"، لم "يُلامس" "القلب" ولم "يتصل" بـ"مصدر" "متعالٍ" "يمنح" "المعنى" "استقراره". ومن هنا "ضرورة" "التكامل" – في "بروتوكول TLRT" – بين "العقل" (كأداة تفكيك وبناء معرفي) و"الروح" (كمصدر للمعنى المتعالي) و"العاطفة" و"السلوك"، بحيث "لا يُترك" "التغيير" "معلقاً" في "فراغ" "عقلي" "بارد".</w:t>
      </w:r>
    </w:p>
    <w:p w14:paraId="0873F32A" w14:textId="77777777" w:rsidR="003D296D" w:rsidRDefault="00EE46CD" w:rsidP="00D47F99">
      <w:pPr>
        <w:pStyle w:val="1"/>
        <w:pBdr>
          <w:bottom w:val="single" w:sz="10" w:space="6" w:color="1B2A4A"/>
        </w:pBdr>
        <w:bidi/>
        <w:spacing w:before="400" w:after="200"/>
      </w:pPr>
      <w:r>
        <w:rPr>
          <w:rFonts w:ascii="Traditional Arabic" w:eastAsia="Traditional Arabic" w:hAnsi="Traditional Arabic" w:cs="Traditional Arabic"/>
          <w:b/>
          <w:bCs/>
          <w:color w:val="1B2A4A"/>
          <w:sz w:val="30"/>
          <w:szCs w:val="30"/>
          <w:rtl/>
        </w:rPr>
        <w:t>الفصل الخامس: "العقل" في "مواجهة" "الخوارزمية" – "الاستخلاف الرقمي الواعي"</w:t>
      </w:r>
    </w:p>
    <w:p w14:paraId="63443C5E" w14:textId="77777777" w:rsidR="003D296D" w:rsidRDefault="00EE46CD" w:rsidP="00D47F99">
      <w:pPr>
        <w:pStyle w:val="2"/>
        <w:bidi/>
        <w:spacing w:before="300" w:after="160"/>
      </w:pPr>
      <w:r>
        <w:rPr>
          <w:rFonts w:ascii="Traditional Arabic" w:eastAsia="Traditional Arabic" w:hAnsi="Traditional Arabic" w:cs="Traditional Arabic"/>
          <w:b/>
          <w:bCs/>
          <w:color w:val="0E6E6E"/>
          <w:rtl/>
        </w:rPr>
        <w:t>5.1 "الخوارزميات" و"موت العقل": "التسطيح" و"التفتيت" و"الإدمان"</w:t>
      </w:r>
    </w:p>
    <w:p w14:paraId="4BCCBF22" w14:textId="77777777" w:rsidR="003D296D" w:rsidRDefault="00EE46CD" w:rsidP="00D47F99">
      <w:pPr>
        <w:spacing w:after="180" w:line="340" w:lineRule="auto"/>
      </w:pPr>
      <w:r>
        <w:rPr>
          <w:rFonts w:ascii="Traditional Arabic" w:eastAsia="Traditional Arabic" w:hAnsi="Traditional Arabic" w:cs="Traditional Arabic"/>
          <w:color w:val="1A1A1A"/>
          <w:sz w:val="24"/>
          <w:szCs w:val="24"/>
          <w:rtl/>
        </w:rPr>
        <w:t>من "أخطر" "التحديات" التي "تواجه" "العقل" في "عصرنا الراهن" – كما "يُحلل" "الزراع" – هي "هيمنة" "الخوارزميات" و"منصات" "التواصل الاجتماعي". فهذه "المنصات" – التي "صُممت" "لاختطاف" "الانتباه" و"سرقة" "الوقت" – "تُهدد" "العقل" من "ثلاث" "جبهات":</w:t>
      </w:r>
    </w:p>
    <w:p w14:paraId="08CD6527" w14:textId="77777777" w:rsidR="003D296D" w:rsidRDefault="00EE46CD" w:rsidP="00D47F99">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"التسطيح": "تشجيع" "التفكير" "السريع" و"السطحي" و"الاختزالي" (عبر "</w:t>
      </w:r>
      <w:proofErr w:type="spellStart"/>
      <w:r>
        <w:rPr>
          <w:rFonts w:ascii="Traditional Arabic" w:eastAsia="Traditional Arabic" w:hAnsi="Traditional Arabic" w:cs="Traditional Arabic"/>
          <w:color w:val="1A1A1A"/>
          <w:sz w:val="24"/>
          <w:szCs w:val="24"/>
          <w:rtl/>
        </w:rPr>
        <w:t>التغريدات</w:t>
      </w:r>
      <w:proofErr w:type="spellEnd"/>
      <w:r>
        <w:rPr>
          <w:rFonts w:ascii="Traditional Arabic" w:eastAsia="Traditional Arabic" w:hAnsi="Traditional Arabic" w:cs="Traditional Arabic"/>
          <w:color w:val="1A1A1A"/>
          <w:sz w:val="24"/>
          <w:szCs w:val="24"/>
          <w:rtl/>
        </w:rPr>
        <w:t xml:space="preserve">" و"المنشورات" "القصيرة" و"الصور" و"الفيديوهات" "المُبهرة")، و"تثبيط" "التفكير" "العميق" </w:t>
      </w:r>
      <w:proofErr w:type="spellStart"/>
      <w:r>
        <w:rPr>
          <w:rFonts w:ascii="Traditional Arabic" w:eastAsia="Traditional Arabic" w:hAnsi="Traditional Arabic" w:cs="Traditional Arabic"/>
          <w:color w:val="1A1A1A"/>
          <w:sz w:val="24"/>
          <w:szCs w:val="24"/>
          <w:rtl/>
        </w:rPr>
        <w:t>و"المُركب</w:t>
      </w:r>
      <w:proofErr w:type="spellEnd"/>
      <w:r>
        <w:rPr>
          <w:rFonts w:ascii="Traditional Arabic" w:eastAsia="Traditional Arabic" w:hAnsi="Traditional Arabic" w:cs="Traditional Arabic"/>
          <w:color w:val="1A1A1A"/>
          <w:sz w:val="24"/>
          <w:szCs w:val="24"/>
          <w:rtl/>
        </w:rPr>
        <w:t xml:space="preserve">" و"النقدي" (الذي "يتطلب" "وقتاً" </w:t>
      </w:r>
      <w:proofErr w:type="spellStart"/>
      <w:r>
        <w:rPr>
          <w:rFonts w:ascii="Traditional Arabic" w:eastAsia="Traditional Arabic" w:hAnsi="Traditional Arabic" w:cs="Traditional Arabic"/>
          <w:color w:val="1A1A1A"/>
          <w:sz w:val="24"/>
          <w:szCs w:val="24"/>
          <w:rtl/>
        </w:rPr>
        <w:t>و"تركيزاً</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و"تأملاً</w:t>
      </w:r>
      <w:proofErr w:type="spellEnd"/>
      <w:r>
        <w:rPr>
          <w:rFonts w:ascii="Traditional Arabic" w:eastAsia="Traditional Arabic" w:hAnsi="Traditional Arabic" w:cs="Traditional Arabic"/>
          <w:color w:val="1A1A1A"/>
          <w:sz w:val="24"/>
          <w:szCs w:val="24"/>
          <w:rtl/>
        </w:rPr>
        <w:t>").</w:t>
      </w:r>
    </w:p>
    <w:p w14:paraId="4AAE4EED" w14:textId="77777777" w:rsidR="003D296D" w:rsidRDefault="00EE46CD" w:rsidP="00D47F99">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 xml:space="preserve">"التفتيت": "القفز" "المُستمر" بين "المُحتويات" "المُختلفة" </w:t>
      </w:r>
      <w:proofErr w:type="spellStart"/>
      <w:r>
        <w:rPr>
          <w:rFonts w:ascii="Traditional Arabic" w:eastAsia="Traditional Arabic" w:hAnsi="Traditional Arabic" w:cs="Traditional Arabic"/>
          <w:color w:val="1A1A1A"/>
          <w:sz w:val="24"/>
          <w:szCs w:val="24"/>
          <w:rtl/>
        </w:rPr>
        <w:t>و"المُتناقضة</w:t>
      </w:r>
      <w:proofErr w:type="spellEnd"/>
      <w:r>
        <w:rPr>
          <w:rFonts w:ascii="Traditional Arabic" w:eastAsia="Traditional Arabic" w:hAnsi="Traditional Arabic" w:cs="Traditional Arabic"/>
          <w:color w:val="1A1A1A"/>
          <w:sz w:val="24"/>
          <w:szCs w:val="24"/>
          <w:rtl/>
        </w:rPr>
        <w:t>"، مما "يُدمر" "القدرة" على "الانتباه" "المُتواصل" و"التركيز" على "موضوع" "واحد" لفترة "طويلة".</w:t>
      </w:r>
    </w:p>
    <w:p w14:paraId="1C16B80F" w14:textId="77777777" w:rsidR="003D296D" w:rsidRDefault="00EE46CD" w:rsidP="00D47F99">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"الإدمان": "استغلال" "نظام" "المُكافأة" في "الدماغ" (</w:t>
      </w:r>
      <w:proofErr w:type="spellStart"/>
      <w:r>
        <w:rPr>
          <w:rFonts w:ascii="Traditional Arabic" w:eastAsia="Traditional Arabic" w:hAnsi="Traditional Arabic" w:cs="Traditional Arabic"/>
          <w:color w:val="1A1A1A"/>
          <w:sz w:val="24"/>
          <w:szCs w:val="24"/>
          <w:rtl/>
        </w:rPr>
        <w:t>الدوبامين</w:t>
      </w:r>
      <w:proofErr w:type="spellEnd"/>
      <w:r>
        <w:rPr>
          <w:rFonts w:ascii="Traditional Arabic" w:eastAsia="Traditional Arabic" w:hAnsi="Traditional Arabic" w:cs="Traditional Arabic"/>
          <w:color w:val="1A1A1A"/>
          <w:sz w:val="24"/>
          <w:szCs w:val="24"/>
          <w:rtl/>
        </w:rPr>
        <w:t>) لـ"خلق" "حلقة" "لا نهائية" من "البحث" عن "الجديد" و"التحقق" من "الإشعارات"، مما "يُحول" "العقل" إلى "أداة" "سلبية" في "يد" "الخوارزميات".</w:t>
      </w:r>
    </w:p>
    <w:p w14:paraId="2E9FE8BF" w14:textId="77777777" w:rsidR="003D296D" w:rsidRDefault="00EE46CD" w:rsidP="00D47F99">
      <w:pPr>
        <w:pStyle w:val="2"/>
        <w:bidi/>
        <w:spacing w:before="300" w:after="160"/>
      </w:pPr>
      <w:r>
        <w:rPr>
          <w:rFonts w:ascii="Traditional Arabic" w:eastAsia="Traditional Arabic" w:hAnsi="Traditional Arabic" w:cs="Traditional Arabic"/>
          <w:b/>
          <w:bCs/>
          <w:color w:val="0E6E6E"/>
          <w:rtl/>
        </w:rPr>
        <w:t>5.2 "الاستخلاف الرقمي الواعي": "استعادة" "سيادة" "العقل"</w:t>
      </w:r>
    </w:p>
    <w:p w14:paraId="47B0C44C" w14:textId="77777777" w:rsidR="003D296D" w:rsidRDefault="00EE46CD" w:rsidP="00D47F99">
      <w:pPr>
        <w:spacing w:after="180" w:line="340" w:lineRule="auto"/>
      </w:pPr>
      <w:r>
        <w:rPr>
          <w:rFonts w:ascii="Traditional Arabic" w:eastAsia="Traditional Arabic" w:hAnsi="Traditional Arabic" w:cs="Traditional Arabic"/>
          <w:color w:val="1A1A1A"/>
          <w:sz w:val="24"/>
          <w:szCs w:val="24"/>
          <w:rtl/>
        </w:rPr>
        <w:t>في "مواجهة" هذه "التحديات"، "يطرح" "الزراع" مفهوم "الاستخلاف الرقمي الواعي". وهو "يعني" – باختصار – "استعادة" "الإنسان" لـ"سيادته" على "انتباهه" و"وقته" و"عقله"، و"استخدام" "التكنولوجيا" "بوعي" و"حكمة"، بدلاً من "أن" "تستخدمه" "هي".</w:t>
      </w:r>
    </w:p>
    <w:p w14:paraId="63677A70" w14:textId="77777777" w:rsidR="003D296D" w:rsidRDefault="00EE46CD" w:rsidP="00D47F99">
      <w:pPr>
        <w:spacing w:after="180" w:line="340" w:lineRule="auto"/>
      </w:pPr>
      <w:r>
        <w:rPr>
          <w:rFonts w:ascii="Traditional Arabic" w:eastAsia="Traditional Arabic" w:hAnsi="Traditional Arabic" w:cs="Traditional Arabic"/>
          <w:color w:val="1A1A1A"/>
          <w:sz w:val="24"/>
          <w:szCs w:val="24"/>
          <w:rtl/>
        </w:rPr>
        <w:t>وهذا "الاستخلاف" – كما "يُؤكد" "الزراع" – "يتطلب" "تدريب" "العقل" على "مهارات" "مُعينة"، منها:</w:t>
      </w:r>
    </w:p>
    <w:p w14:paraId="13D10AEF" w14:textId="77777777" w:rsidR="003D296D" w:rsidRDefault="00EE46CD" w:rsidP="00D47F99">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"التدبر" (</w:t>
      </w:r>
      <w:proofErr w:type="spellStart"/>
      <w:r>
        <w:rPr>
          <w:rFonts w:ascii="Traditional Arabic" w:eastAsia="Traditional Arabic" w:hAnsi="Traditional Arabic" w:cs="Traditional Arabic"/>
          <w:color w:val="1A1A1A"/>
          <w:sz w:val="24"/>
          <w:szCs w:val="24"/>
          <w:rtl/>
        </w:rPr>
        <w:t>Tafakkur</w:t>
      </w:r>
      <w:proofErr w:type="spellEnd"/>
      <w:r>
        <w:rPr>
          <w:rFonts w:ascii="Traditional Arabic" w:eastAsia="Traditional Arabic" w:hAnsi="Traditional Arabic" w:cs="Traditional Arabic"/>
          <w:color w:val="1A1A1A"/>
          <w:sz w:val="24"/>
          <w:szCs w:val="24"/>
          <w:rtl/>
        </w:rPr>
        <w:t>): "تخصيص" "وقت" "يومي" لـ"لتأمل" و"التفكير" "العميق" و"القراءة" "المُركزة"، بعيداً عن "المُشتتات" "الرقمية".</w:t>
      </w:r>
    </w:p>
    <w:p w14:paraId="559D2A0C" w14:textId="77777777" w:rsidR="003D296D" w:rsidRDefault="00EE46CD" w:rsidP="00D47F99">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"الصوم الرقمي" (</w:t>
      </w:r>
      <w:proofErr w:type="spellStart"/>
      <w:r>
        <w:rPr>
          <w:rFonts w:ascii="Traditional Arabic" w:eastAsia="Traditional Arabic" w:hAnsi="Traditional Arabic" w:cs="Traditional Arabic"/>
          <w:color w:val="1A1A1A"/>
          <w:sz w:val="24"/>
          <w:szCs w:val="24"/>
          <w:rtl/>
        </w:rPr>
        <w:t>Digital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Fasting</w:t>
      </w:r>
      <w:proofErr w:type="spellEnd"/>
      <w:r>
        <w:rPr>
          <w:rFonts w:ascii="Traditional Arabic" w:eastAsia="Traditional Arabic" w:hAnsi="Traditional Arabic" w:cs="Traditional Arabic"/>
          <w:color w:val="1A1A1A"/>
          <w:sz w:val="24"/>
          <w:szCs w:val="24"/>
          <w:rtl/>
        </w:rPr>
        <w:t>): "الانقطاع" "الدوري" عن "الأجهزة" و"المنصات" لـ"إعادة" "شحن" "الطاقة" "العقلية" و"استعادة" "التوازن".</w:t>
      </w:r>
    </w:p>
    <w:p w14:paraId="0962E32F" w14:textId="77777777" w:rsidR="003D296D" w:rsidRDefault="00EE46CD" w:rsidP="00D47F99">
      <w:pPr>
        <w:pStyle w:val="a4"/>
        <w:numPr>
          <w:ilvl w:val="0"/>
          <w:numId w:val="1"/>
        </w:numPr>
        <w:bidi/>
        <w:spacing w:after="120" w:line="320" w:lineRule="auto"/>
        <w:ind w:right="360"/>
      </w:pPr>
      <w:r>
        <w:rPr>
          <w:rFonts w:ascii="Traditional Arabic" w:eastAsia="Traditional Arabic" w:hAnsi="Traditional Arabic" w:cs="Traditional Arabic"/>
          <w:color w:val="1A1A1A"/>
          <w:sz w:val="24"/>
          <w:szCs w:val="24"/>
          <w:rtl/>
        </w:rPr>
        <w:t xml:space="preserve">"النقد" "الواعي": "عدم" "تصديق" "كل" ما "يُعرض" على "الشاشات"، و"تطوير" "القدرة" على "التمييز" بين "المعلومات" "الصحيحة" </w:t>
      </w:r>
      <w:proofErr w:type="spellStart"/>
      <w:r>
        <w:rPr>
          <w:rFonts w:ascii="Traditional Arabic" w:eastAsia="Traditional Arabic" w:hAnsi="Traditional Arabic" w:cs="Traditional Arabic"/>
          <w:color w:val="1A1A1A"/>
          <w:sz w:val="24"/>
          <w:szCs w:val="24"/>
          <w:rtl/>
        </w:rPr>
        <w:t>و"المُضللة</w:t>
      </w:r>
      <w:proofErr w:type="spellEnd"/>
      <w:r>
        <w:rPr>
          <w:rFonts w:ascii="Traditional Arabic" w:eastAsia="Traditional Arabic" w:hAnsi="Traditional Arabic" w:cs="Traditional Arabic"/>
          <w:color w:val="1A1A1A"/>
          <w:sz w:val="24"/>
          <w:szCs w:val="24"/>
          <w:rtl/>
        </w:rPr>
        <w:t xml:space="preserve">"، و"الحقائق" و"الآراء"، </w:t>
      </w:r>
      <w:proofErr w:type="spellStart"/>
      <w:r>
        <w:rPr>
          <w:rFonts w:ascii="Traditional Arabic" w:eastAsia="Traditional Arabic" w:hAnsi="Traditional Arabic" w:cs="Traditional Arabic"/>
          <w:color w:val="1A1A1A"/>
          <w:sz w:val="24"/>
          <w:szCs w:val="24"/>
          <w:rtl/>
        </w:rPr>
        <w:t>و"المُحتوى</w:t>
      </w:r>
      <w:proofErr w:type="spellEnd"/>
      <w:r>
        <w:rPr>
          <w:rFonts w:ascii="Traditional Arabic" w:eastAsia="Traditional Arabic" w:hAnsi="Traditional Arabic" w:cs="Traditional Arabic"/>
          <w:color w:val="1A1A1A"/>
          <w:sz w:val="24"/>
          <w:szCs w:val="24"/>
          <w:rtl/>
        </w:rPr>
        <w:t xml:space="preserve">" "الهادف" </w:t>
      </w:r>
      <w:proofErr w:type="spellStart"/>
      <w:r>
        <w:rPr>
          <w:rFonts w:ascii="Traditional Arabic" w:eastAsia="Traditional Arabic" w:hAnsi="Traditional Arabic" w:cs="Traditional Arabic"/>
          <w:color w:val="1A1A1A"/>
          <w:sz w:val="24"/>
          <w:szCs w:val="24"/>
          <w:rtl/>
        </w:rPr>
        <w:t>و"المُحتوى</w:t>
      </w:r>
      <w:proofErr w:type="spellEnd"/>
      <w:r>
        <w:rPr>
          <w:rFonts w:ascii="Traditional Arabic" w:eastAsia="Traditional Arabic" w:hAnsi="Traditional Arabic" w:cs="Traditional Arabic"/>
          <w:color w:val="1A1A1A"/>
          <w:sz w:val="24"/>
          <w:szCs w:val="24"/>
          <w:rtl/>
        </w:rPr>
        <w:t>" "التافه".</w:t>
      </w:r>
    </w:p>
    <w:p w14:paraId="31B226DD" w14:textId="2E02C402" w:rsidR="003D296D" w:rsidRDefault="00EE46CD" w:rsidP="00D47F99">
      <w:pPr>
        <w:pStyle w:val="2"/>
        <w:bidi/>
        <w:spacing w:before="300" w:after="160"/>
      </w:pPr>
      <w:r>
        <w:rPr>
          <w:rFonts w:ascii="Traditional Arabic" w:eastAsia="Traditional Arabic" w:hAnsi="Traditional Arabic" w:cs="Traditional Arabic"/>
          <w:b/>
          <w:bCs/>
          <w:color w:val="0E6E6E"/>
          <w:rtl/>
        </w:rPr>
        <w:t>5.3 الفارابي الرقمي: نحو "مدينة فاضلة رقمية" في ضوء الاستخلاف</w:t>
      </w:r>
    </w:p>
    <w:p w14:paraId="1A89CD3F" w14:textId="77777777" w:rsidR="003D296D" w:rsidRDefault="00EE46CD" w:rsidP="00D47F99">
      <w:pPr>
        <w:spacing w:after="180" w:line="340" w:lineRule="auto"/>
      </w:pPr>
      <w:r>
        <w:rPr>
          <w:rFonts w:ascii="Traditional Arabic" w:eastAsia="Traditional Arabic" w:hAnsi="Traditional Arabic" w:cs="Traditional Arabic"/>
          <w:color w:val="1A1A1A"/>
          <w:sz w:val="24"/>
          <w:szCs w:val="24"/>
          <w:rtl/>
        </w:rPr>
        <w:t>يجد "التحليل الاستخلافي" في "فلسفة" "أبي نصر الفارابي" السياسية – كما "بسطها" في "آراء أهل المدينة الفاضلة" – "مادة" "خصبة" لـ"إعادة" "التفكير" في "التحدي الرقمي" المعاصر. فـ"الفارابي" "يبني" "تصوره" لـ"المدينة الفاضلة" على "تراتبية" "عقلية" تبدأ بـ"العقل الفعال" (</w:t>
      </w:r>
      <w:proofErr w:type="spellStart"/>
      <w:r>
        <w:rPr>
          <w:rFonts w:ascii="Traditional Arabic" w:eastAsia="Traditional Arabic" w:hAnsi="Traditional Arabic" w:cs="Traditional Arabic"/>
          <w:color w:val="1A1A1A"/>
          <w:sz w:val="24"/>
          <w:szCs w:val="24"/>
          <w:rtl/>
        </w:rPr>
        <w:t>Active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Intellect</w:t>
      </w:r>
      <w:proofErr w:type="spellEnd"/>
      <w:r>
        <w:rPr>
          <w:rFonts w:ascii="Traditional Arabic" w:eastAsia="Traditional Arabic" w:hAnsi="Traditional Arabic" w:cs="Traditional Arabic"/>
          <w:color w:val="1A1A1A"/>
          <w:sz w:val="24"/>
          <w:szCs w:val="24"/>
          <w:rtl/>
        </w:rPr>
        <w:t>) المتصل بـ"الفيض" الإلهي، وتتدرج نزولاً إلى "عقول" "أفراد" "المدينة"، بحيث "تكون" "سعادة" "المدينة" "مرهونة" بـ"مدى" "اتساق" "معارف" "أهلها" و"غاياتهم" مع "هذا الفيض العقلي" الأسمى؛ في مقابل "المدن" "الجاهلة" و"الفاسقة" و"الضالة" التي "تحيد" "غاياتها" عن "هذا الأصل" [20].</w:t>
      </w:r>
    </w:p>
    <w:p w14:paraId="33939F03" w14:textId="77777777" w:rsidR="003D296D" w:rsidRDefault="00EE46CD" w:rsidP="00D47F99">
      <w:pPr>
        <w:spacing w:after="180" w:line="340" w:lineRule="auto"/>
      </w:pPr>
      <w:r>
        <w:rPr>
          <w:rFonts w:ascii="Traditional Arabic" w:eastAsia="Traditional Arabic" w:hAnsi="Traditional Arabic" w:cs="Traditional Arabic"/>
          <w:color w:val="1A1A1A"/>
          <w:sz w:val="24"/>
          <w:szCs w:val="24"/>
          <w:rtl/>
        </w:rPr>
        <w:t xml:space="preserve">و"يستعير" "التحليل الاستخلافي" من "هذه البنية" </w:t>
      </w:r>
      <w:proofErr w:type="spellStart"/>
      <w:r>
        <w:rPr>
          <w:rFonts w:ascii="Traditional Arabic" w:eastAsia="Traditional Arabic" w:hAnsi="Traditional Arabic" w:cs="Traditional Arabic"/>
          <w:color w:val="1A1A1A"/>
          <w:sz w:val="24"/>
          <w:szCs w:val="24"/>
          <w:rtl/>
        </w:rPr>
        <w:t>الفارابية</w:t>
      </w:r>
      <w:proofErr w:type="spellEnd"/>
      <w:r>
        <w:rPr>
          <w:rFonts w:ascii="Traditional Arabic" w:eastAsia="Traditional Arabic" w:hAnsi="Traditional Arabic" w:cs="Traditional Arabic"/>
          <w:color w:val="1A1A1A"/>
          <w:sz w:val="24"/>
          <w:szCs w:val="24"/>
          <w:rtl/>
        </w:rPr>
        <w:t xml:space="preserve"> "أداة" "تحليلية" لـ"وصف" "ما" "يمكن" تسميته بـ"المدينة الافتراضية الجاهلة" التي "تُشكلها" "الخوارزميات" اليوم: فـ"هذه المدينة الرقمية" لا "تُرتب" "أولوياتها" وفق "فيض" "عقلي" يهدف إلى "الفضيلة" و"الحق"، بل وفق "منطق" "الانخراط" (</w:t>
      </w:r>
      <w:proofErr w:type="spellStart"/>
      <w:r>
        <w:rPr>
          <w:rFonts w:ascii="Traditional Arabic" w:eastAsia="Traditional Arabic" w:hAnsi="Traditional Arabic" w:cs="Traditional Arabic"/>
          <w:color w:val="1A1A1A"/>
          <w:sz w:val="24"/>
          <w:szCs w:val="24"/>
          <w:rtl/>
        </w:rPr>
        <w:t>Engagement</w:t>
      </w:r>
      <w:proofErr w:type="spellEnd"/>
      <w:r>
        <w:rPr>
          <w:rFonts w:ascii="Traditional Arabic" w:eastAsia="Traditional Arabic" w:hAnsi="Traditional Arabic" w:cs="Traditional Arabic"/>
          <w:color w:val="1A1A1A"/>
          <w:sz w:val="24"/>
          <w:szCs w:val="24"/>
          <w:rtl/>
        </w:rPr>
        <w:t>) الذي "يعظّم" "الوقت المستهلك" و"الأرباح الإعلانية"، بصرف "النظر" عن "أثر" "ذلك" على "عقول" "المستخدمين" و"أخلاقهم". وفي مقابل "هذه المدينة الجاهلة الرقمية"، "يطرح" "الاستخلاف الرقمي الواعي" – ضمنياً – "تصوراً" لـ"مدينة فاضلة رقمية" "بديلة"، "تُصمَّم" "بيئتها" التقنية بحيث "تخدم" "الفيض" "العقلي القيمي" (الحق، الخير، المعنى) بدل أن "تُخضعه" لـ"منطق" "السوق" و"الانتباه" الخالص، وهو "مشروع" "يستدعي" "تجديداً" "معاصراً" لـ"الفلسفة السياسية" "</w:t>
      </w:r>
      <w:proofErr w:type="spellStart"/>
      <w:r>
        <w:rPr>
          <w:rFonts w:ascii="Traditional Arabic" w:eastAsia="Traditional Arabic" w:hAnsi="Traditional Arabic" w:cs="Traditional Arabic"/>
          <w:color w:val="1A1A1A"/>
          <w:sz w:val="24"/>
          <w:szCs w:val="24"/>
          <w:rtl/>
        </w:rPr>
        <w:t>الفارابية</w:t>
      </w:r>
      <w:proofErr w:type="spellEnd"/>
      <w:r>
        <w:rPr>
          <w:rFonts w:ascii="Traditional Arabic" w:eastAsia="Traditional Arabic" w:hAnsi="Traditional Arabic" w:cs="Traditional Arabic"/>
          <w:color w:val="1A1A1A"/>
          <w:sz w:val="24"/>
          <w:szCs w:val="24"/>
          <w:rtl/>
        </w:rPr>
        <w:t>" في "عصر" "الخوارزميات".</w:t>
      </w:r>
    </w:p>
    <w:p w14:paraId="4148079D" w14:textId="282972EE" w:rsidR="003D296D" w:rsidRDefault="00EE46CD" w:rsidP="00D47F99">
      <w:pPr>
        <w:pStyle w:val="2"/>
        <w:bidi/>
        <w:spacing w:before="300" w:after="160"/>
      </w:pPr>
      <w:r>
        <w:rPr>
          <w:rFonts w:ascii="Traditional Arabic" w:eastAsia="Traditional Arabic" w:hAnsi="Traditional Arabic" w:cs="Traditional Arabic"/>
          <w:b/>
          <w:bCs/>
          <w:color w:val="0E6E6E"/>
          <w:rtl/>
        </w:rPr>
        <w:t xml:space="preserve">5.4  </w:t>
      </w:r>
      <w:proofErr w:type="spellStart"/>
      <w:r>
        <w:rPr>
          <w:rFonts w:ascii="Traditional Arabic" w:eastAsia="Traditional Arabic" w:hAnsi="Traditional Arabic" w:cs="Traditional Arabic"/>
          <w:b/>
          <w:bCs/>
          <w:color w:val="0E6E6E"/>
          <w:rtl/>
        </w:rPr>
        <w:t>زوبوف</w:t>
      </w:r>
      <w:proofErr w:type="spellEnd"/>
      <w:r>
        <w:rPr>
          <w:rFonts w:ascii="Traditional Arabic" w:eastAsia="Traditional Arabic" w:hAnsi="Traditional Arabic" w:cs="Traditional Arabic"/>
          <w:b/>
          <w:bCs/>
          <w:color w:val="0E6E6E"/>
          <w:rtl/>
        </w:rPr>
        <w:t xml:space="preserve"> وكار وتركل: تشخيص غربي للأزمة ذاتها من زاوية مختلفة</w:t>
      </w:r>
    </w:p>
    <w:p w14:paraId="0358DD7E" w14:textId="77777777" w:rsidR="003D296D" w:rsidRDefault="00EE46CD" w:rsidP="00D47F99">
      <w:pPr>
        <w:spacing w:after="180" w:line="340" w:lineRule="auto"/>
      </w:pPr>
      <w:r>
        <w:rPr>
          <w:rFonts w:ascii="Traditional Arabic" w:eastAsia="Traditional Arabic" w:hAnsi="Traditional Arabic" w:cs="Traditional Arabic"/>
          <w:color w:val="1A1A1A"/>
          <w:sz w:val="24"/>
          <w:szCs w:val="24"/>
          <w:rtl/>
        </w:rPr>
        <w:t xml:space="preserve">من "المفيد" – "منهجياً" – أن "نلاحظ" أن "تشخيص" "الزراع" لـ"أزمة" "العقل" الرقمية "يتقاطع" مع "تشخيصات" "غربية" "نقدية" "بارزة"، وإن "اختلفت" عنها في "الأفق" "الغائي" لـ"الحل" المقترح. فـ"شوشانا </w:t>
      </w:r>
      <w:proofErr w:type="spellStart"/>
      <w:r>
        <w:rPr>
          <w:rFonts w:ascii="Traditional Arabic" w:eastAsia="Traditional Arabic" w:hAnsi="Traditional Arabic" w:cs="Traditional Arabic"/>
          <w:color w:val="1A1A1A"/>
          <w:sz w:val="24"/>
          <w:szCs w:val="24"/>
          <w:rtl/>
        </w:rPr>
        <w:t>زوبوف</w:t>
      </w:r>
      <w:proofErr w:type="spellEnd"/>
      <w:r>
        <w:rPr>
          <w:rFonts w:ascii="Traditional Arabic" w:eastAsia="Traditional Arabic" w:hAnsi="Traditional Arabic" w:cs="Traditional Arabic"/>
          <w:color w:val="1A1A1A"/>
          <w:sz w:val="24"/>
          <w:szCs w:val="24"/>
          <w:rtl/>
        </w:rPr>
        <w:t xml:space="preserve">"، في "عصر رأسمالية المراقبة"، "تكشف" كيف "تحولت" "بيانات" "سلوك" "المستخدمين" إلى "مادة خام" "تُستخرج" </w:t>
      </w:r>
      <w:proofErr w:type="spellStart"/>
      <w:r>
        <w:rPr>
          <w:rFonts w:ascii="Traditional Arabic" w:eastAsia="Traditional Arabic" w:hAnsi="Traditional Arabic" w:cs="Traditional Arabic"/>
          <w:color w:val="1A1A1A"/>
          <w:sz w:val="24"/>
          <w:szCs w:val="24"/>
          <w:rtl/>
        </w:rPr>
        <w:t>و"تُصنَّع</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و"تُباع</w:t>
      </w:r>
      <w:proofErr w:type="spellEnd"/>
      <w:r>
        <w:rPr>
          <w:rFonts w:ascii="Traditional Arabic" w:eastAsia="Traditional Arabic" w:hAnsi="Traditional Arabic" w:cs="Traditional Arabic"/>
          <w:color w:val="1A1A1A"/>
          <w:sz w:val="24"/>
          <w:szCs w:val="24"/>
          <w:rtl/>
        </w:rPr>
        <w:t>" لـ"التنبؤ" بـ"سلوكهم" و"توجيهه"، في "شكل" "جديد" "كلياً" من "أشكال" "التراكم" الرأسمالي "يقوم" على "نزع الملكية" من "التجربة" الإنسانية ذاتها [13]. و"نيكولاس كار"، في "الضحلون"، "يوثق" – استناداً إلى "أدلة" "عصبية" – كيف "تُعيد" "الإنترنت" "تشكيل" "الدماغ" نحو "القراءة" "السريعة" "المتقطعة" على "حساب" "التركيز" "العميق" و"المطول" [14]. أما "شيري تركل"، في "استعادة المحادثة"، "فتُظهر" كيف "يُضعف" "الإفراط" في "التواصل" "الرقمي" "قدرتنا" على "التعاطف" و"الحضور" "الكامل" في "العلاقات" "الإنسانية" "المباشرة" [15].</w:t>
      </w:r>
    </w:p>
    <w:p w14:paraId="0335DAE2" w14:textId="77777777" w:rsidR="003D296D" w:rsidRDefault="00EE46CD" w:rsidP="00D47F99">
      <w:pPr>
        <w:spacing w:after="180" w:line="340" w:lineRule="auto"/>
      </w:pPr>
      <w:r>
        <w:rPr>
          <w:rFonts w:ascii="Traditional Arabic" w:eastAsia="Traditional Arabic" w:hAnsi="Traditional Arabic" w:cs="Traditional Arabic"/>
          <w:color w:val="1A1A1A"/>
          <w:sz w:val="24"/>
          <w:szCs w:val="24"/>
          <w:rtl/>
        </w:rPr>
        <w:t>و"القيمة المنهجية" لـ"هذا التقاطع" أن "المشروع الاستخلافي" لا "ينفرد" بـ"تشخيص" "هذه الأزمة" من "منطلق" "ديني" "معزول"، بل "يشارك" فيه "تيار" "نقدي" "علماني" "واسع" داخل "</w:t>
      </w:r>
      <w:proofErr w:type="spellStart"/>
      <w:r>
        <w:rPr>
          <w:rFonts w:ascii="Traditional Arabic" w:eastAsia="Traditional Arabic" w:hAnsi="Traditional Arabic" w:cs="Traditional Arabic"/>
          <w:color w:val="1A1A1A"/>
          <w:sz w:val="24"/>
          <w:szCs w:val="24"/>
          <w:rtl/>
        </w:rPr>
        <w:t>الأكاديميا</w:t>
      </w:r>
      <w:proofErr w:type="spellEnd"/>
      <w:r>
        <w:rPr>
          <w:rFonts w:ascii="Traditional Arabic" w:eastAsia="Traditional Arabic" w:hAnsi="Traditional Arabic" w:cs="Traditional Arabic"/>
          <w:color w:val="1A1A1A"/>
          <w:sz w:val="24"/>
          <w:szCs w:val="24"/>
          <w:rtl/>
        </w:rPr>
        <w:t>" الغربية نفسها، مما "يمنح" "التحليل الاستخلافي" "مصداقية" "تجريبية" "إضافية". غير أن "الفارق" "الحاسم" يبقى في "طبيعة" "البديل" المقترح: فـ"</w:t>
      </w:r>
      <w:proofErr w:type="spellStart"/>
      <w:r>
        <w:rPr>
          <w:rFonts w:ascii="Traditional Arabic" w:eastAsia="Traditional Arabic" w:hAnsi="Traditional Arabic" w:cs="Traditional Arabic"/>
          <w:color w:val="1A1A1A"/>
          <w:sz w:val="24"/>
          <w:szCs w:val="24"/>
          <w:rtl/>
        </w:rPr>
        <w:t>زوبوف</w:t>
      </w:r>
      <w:proofErr w:type="spellEnd"/>
      <w:r>
        <w:rPr>
          <w:rFonts w:ascii="Traditional Arabic" w:eastAsia="Traditional Arabic" w:hAnsi="Traditional Arabic" w:cs="Traditional Arabic"/>
          <w:color w:val="1A1A1A"/>
          <w:sz w:val="24"/>
          <w:szCs w:val="24"/>
          <w:rtl/>
        </w:rPr>
        <w:t>" و"كار" و"تركل" "يقترحون" – في "الغالب" – "حلولاً" "تنظيمية" أو "سلوكية" (تشريعات لحماية البيانات، عادات رقمية أكثر توازناً) تبقى "ضمن" "أفق" "علماني" "</w:t>
      </w:r>
      <w:proofErr w:type="spellStart"/>
      <w:r>
        <w:rPr>
          <w:rFonts w:ascii="Traditional Arabic" w:eastAsia="Traditional Arabic" w:hAnsi="Traditional Arabic" w:cs="Traditional Arabic"/>
          <w:color w:val="1A1A1A"/>
          <w:sz w:val="24"/>
          <w:szCs w:val="24"/>
          <w:rtl/>
        </w:rPr>
        <w:t>محايث</w:t>
      </w:r>
      <w:proofErr w:type="spellEnd"/>
      <w:r>
        <w:rPr>
          <w:rFonts w:ascii="Traditional Arabic" w:eastAsia="Traditional Arabic" w:hAnsi="Traditional Arabic" w:cs="Traditional Arabic"/>
          <w:color w:val="1A1A1A"/>
          <w:sz w:val="24"/>
          <w:szCs w:val="24"/>
          <w:rtl/>
        </w:rPr>
        <w:t>"؛ بينما "يضع" "الاستخلاف الرقمي الواعي" "هذه الحلول" "الإجرائية" ذاتها ضمن "غاية" "متعالية" أشمل: "استعادة" "سيادة" "العقل" لا لـ"ذاتها" فحسب، بل بوصفها "شرطاً" لـ"تحقيق" "وظيفة" "الاستخلاف" و"عمارة الأرض".</w:t>
      </w:r>
    </w:p>
    <w:p w14:paraId="441AB4BE" w14:textId="77777777" w:rsidR="003D296D" w:rsidRDefault="00EE46CD" w:rsidP="00D47F99">
      <w:pPr>
        <w:pStyle w:val="1"/>
        <w:pBdr>
          <w:bottom w:val="single" w:sz="10" w:space="6" w:color="1B2A4A"/>
        </w:pBdr>
        <w:bidi/>
        <w:spacing w:before="400" w:after="200"/>
      </w:pPr>
      <w:r>
        <w:rPr>
          <w:rFonts w:ascii="Traditional Arabic" w:eastAsia="Traditional Arabic" w:hAnsi="Traditional Arabic" w:cs="Traditional Arabic"/>
          <w:b/>
          <w:bCs/>
          <w:color w:val="1B2A4A"/>
          <w:sz w:val="30"/>
          <w:szCs w:val="30"/>
          <w:rtl/>
        </w:rPr>
        <w:t>خاتمة: "العقل" – "بوصلة الخليفة" في "متاهة" "الوجود"</w:t>
      </w:r>
    </w:p>
    <w:p w14:paraId="4F94B00C" w14:textId="77777777" w:rsidR="003D296D" w:rsidRDefault="00EE46CD" w:rsidP="00D47F99">
      <w:pPr>
        <w:spacing w:after="180" w:line="340" w:lineRule="auto"/>
      </w:pPr>
      <w:r>
        <w:rPr>
          <w:rFonts w:ascii="Traditional Arabic" w:eastAsia="Traditional Arabic" w:hAnsi="Traditional Arabic" w:cs="Traditional Arabic"/>
          <w:color w:val="1A1A1A"/>
          <w:sz w:val="24"/>
          <w:szCs w:val="24"/>
          <w:rtl/>
        </w:rPr>
        <w:t xml:space="preserve">في نهاية هذه "الدراسة الموسعة"، نخلص إلى أن "مفهوم العقل" في "النظرية الاستخلافية" هو "مفهوم" "ثري" </w:t>
      </w:r>
      <w:proofErr w:type="spellStart"/>
      <w:r>
        <w:rPr>
          <w:rFonts w:ascii="Traditional Arabic" w:eastAsia="Traditional Arabic" w:hAnsi="Traditional Arabic" w:cs="Traditional Arabic"/>
          <w:color w:val="1A1A1A"/>
          <w:sz w:val="24"/>
          <w:szCs w:val="24"/>
          <w:rtl/>
        </w:rPr>
        <w:t>و"مُركب</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و"مُتعدد</w:t>
      </w:r>
      <w:proofErr w:type="spellEnd"/>
      <w:r>
        <w:rPr>
          <w:rFonts w:ascii="Traditional Arabic" w:eastAsia="Traditional Arabic" w:hAnsi="Traditional Arabic" w:cs="Traditional Arabic"/>
          <w:color w:val="1A1A1A"/>
          <w:sz w:val="24"/>
          <w:szCs w:val="24"/>
          <w:rtl/>
        </w:rPr>
        <w:t xml:space="preserve"> الأبعاد"، "يتجاوز" – بكثير – "المفهوم" "المادي" "الضيق" للذكاء. إنه "ملكة روحية للتمييز"، و"دليل وحَكَم للنفس"، و"أداة لتفعيل الأضلاع الصاعدة"، و"بوصلة الخليفة" في "متاهة" "الوجود".</w:t>
      </w:r>
    </w:p>
    <w:p w14:paraId="163290BB" w14:textId="77777777" w:rsidR="003D296D" w:rsidRDefault="00EE46CD" w:rsidP="00D47F99">
      <w:pPr>
        <w:spacing w:after="180" w:line="340" w:lineRule="auto"/>
      </w:pPr>
      <w:r>
        <w:rPr>
          <w:rFonts w:ascii="Traditional Arabic" w:eastAsia="Traditional Arabic" w:hAnsi="Traditional Arabic" w:cs="Traditional Arabic"/>
          <w:color w:val="1A1A1A"/>
          <w:sz w:val="24"/>
          <w:szCs w:val="24"/>
          <w:rtl/>
        </w:rPr>
        <w:t>ولقد "بيّنت" "هذه الدراسة" أن "هذا المفهوم" لا "ينشأ" في "فراغ" فلسفي، بل "يتشكل" عبر "حوار" "نقدي" "دقيق" مع "أعمق" "التيارات" الفكرية الغربية – من "</w:t>
      </w:r>
      <w:proofErr w:type="spellStart"/>
      <w:r>
        <w:rPr>
          <w:rFonts w:ascii="Traditional Arabic" w:eastAsia="Traditional Arabic" w:hAnsi="Traditional Arabic" w:cs="Traditional Arabic"/>
          <w:color w:val="1A1A1A"/>
          <w:sz w:val="24"/>
          <w:szCs w:val="24"/>
          <w:rtl/>
        </w:rPr>
        <w:t>الكوجيتو</w:t>
      </w:r>
      <w:proofErr w:type="spellEnd"/>
      <w:r>
        <w:rPr>
          <w:rFonts w:ascii="Traditional Arabic" w:eastAsia="Traditional Arabic" w:hAnsi="Traditional Arabic" w:cs="Traditional Arabic"/>
          <w:color w:val="1A1A1A"/>
          <w:sz w:val="24"/>
          <w:szCs w:val="24"/>
          <w:rtl/>
        </w:rPr>
        <w:t xml:space="preserve">" الديكارتي إلى "نقد" "العقل الخالص" </w:t>
      </w:r>
      <w:proofErr w:type="spellStart"/>
      <w:r>
        <w:rPr>
          <w:rFonts w:ascii="Traditional Arabic" w:eastAsia="Traditional Arabic" w:hAnsi="Traditional Arabic" w:cs="Traditional Arabic"/>
          <w:color w:val="1A1A1A"/>
          <w:sz w:val="24"/>
          <w:szCs w:val="24"/>
          <w:rtl/>
        </w:rPr>
        <w:t>الكانطي</w:t>
      </w:r>
      <w:proofErr w:type="spellEnd"/>
      <w:r>
        <w:rPr>
          <w:rFonts w:ascii="Traditional Arabic" w:eastAsia="Traditional Arabic" w:hAnsi="Traditional Arabic" w:cs="Traditional Arabic"/>
          <w:color w:val="1A1A1A"/>
          <w:sz w:val="24"/>
          <w:szCs w:val="24"/>
          <w:rtl/>
        </w:rPr>
        <w:t>، ومن "أنطولوجيا" "</w:t>
      </w:r>
      <w:proofErr w:type="spellStart"/>
      <w:r>
        <w:rPr>
          <w:rFonts w:ascii="Traditional Arabic" w:eastAsia="Traditional Arabic" w:hAnsi="Traditional Arabic" w:cs="Traditional Arabic"/>
          <w:color w:val="1A1A1A"/>
          <w:sz w:val="24"/>
          <w:szCs w:val="24"/>
          <w:rtl/>
        </w:rPr>
        <w:t>الدازاين</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الهيدغرية</w:t>
      </w:r>
      <w:proofErr w:type="spellEnd"/>
      <w:r>
        <w:rPr>
          <w:rFonts w:ascii="Traditional Arabic" w:eastAsia="Traditional Arabic" w:hAnsi="Traditional Arabic" w:cs="Traditional Arabic"/>
          <w:color w:val="1A1A1A"/>
          <w:sz w:val="24"/>
          <w:szCs w:val="24"/>
          <w:rtl/>
        </w:rPr>
        <w:t xml:space="preserve"> إلى "حياة الذهن" </w:t>
      </w:r>
      <w:proofErr w:type="spellStart"/>
      <w:r>
        <w:rPr>
          <w:rFonts w:ascii="Traditional Arabic" w:eastAsia="Traditional Arabic" w:hAnsi="Traditional Arabic" w:cs="Traditional Arabic"/>
          <w:color w:val="1A1A1A"/>
          <w:sz w:val="24"/>
          <w:szCs w:val="24"/>
          <w:rtl/>
        </w:rPr>
        <w:t>الأرندتية</w:t>
      </w:r>
      <w:proofErr w:type="spellEnd"/>
      <w:r>
        <w:rPr>
          <w:rFonts w:ascii="Traditional Arabic" w:eastAsia="Traditional Arabic" w:hAnsi="Traditional Arabic" w:cs="Traditional Arabic"/>
          <w:color w:val="1A1A1A"/>
          <w:sz w:val="24"/>
          <w:szCs w:val="24"/>
          <w:rtl/>
        </w:rPr>
        <w:t>، ومن "نماذج" "العقل" العصبية-المعرفية المعاصرة (</w:t>
      </w:r>
      <w:proofErr w:type="spellStart"/>
      <w:r>
        <w:rPr>
          <w:rFonts w:ascii="Traditional Arabic" w:eastAsia="Traditional Arabic" w:hAnsi="Traditional Arabic" w:cs="Traditional Arabic"/>
          <w:color w:val="1A1A1A"/>
          <w:sz w:val="24"/>
          <w:szCs w:val="24"/>
          <w:rtl/>
        </w:rPr>
        <w:t>كانمان</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لودو</w:t>
      </w:r>
      <w:proofErr w:type="spellEnd"/>
      <w:r>
        <w:rPr>
          <w:rFonts w:ascii="Traditional Arabic" w:eastAsia="Traditional Arabic" w:hAnsi="Traditional Arabic" w:cs="Traditional Arabic"/>
          <w:color w:val="1A1A1A"/>
          <w:sz w:val="24"/>
          <w:szCs w:val="24"/>
          <w:rtl/>
        </w:rPr>
        <w:t xml:space="preserve">، سيغل، </w:t>
      </w:r>
      <w:proofErr w:type="spellStart"/>
      <w:r>
        <w:rPr>
          <w:rFonts w:ascii="Traditional Arabic" w:eastAsia="Traditional Arabic" w:hAnsi="Traditional Arabic" w:cs="Traditional Arabic"/>
          <w:color w:val="1A1A1A"/>
          <w:sz w:val="24"/>
          <w:szCs w:val="24"/>
          <w:rtl/>
        </w:rPr>
        <w:t>دويدج</w:t>
      </w:r>
      <w:proofErr w:type="spellEnd"/>
      <w:r>
        <w:rPr>
          <w:rFonts w:ascii="Traditional Arabic" w:eastAsia="Traditional Arabic" w:hAnsi="Traditional Arabic" w:cs="Traditional Arabic"/>
          <w:color w:val="1A1A1A"/>
          <w:sz w:val="24"/>
          <w:szCs w:val="24"/>
          <w:rtl/>
        </w:rPr>
        <w:t>) إلى "نقد" "الرأسمالية" الرقمية (</w:t>
      </w:r>
      <w:proofErr w:type="spellStart"/>
      <w:r>
        <w:rPr>
          <w:rFonts w:ascii="Traditional Arabic" w:eastAsia="Traditional Arabic" w:hAnsi="Traditional Arabic" w:cs="Traditional Arabic"/>
          <w:color w:val="1A1A1A"/>
          <w:sz w:val="24"/>
          <w:szCs w:val="24"/>
          <w:rtl/>
        </w:rPr>
        <w:t>زوبوف</w:t>
      </w:r>
      <w:proofErr w:type="spellEnd"/>
      <w:r>
        <w:rPr>
          <w:rFonts w:ascii="Traditional Arabic" w:eastAsia="Traditional Arabic" w:hAnsi="Traditional Arabic" w:cs="Traditional Arabic"/>
          <w:color w:val="1A1A1A"/>
          <w:sz w:val="24"/>
          <w:szCs w:val="24"/>
          <w:rtl/>
        </w:rPr>
        <w:t>، كار، تركل) – في "الوقت" الذي "يستعيد" فيه، بـ"وعي" "منهجي" "دقيق"، "أعمق" "طبقات" "التراث" الإسلامي في "علم القلوب" عند المحاسبي والغزالي وابن القيم، و"الفلسفة السياسية" العقلية عند الفارابي.</w:t>
      </w:r>
    </w:p>
    <w:p w14:paraId="2CE71DA4" w14:textId="77777777" w:rsidR="003D296D" w:rsidRDefault="00EE46CD" w:rsidP="00D47F99">
      <w:pPr>
        <w:spacing w:after="180" w:line="340" w:lineRule="auto"/>
      </w:pPr>
      <w:r>
        <w:rPr>
          <w:rFonts w:ascii="Traditional Arabic" w:eastAsia="Traditional Arabic" w:hAnsi="Traditional Arabic" w:cs="Traditional Arabic"/>
          <w:color w:val="1A1A1A"/>
          <w:sz w:val="24"/>
          <w:szCs w:val="24"/>
          <w:rtl/>
        </w:rPr>
        <w:t xml:space="preserve">وهو – بهذا – "يُقدم" "بديلاً" "أصيلاً" </w:t>
      </w:r>
      <w:proofErr w:type="spellStart"/>
      <w:r>
        <w:rPr>
          <w:rFonts w:ascii="Traditional Arabic" w:eastAsia="Traditional Arabic" w:hAnsi="Traditional Arabic" w:cs="Traditional Arabic"/>
          <w:color w:val="1A1A1A"/>
          <w:sz w:val="24"/>
          <w:szCs w:val="24"/>
          <w:rtl/>
        </w:rPr>
        <w:t>و"قوياً</w:t>
      </w:r>
      <w:proofErr w:type="spellEnd"/>
      <w:r>
        <w:rPr>
          <w:rFonts w:ascii="Traditional Arabic" w:eastAsia="Traditional Arabic" w:hAnsi="Traditional Arabic" w:cs="Traditional Arabic"/>
          <w:color w:val="1A1A1A"/>
          <w:sz w:val="24"/>
          <w:szCs w:val="24"/>
          <w:rtl/>
        </w:rPr>
        <w:t xml:space="preserve">" لـ"النماذج" "الغربية" "المُختزلة" للعقل، لا عبر "الرفض" "الكلي" لها ولا عبر "التبني" "الحرفي" لمفرداتها، بل عبر "نقد" "بنّاء" "يستخلص" "من" كل "نموذج" "ما" "يتوافق" مع "الأنطولوجيا" الاستخلافية و"يعيد" "توجيهه" نحو "غايتها" "المتعالية"، </w:t>
      </w:r>
      <w:proofErr w:type="spellStart"/>
      <w:r>
        <w:rPr>
          <w:rFonts w:ascii="Traditional Arabic" w:eastAsia="Traditional Arabic" w:hAnsi="Traditional Arabic" w:cs="Traditional Arabic"/>
          <w:color w:val="1A1A1A"/>
          <w:sz w:val="24"/>
          <w:szCs w:val="24"/>
          <w:rtl/>
        </w:rPr>
        <w:t>و"يَفتح</w:t>
      </w:r>
      <w:proofErr w:type="spellEnd"/>
      <w:r>
        <w:rPr>
          <w:rFonts w:ascii="Traditional Arabic" w:eastAsia="Traditional Arabic" w:hAnsi="Traditional Arabic" w:cs="Traditional Arabic"/>
          <w:color w:val="1A1A1A"/>
          <w:sz w:val="24"/>
          <w:szCs w:val="24"/>
          <w:rtl/>
        </w:rPr>
        <w:t>" بذلك "آفاقاً" "جديدة" لـ"لبحث" في "فلسفة العقل" و"علم النفس المعرفي" و"العلاج النفسي". وهو – في "النهاية" – "تذكير" "دائم" بأن "العقل" ليس "غاية" في "ذاته"، بل هو "وسيلة" و"أداة" لـ"تحقيق" "الاستخلاف" و"عمارة الأرض" و"الوصول" إلى "الحياة الطيبة" و"الرضوان" "الأبدي".</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3D296D" w14:paraId="5E120965" w14:textId="77777777">
        <w:tc>
          <w:tcPr>
            <w:tcW w:w="9000" w:type="dxa"/>
            <w:tcBorders>
              <w:top w:val="single" w:sz="12" w:space="0" w:color="B8912F"/>
              <w:left w:val="single" w:sz="12" w:space="0" w:color="B8912F"/>
              <w:bottom w:val="single" w:sz="12" w:space="0" w:color="B8912F"/>
              <w:right w:val="single" w:sz="12" w:space="0" w:color="B8912F"/>
            </w:tcBorders>
            <w:shd w:val="clear" w:color="auto" w:fill="FBF6E9"/>
            <w:tcMar>
              <w:top w:w="200" w:type="dxa"/>
              <w:left w:w="300" w:type="dxa"/>
              <w:bottom w:w="200" w:type="dxa"/>
              <w:right w:w="300" w:type="dxa"/>
            </w:tcMar>
          </w:tcPr>
          <w:p w14:paraId="3968EFE6" w14:textId="77777777" w:rsidR="003D296D" w:rsidRDefault="00EE46CD" w:rsidP="00D47F99">
            <w:pPr>
              <w:spacing w:after="80"/>
            </w:pPr>
            <w:r>
              <w:rPr>
                <w:rFonts w:ascii="Traditional Arabic" w:eastAsia="Traditional Arabic" w:hAnsi="Traditional Arabic" w:cs="Traditional Arabic"/>
                <w:b/>
                <w:bCs/>
                <w:color w:val="1B2A4A"/>
                <w:sz w:val="26"/>
                <w:szCs w:val="26"/>
                <w:rtl/>
              </w:rPr>
              <w:t xml:space="preserve">{إِنَّ فِي </w:t>
            </w:r>
            <w:proofErr w:type="spellStart"/>
            <w:r>
              <w:rPr>
                <w:rFonts w:ascii="Traditional Arabic" w:eastAsia="Traditional Arabic" w:hAnsi="Traditional Arabic" w:cs="Traditional Arabic"/>
                <w:b/>
                <w:bCs/>
                <w:color w:val="1B2A4A"/>
                <w:sz w:val="26"/>
                <w:szCs w:val="26"/>
                <w:rtl/>
              </w:rPr>
              <w:t>ذَٰلِكَ</w:t>
            </w:r>
            <w:proofErr w:type="spellEnd"/>
            <w:r>
              <w:rPr>
                <w:rFonts w:ascii="Traditional Arabic" w:eastAsia="Traditional Arabic" w:hAnsi="Traditional Arabic" w:cs="Traditional Arabic"/>
                <w:b/>
                <w:bCs/>
                <w:color w:val="1B2A4A"/>
                <w:sz w:val="26"/>
                <w:szCs w:val="26"/>
                <w:rtl/>
              </w:rPr>
              <w:t xml:space="preserve"> </w:t>
            </w:r>
            <w:proofErr w:type="spellStart"/>
            <w:r>
              <w:rPr>
                <w:rFonts w:ascii="Traditional Arabic" w:eastAsia="Traditional Arabic" w:hAnsi="Traditional Arabic" w:cs="Traditional Arabic"/>
                <w:b/>
                <w:bCs/>
                <w:color w:val="1B2A4A"/>
                <w:sz w:val="26"/>
                <w:szCs w:val="26"/>
                <w:rtl/>
              </w:rPr>
              <w:t>لَذِكْرَىٰ</w:t>
            </w:r>
            <w:proofErr w:type="spellEnd"/>
            <w:r>
              <w:rPr>
                <w:rFonts w:ascii="Traditional Arabic" w:eastAsia="Traditional Arabic" w:hAnsi="Traditional Arabic" w:cs="Traditional Arabic"/>
                <w:b/>
                <w:bCs/>
                <w:color w:val="1B2A4A"/>
                <w:sz w:val="26"/>
                <w:szCs w:val="26"/>
                <w:rtl/>
              </w:rPr>
              <w:t xml:space="preserve"> لِمَن كَانَ لَهُ قَلْبٌ أَوْ أَلْقَى السَّمْعَ وَهُوَ شَهِيدٌ}</w:t>
            </w:r>
          </w:p>
          <w:p w14:paraId="09C823CC" w14:textId="77777777" w:rsidR="003D296D" w:rsidRDefault="00EE46CD" w:rsidP="00D47F99">
            <w:r>
              <w:rPr>
                <w:rFonts w:ascii="Traditional Arabic" w:eastAsia="Traditional Arabic" w:hAnsi="Traditional Arabic" w:cs="Traditional Arabic"/>
                <w:i/>
                <w:iCs/>
                <w:color w:val="0E6E6E"/>
                <w:rtl/>
              </w:rPr>
              <w:t>[ق: 37]</w:t>
            </w:r>
          </w:p>
        </w:tc>
      </w:tr>
    </w:tbl>
    <w:p w14:paraId="74FF620C" w14:textId="77777777" w:rsidR="003D296D" w:rsidRDefault="003D296D" w:rsidP="00D47F99">
      <w:pPr>
        <w:spacing w:after="160"/>
      </w:pPr>
    </w:p>
    <w:p w14:paraId="046157F4" w14:textId="77777777" w:rsidR="003D296D" w:rsidRDefault="00EE46CD" w:rsidP="00D47F99">
      <w:pPr>
        <w:pStyle w:val="1"/>
        <w:pBdr>
          <w:bottom w:val="single" w:sz="10" w:space="6" w:color="1B2A4A"/>
        </w:pBdr>
        <w:bidi/>
        <w:spacing w:before="400" w:after="200"/>
      </w:pPr>
      <w:r>
        <w:rPr>
          <w:rFonts w:ascii="Traditional Arabic" w:eastAsia="Traditional Arabic" w:hAnsi="Traditional Arabic" w:cs="Traditional Arabic"/>
          <w:b/>
          <w:bCs/>
          <w:color w:val="1B2A4A"/>
          <w:sz w:val="30"/>
          <w:szCs w:val="30"/>
          <w:rtl/>
        </w:rPr>
        <w:t>المراجع والمصادر</w:t>
      </w:r>
    </w:p>
    <w:p w14:paraId="2577ED34" w14:textId="77777777" w:rsidR="003D296D" w:rsidRDefault="00EE46CD" w:rsidP="00D47F99">
      <w:pPr>
        <w:pStyle w:val="2"/>
        <w:bidi/>
        <w:spacing w:before="300" w:after="160"/>
      </w:pPr>
      <w:r>
        <w:rPr>
          <w:rFonts w:ascii="Traditional Arabic" w:eastAsia="Traditional Arabic" w:hAnsi="Traditional Arabic" w:cs="Traditional Arabic"/>
          <w:b/>
          <w:bCs/>
          <w:color w:val="0E6E6E"/>
          <w:rtl/>
        </w:rPr>
        <w:t>أولاً: المصادر الأساسية (النموذج الاستخلافي)</w:t>
      </w:r>
    </w:p>
    <w:p w14:paraId="04D3BB43" w14:textId="77777777" w:rsidR="003D296D" w:rsidRDefault="00EE46CD" w:rsidP="00D47F99">
      <w:pPr>
        <w:spacing w:after="120" w:line="300" w:lineRule="auto"/>
        <w:ind w:right="360" w:hanging="360"/>
      </w:pPr>
      <w:r>
        <w:rPr>
          <w:rFonts w:ascii="Traditional Arabic" w:eastAsia="Traditional Arabic" w:hAnsi="Traditional Arabic" w:cs="Traditional Arabic"/>
          <w:color w:val="1A1A1A"/>
          <w:sz w:val="22"/>
          <w:szCs w:val="22"/>
          <w:rtl/>
        </w:rPr>
        <w:t>الزراع، عبد السلام. (2026). العلاج بحرث المصالحة التحويلية (TLRT): الدليل النظري والإكلينيكي. (الطبعة التجريبية الأولى).</w:t>
      </w:r>
    </w:p>
    <w:p w14:paraId="49C3A4DF" w14:textId="77777777" w:rsidR="003D296D" w:rsidRDefault="00EE46CD" w:rsidP="00D47F99">
      <w:pPr>
        <w:spacing w:after="120" w:line="300" w:lineRule="auto"/>
        <w:ind w:right="360" w:hanging="360"/>
      </w:pPr>
      <w:r>
        <w:rPr>
          <w:rFonts w:ascii="Traditional Arabic" w:eastAsia="Traditional Arabic" w:hAnsi="Traditional Arabic" w:cs="Traditional Arabic"/>
          <w:color w:val="1A1A1A"/>
          <w:sz w:val="22"/>
          <w:szCs w:val="22"/>
          <w:rtl/>
        </w:rPr>
        <w:t>الزراع، عبد السلام. (2026). الفصام الأخلاقي ومصدر الأزمات النفسية: قراءة في ضوء نظرية TLRT.</w:t>
      </w:r>
    </w:p>
    <w:p w14:paraId="7198ED4E" w14:textId="77777777" w:rsidR="003D296D" w:rsidRDefault="00EE46CD" w:rsidP="00D47F99">
      <w:pPr>
        <w:spacing w:after="120" w:line="300" w:lineRule="auto"/>
        <w:ind w:right="360" w:hanging="360"/>
      </w:pPr>
      <w:r>
        <w:rPr>
          <w:rFonts w:ascii="Traditional Arabic" w:eastAsia="Traditional Arabic" w:hAnsi="Traditional Arabic" w:cs="Traditional Arabic"/>
          <w:color w:val="1A1A1A"/>
          <w:sz w:val="22"/>
          <w:szCs w:val="22"/>
          <w:rtl/>
        </w:rPr>
        <w:t xml:space="preserve">الزراع، عبد السلام. (2026). </w:t>
      </w:r>
      <w:proofErr w:type="spellStart"/>
      <w:r>
        <w:rPr>
          <w:rFonts w:ascii="Traditional Arabic" w:eastAsia="Traditional Arabic" w:hAnsi="Traditional Arabic" w:cs="Traditional Arabic"/>
          <w:color w:val="1A1A1A"/>
          <w:sz w:val="22"/>
          <w:szCs w:val="22"/>
          <w:rtl/>
        </w:rPr>
        <w:t>التمثلات</w:t>
      </w:r>
      <w:proofErr w:type="spellEnd"/>
      <w:r>
        <w:rPr>
          <w:rFonts w:ascii="Traditional Arabic" w:eastAsia="Traditional Arabic" w:hAnsi="Traditional Arabic" w:cs="Traditional Arabic"/>
          <w:color w:val="1A1A1A"/>
          <w:sz w:val="22"/>
          <w:szCs w:val="22"/>
          <w:rtl/>
        </w:rPr>
        <w:t xml:space="preserve"> الداخلية للإله: من نظرية </w:t>
      </w:r>
      <w:proofErr w:type="spellStart"/>
      <w:r>
        <w:rPr>
          <w:rFonts w:ascii="Traditional Arabic" w:eastAsia="Traditional Arabic" w:hAnsi="Traditional Arabic" w:cs="Traditional Arabic"/>
          <w:color w:val="1A1A1A"/>
          <w:sz w:val="22"/>
          <w:szCs w:val="22"/>
          <w:rtl/>
        </w:rPr>
        <w:t>ريزوتو</w:t>
      </w:r>
      <w:proofErr w:type="spellEnd"/>
      <w:r>
        <w:rPr>
          <w:rFonts w:ascii="Traditional Arabic" w:eastAsia="Traditional Arabic" w:hAnsi="Traditional Arabic" w:cs="Traditional Arabic"/>
          <w:color w:val="1A1A1A"/>
          <w:sz w:val="22"/>
          <w:szCs w:val="22"/>
          <w:rtl/>
        </w:rPr>
        <w:t xml:space="preserve"> إلى إعادة بناء صورة الله في TLRT.</w:t>
      </w:r>
    </w:p>
    <w:p w14:paraId="12D4B190" w14:textId="77777777" w:rsidR="003D296D" w:rsidRDefault="00EE46CD" w:rsidP="00D47F99">
      <w:pPr>
        <w:spacing w:after="120" w:line="300" w:lineRule="auto"/>
        <w:ind w:right="360" w:hanging="360"/>
      </w:pPr>
      <w:r>
        <w:rPr>
          <w:rFonts w:ascii="Traditional Arabic" w:eastAsia="Traditional Arabic" w:hAnsi="Traditional Arabic" w:cs="Traditional Arabic"/>
          <w:color w:val="1A1A1A"/>
          <w:sz w:val="22"/>
          <w:szCs w:val="22"/>
          <w:rtl/>
        </w:rPr>
        <w:t>الزراع، عبد السلام. (2026). نموذج قياس الشعور بالذنب: مقاربة تكاملية متعددة الأبعاد.</w:t>
      </w:r>
    </w:p>
    <w:p w14:paraId="04ACAE45" w14:textId="77777777" w:rsidR="003D296D" w:rsidRDefault="00EE46CD" w:rsidP="00D47F99">
      <w:pPr>
        <w:pStyle w:val="2"/>
        <w:bidi/>
        <w:spacing w:before="300" w:after="160"/>
      </w:pPr>
      <w:r>
        <w:rPr>
          <w:rFonts w:ascii="Traditional Arabic" w:eastAsia="Traditional Arabic" w:hAnsi="Traditional Arabic" w:cs="Traditional Arabic"/>
          <w:b/>
          <w:bCs/>
          <w:color w:val="0E6E6E"/>
          <w:rtl/>
        </w:rPr>
        <w:t>ثانياً: مراجع في فلسفة العقل والفلسفة الحديثة</w:t>
      </w:r>
    </w:p>
    <w:p w14:paraId="6FA62F15"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Descartes</w:t>
      </w:r>
      <w:proofErr w:type="spellEnd"/>
      <w:r>
        <w:rPr>
          <w:rFonts w:ascii="Traditional Arabic" w:eastAsia="Traditional Arabic" w:hAnsi="Traditional Arabic" w:cs="Traditional Arabic"/>
          <w:color w:val="1A1A1A"/>
          <w:sz w:val="22"/>
          <w:szCs w:val="22"/>
          <w:rtl/>
        </w:rPr>
        <w:t xml:space="preserve">, R. (1637). </w:t>
      </w:r>
      <w:proofErr w:type="spellStart"/>
      <w:r>
        <w:rPr>
          <w:rFonts w:ascii="Traditional Arabic" w:eastAsia="Traditional Arabic" w:hAnsi="Traditional Arabic" w:cs="Traditional Arabic"/>
          <w:color w:val="1A1A1A"/>
          <w:sz w:val="22"/>
          <w:szCs w:val="22"/>
          <w:rtl/>
        </w:rPr>
        <w:t>Discourse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Method</w:t>
      </w:r>
      <w:proofErr w:type="spellEnd"/>
      <w:r>
        <w:rPr>
          <w:rFonts w:ascii="Traditional Arabic" w:eastAsia="Traditional Arabic" w:hAnsi="Traditional Arabic" w:cs="Traditional Arabic"/>
          <w:color w:val="1A1A1A"/>
          <w:sz w:val="22"/>
          <w:szCs w:val="22"/>
          <w:rtl/>
        </w:rPr>
        <w:t xml:space="preserve">. (J. </w:t>
      </w:r>
      <w:proofErr w:type="spellStart"/>
      <w:r>
        <w:rPr>
          <w:rFonts w:ascii="Traditional Arabic" w:eastAsia="Traditional Arabic" w:hAnsi="Traditional Arabic" w:cs="Traditional Arabic"/>
          <w:color w:val="1A1A1A"/>
          <w:sz w:val="22"/>
          <w:szCs w:val="22"/>
          <w:rtl/>
        </w:rPr>
        <w:t>Veitch</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Trans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London</w:t>
      </w:r>
      <w:proofErr w:type="spellEnd"/>
      <w:r>
        <w:rPr>
          <w:rFonts w:ascii="Traditional Arabic" w:eastAsia="Traditional Arabic" w:hAnsi="Traditional Arabic" w:cs="Traditional Arabic"/>
          <w:color w:val="1A1A1A"/>
          <w:sz w:val="22"/>
          <w:szCs w:val="22"/>
          <w:rtl/>
        </w:rPr>
        <w:t xml:space="preserve">: J. M. </w:t>
      </w:r>
      <w:proofErr w:type="spellStart"/>
      <w:r>
        <w:rPr>
          <w:rFonts w:ascii="Traditional Arabic" w:eastAsia="Traditional Arabic" w:hAnsi="Traditional Arabic" w:cs="Traditional Arabic"/>
          <w:color w:val="1A1A1A"/>
          <w:sz w:val="22"/>
          <w:szCs w:val="22"/>
          <w:rtl/>
        </w:rPr>
        <w:t>Dent</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Sons</w:t>
      </w:r>
      <w:proofErr w:type="spellEnd"/>
      <w:r>
        <w:rPr>
          <w:rFonts w:ascii="Traditional Arabic" w:eastAsia="Traditional Arabic" w:hAnsi="Traditional Arabic" w:cs="Traditional Arabic"/>
          <w:color w:val="1A1A1A"/>
          <w:sz w:val="22"/>
          <w:szCs w:val="22"/>
          <w:rtl/>
        </w:rPr>
        <w:t>.</w:t>
      </w:r>
    </w:p>
    <w:p w14:paraId="5569244D"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Kant</w:t>
      </w:r>
      <w:proofErr w:type="spellEnd"/>
      <w:r>
        <w:rPr>
          <w:rFonts w:ascii="Traditional Arabic" w:eastAsia="Traditional Arabic" w:hAnsi="Traditional Arabic" w:cs="Traditional Arabic"/>
          <w:color w:val="1A1A1A"/>
          <w:sz w:val="22"/>
          <w:szCs w:val="22"/>
          <w:rtl/>
        </w:rPr>
        <w:t xml:space="preserve">, I. (1781). </w:t>
      </w:r>
      <w:proofErr w:type="spellStart"/>
      <w:r>
        <w:rPr>
          <w:rFonts w:ascii="Traditional Arabic" w:eastAsia="Traditional Arabic" w:hAnsi="Traditional Arabic" w:cs="Traditional Arabic"/>
          <w:color w:val="1A1A1A"/>
          <w:sz w:val="22"/>
          <w:szCs w:val="22"/>
          <w:rtl/>
        </w:rPr>
        <w:t>Critique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Pure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Reason</w:t>
      </w:r>
      <w:proofErr w:type="spellEnd"/>
      <w:r>
        <w:rPr>
          <w:rFonts w:ascii="Traditional Arabic" w:eastAsia="Traditional Arabic" w:hAnsi="Traditional Arabic" w:cs="Traditional Arabic"/>
          <w:color w:val="1A1A1A"/>
          <w:sz w:val="22"/>
          <w:szCs w:val="22"/>
          <w:rtl/>
        </w:rPr>
        <w:t xml:space="preserve">. (P. </w:t>
      </w:r>
      <w:proofErr w:type="spellStart"/>
      <w:r>
        <w:rPr>
          <w:rFonts w:ascii="Traditional Arabic" w:eastAsia="Traditional Arabic" w:hAnsi="Traditional Arabic" w:cs="Traditional Arabic"/>
          <w:color w:val="1A1A1A"/>
          <w:sz w:val="22"/>
          <w:szCs w:val="22"/>
          <w:rtl/>
        </w:rPr>
        <w:t>Guyer</w:t>
      </w:r>
      <w:proofErr w:type="spellEnd"/>
      <w:r>
        <w:rPr>
          <w:rFonts w:ascii="Traditional Arabic" w:eastAsia="Traditional Arabic" w:hAnsi="Traditional Arabic" w:cs="Traditional Arabic"/>
          <w:color w:val="1A1A1A"/>
          <w:sz w:val="22"/>
          <w:szCs w:val="22"/>
          <w:rtl/>
        </w:rPr>
        <w:t xml:space="preserve"> &amp; A. W. </w:t>
      </w:r>
      <w:proofErr w:type="spellStart"/>
      <w:r>
        <w:rPr>
          <w:rFonts w:ascii="Traditional Arabic" w:eastAsia="Traditional Arabic" w:hAnsi="Traditional Arabic" w:cs="Traditional Arabic"/>
          <w:color w:val="1A1A1A"/>
          <w:sz w:val="22"/>
          <w:szCs w:val="22"/>
          <w:rtl/>
        </w:rPr>
        <w:t>Wood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Trans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Cambridge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Cambridge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University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Press</w:t>
      </w:r>
      <w:proofErr w:type="spellEnd"/>
      <w:r>
        <w:rPr>
          <w:rFonts w:ascii="Traditional Arabic" w:eastAsia="Traditional Arabic" w:hAnsi="Traditional Arabic" w:cs="Traditional Arabic"/>
          <w:color w:val="1A1A1A"/>
          <w:sz w:val="22"/>
          <w:szCs w:val="22"/>
          <w:rtl/>
        </w:rPr>
        <w:t>.</w:t>
      </w:r>
    </w:p>
    <w:p w14:paraId="3DA27890"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Heidegger</w:t>
      </w:r>
      <w:proofErr w:type="spellEnd"/>
      <w:r>
        <w:rPr>
          <w:rFonts w:ascii="Traditional Arabic" w:eastAsia="Traditional Arabic" w:hAnsi="Traditional Arabic" w:cs="Traditional Arabic"/>
          <w:color w:val="1A1A1A"/>
          <w:sz w:val="22"/>
          <w:szCs w:val="22"/>
          <w:rtl/>
        </w:rPr>
        <w:t xml:space="preserve">, M. (1927). </w:t>
      </w:r>
      <w:proofErr w:type="spellStart"/>
      <w:r>
        <w:rPr>
          <w:rFonts w:ascii="Traditional Arabic" w:eastAsia="Traditional Arabic" w:hAnsi="Traditional Arabic" w:cs="Traditional Arabic"/>
          <w:color w:val="1A1A1A"/>
          <w:sz w:val="22"/>
          <w:szCs w:val="22"/>
          <w:rtl/>
        </w:rPr>
        <w:t>Being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Time</w:t>
      </w:r>
      <w:proofErr w:type="spellEnd"/>
      <w:r>
        <w:rPr>
          <w:rFonts w:ascii="Traditional Arabic" w:eastAsia="Traditional Arabic" w:hAnsi="Traditional Arabic" w:cs="Traditional Arabic"/>
          <w:color w:val="1A1A1A"/>
          <w:sz w:val="22"/>
          <w:szCs w:val="22"/>
          <w:rtl/>
        </w:rPr>
        <w:t xml:space="preserve">. (J. </w:t>
      </w:r>
      <w:proofErr w:type="spellStart"/>
      <w:r>
        <w:rPr>
          <w:rFonts w:ascii="Traditional Arabic" w:eastAsia="Traditional Arabic" w:hAnsi="Traditional Arabic" w:cs="Traditional Arabic"/>
          <w:color w:val="1A1A1A"/>
          <w:sz w:val="22"/>
          <w:szCs w:val="22"/>
          <w:rtl/>
        </w:rPr>
        <w:t>Macquarrie</w:t>
      </w:r>
      <w:proofErr w:type="spellEnd"/>
      <w:r>
        <w:rPr>
          <w:rFonts w:ascii="Traditional Arabic" w:eastAsia="Traditional Arabic" w:hAnsi="Traditional Arabic" w:cs="Traditional Arabic"/>
          <w:color w:val="1A1A1A"/>
          <w:sz w:val="22"/>
          <w:szCs w:val="22"/>
          <w:rtl/>
        </w:rPr>
        <w:t xml:space="preserve"> &amp; E. </w:t>
      </w:r>
      <w:proofErr w:type="spellStart"/>
      <w:r>
        <w:rPr>
          <w:rFonts w:ascii="Traditional Arabic" w:eastAsia="Traditional Arabic" w:hAnsi="Traditional Arabic" w:cs="Traditional Arabic"/>
          <w:color w:val="1A1A1A"/>
          <w:sz w:val="22"/>
          <w:szCs w:val="22"/>
          <w:rtl/>
        </w:rPr>
        <w:t>Robinson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Trans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Harper</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Row</w:t>
      </w:r>
      <w:proofErr w:type="spellEnd"/>
      <w:r>
        <w:rPr>
          <w:rFonts w:ascii="Traditional Arabic" w:eastAsia="Traditional Arabic" w:hAnsi="Traditional Arabic" w:cs="Traditional Arabic"/>
          <w:color w:val="1A1A1A"/>
          <w:sz w:val="22"/>
          <w:szCs w:val="22"/>
          <w:rtl/>
        </w:rPr>
        <w:t>.</w:t>
      </w:r>
    </w:p>
    <w:p w14:paraId="1CF7F6F2"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Arendt</w:t>
      </w:r>
      <w:proofErr w:type="spellEnd"/>
      <w:r>
        <w:rPr>
          <w:rFonts w:ascii="Traditional Arabic" w:eastAsia="Traditional Arabic" w:hAnsi="Traditional Arabic" w:cs="Traditional Arabic"/>
          <w:color w:val="1A1A1A"/>
          <w:sz w:val="22"/>
          <w:szCs w:val="22"/>
          <w:rtl/>
        </w:rPr>
        <w:t xml:space="preserve">, H. (1978).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Life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Mind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Harcourt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Brace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Jovanovich</w:t>
      </w:r>
      <w:proofErr w:type="spellEnd"/>
      <w:r>
        <w:rPr>
          <w:rFonts w:ascii="Traditional Arabic" w:eastAsia="Traditional Arabic" w:hAnsi="Traditional Arabic" w:cs="Traditional Arabic"/>
          <w:color w:val="1A1A1A"/>
          <w:sz w:val="22"/>
          <w:szCs w:val="22"/>
          <w:rtl/>
        </w:rPr>
        <w:t>.</w:t>
      </w:r>
    </w:p>
    <w:p w14:paraId="6FC95217" w14:textId="77777777" w:rsidR="003D296D" w:rsidRDefault="00EE46CD" w:rsidP="00D47F99">
      <w:pPr>
        <w:pStyle w:val="2"/>
        <w:bidi/>
        <w:spacing w:before="300" w:after="160"/>
      </w:pPr>
      <w:r>
        <w:rPr>
          <w:rFonts w:ascii="Traditional Arabic" w:eastAsia="Traditional Arabic" w:hAnsi="Traditional Arabic" w:cs="Traditional Arabic"/>
          <w:b/>
          <w:bCs/>
          <w:color w:val="0E6E6E"/>
          <w:rtl/>
        </w:rPr>
        <w:t>ثالثاً: مراجع في علم الأعصاب الإدراكي</w:t>
      </w:r>
    </w:p>
    <w:p w14:paraId="195F34B1"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LeDoux</w:t>
      </w:r>
      <w:proofErr w:type="spellEnd"/>
      <w:r>
        <w:rPr>
          <w:rFonts w:ascii="Traditional Arabic" w:eastAsia="Traditional Arabic" w:hAnsi="Traditional Arabic" w:cs="Traditional Arabic"/>
          <w:color w:val="1A1A1A"/>
          <w:sz w:val="22"/>
          <w:szCs w:val="22"/>
          <w:rtl/>
        </w:rPr>
        <w:t xml:space="preserve">, J. E. (1996).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Emotional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Mysterious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Underpinnings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Emotional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Life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Simon</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Schuster</w:t>
      </w:r>
      <w:proofErr w:type="spellEnd"/>
      <w:r>
        <w:rPr>
          <w:rFonts w:ascii="Traditional Arabic" w:eastAsia="Traditional Arabic" w:hAnsi="Traditional Arabic" w:cs="Traditional Arabic"/>
          <w:color w:val="1A1A1A"/>
          <w:sz w:val="22"/>
          <w:szCs w:val="22"/>
          <w:rtl/>
        </w:rPr>
        <w:t>.</w:t>
      </w:r>
    </w:p>
    <w:p w14:paraId="74753933"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Kahneman</w:t>
      </w:r>
      <w:proofErr w:type="spellEnd"/>
      <w:r>
        <w:rPr>
          <w:rFonts w:ascii="Traditional Arabic" w:eastAsia="Traditional Arabic" w:hAnsi="Traditional Arabic" w:cs="Traditional Arabic"/>
          <w:color w:val="1A1A1A"/>
          <w:sz w:val="22"/>
          <w:szCs w:val="22"/>
          <w:rtl/>
        </w:rPr>
        <w:t xml:space="preserve">, D. (2011). </w:t>
      </w:r>
      <w:proofErr w:type="spellStart"/>
      <w:r>
        <w:rPr>
          <w:rFonts w:ascii="Traditional Arabic" w:eastAsia="Traditional Arabic" w:hAnsi="Traditional Arabic" w:cs="Traditional Arabic"/>
          <w:color w:val="1A1A1A"/>
          <w:sz w:val="22"/>
          <w:szCs w:val="22"/>
          <w:rtl/>
        </w:rPr>
        <w:t>Thinking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Fast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Slow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Farrar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Straus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Giroux</w:t>
      </w:r>
      <w:proofErr w:type="spellEnd"/>
      <w:r>
        <w:rPr>
          <w:rFonts w:ascii="Traditional Arabic" w:eastAsia="Traditional Arabic" w:hAnsi="Traditional Arabic" w:cs="Traditional Arabic"/>
          <w:color w:val="1A1A1A"/>
          <w:sz w:val="22"/>
          <w:szCs w:val="22"/>
          <w:rtl/>
        </w:rPr>
        <w:t>.</w:t>
      </w:r>
    </w:p>
    <w:p w14:paraId="50203DA2"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Siegel</w:t>
      </w:r>
      <w:proofErr w:type="spellEnd"/>
      <w:r>
        <w:rPr>
          <w:rFonts w:ascii="Traditional Arabic" w:eastAsia="Traditional Arabic" w:hAnsi="Traditional Arabic" w:cs="Traditional Arabic"/>
          <w:color w:val="1A1A1A"/>
          <w:sz w:val="22"/>
          <w:szCs w:val="22"/>
          <w:rtl/>
        </w:rPr>
        <w:t xml:space="preserve">, D. J. (2007).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Mindful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Reflection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Attunement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Cultivation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Well-Being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 W. </w:t>
      </w:r>
      <w:proofErr w:type="spellStart"/>
      <w:r>
        <w:rPr>
          <w:rFonts w:ascii="Traditional Arabic" w:eastAsia="Traditional Arabic" w:hAnsi="Traditional Arabic" w:cs="Traditional Arabic"/>
          <w:color w:val="1A1A1A"/>
          <w:sz w:val="22"/>
          <w:szCs w:val="22"/>
          <w:rtl/>
        </w:rPr>
        <w:t>Norton</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Company</w:t>
      </w:r>
      <w:proofErr w:type="spellEnd"/>
      <w:r>
        <w:rPr>
          <w:rFonts w:ascii="Traditional Arabic" w:eastAsia="Traditional Arabic" w:hAnsi="Traditional Arabic" w:cs="Traditional Arabic"/>
          <w:color w:val="1A1A1A"/>
          <w:sz w:val="22"/>
          <w:szCs w:val="22"/>
          <w:rtl/>
        </w:rPr>
        <w:t>.</w:t>
      </w:r>
    </w:p>
    <w:p w14:paraId="7FE93D19"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Doidge</w:t>
      </w:r>
      <w:proofErr w:type="spellEnd"/>
      <w:r>
        <w:rPr>
          <w:rFonts w:ascii="Traditional Arabic" w:eastAsia="Traditional Arabic" w:hAnsi="Traditional Arabic" w:cs="Traditional Arabic"/>
          <w:color w:val="1A1A1A"/>
          <w:sz w:val="22"/>
          <w:szCs w:val="22"/>
          <w:rtl/>
        </w:rPr>
        <w:t xml:space="preserve">, N. (2007).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That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Changes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Itself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Stories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Personal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Triumph</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from</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Frontiers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Science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Viking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Press</w:t>
      </w:r>
      <w:proofErr w:type="spellEnd"/>
      <w:r>
        <w:rPr>
          <w:rFonts w:ascii="Traditional Arabic" w:eastAsia="Traditional Arabic" w:hAnsi="Traditional Arabic" w:cs="Traditional Arabic"/>
          <w:color w:val="1A1A1A"/>
          <w:sz w:val="22"/>
          <w:szCs w:val="22"/>
          <w:rtl/>
        </w:rPr>
        <w:t>.</w:t>
      </w:r>
    </w:p>
    <w:p w14:paraId="31D9F2B3" w14:textId="77777777" w:rsidR="003D296D" w:rsidRDefault="00EE46CD" w:rsidP="00D47F99">
      <w:pPr>
        <w:pStyle w:val="2"/>
        <w:bidi/>
        <w:spacing w:before="300" w:after="160"/>
      </w:pPr>
      <w:r>
        <w:rPr>
          <w:rFonts w:ascii="Traditional Arabic" w:eastAsia="Traditional Arabic" w:hAnsi="Traditional Arabic" w:cs="Traditional Arabic"/>
          <w:b/>
          <w:bCs/>
          <w:color w:val="0E6E6E"/>
          <w:rtl/>
        </w:rPr>
        <w:t>رابعاً: مراجع في نقد التقنية وعلم الاجتماع الرقمي</w:t>
      </w:r>
    </w:p>
    <w:p w14:paraId="11409838"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Zuboff</w:t>
      </w:r>
      <w:proofErr w:type="spellEnd"/>
      <w:r>
        <w:rPr>
          <w:rFonts w:ascii="Traditional Arabic" w:eastAsia="Traditional Arabic" w:hAnsi="Traditional Arabic" w:cs="Traditional Arabic"/>
          <w:color w:val="1A1A1A"/>
          <w:sz w:val="22"/>
          <w:szCs w:val="22"/>
          <w:rtl/>
        </w:rPr>
        <w:t xml:space="preserve">, S. (2019).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Age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Surveillance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Capitalism</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Fight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for</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Human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Future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Frontier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Power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PublicAffairs</w:t>
      </w:r>
      <w:proofErr w:type="spellEnd"/>
      <w:r>
        <w:rPr>
          <w:rFonts w:ascii="Traditional Arabic" w:eastAsia="Traditional Arabic" w:hAnsi="Traditional Arabic" w:cs="Traditional Arabic"/>
          <w:color w:val="1A1A1A"/>
          <w:sz w:val="22"/>
          <w:szCs w:val="22"/>
          <w:rtl/>
        </w:rPr>
        <w:t>.</w:t>
      </w:r>
    </w:p>
    <w:p w14:paraId="761C51FD"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Carr</w:t>
      </w:r>
      <w:proofErr w:type="spellEnd"/>
      <w:r>
        <w:rPr>
          <w:rFonts w:ascii="Traditional Arabic" w:eastAsia="Traditional Arabic" w:hAnsi="Traditional Arabic" w:cs="Traditional Arabic"/>
          <w:color w:val="1A1A1A"/>
          <w:sz w:val="22"/>
          <w:szCs w:val="22"/>
          <w:rtl/>
        </w:rPr>
        <w:t xml:space="preserve">, N. (2010).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Shallows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What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Internet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Doing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Our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 W. </w:t>
      </w:r>
      <w:proofErr w:type="spellStart"/>
      <w:r>
        <w:rPr>
          <w:rFonts w:ascii="Traditional Arabic" w:eastAsia="Traditional Arabic" w:hAnsi="Traditional Arabic" w:cs="Traditional Arabic"/>
          <w:color w:val="1A1A1A"/>
          <w:sz w:val="22"/>
          <w:szCs w:val="22"/>
          <w:rtl/>
        </w:rPr>
        <w:t>Norton</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Company</w:t>
      </w:r>
      <w:proofErr w:type="spellEnd"/>
      <w:r>
        <w:rPr>
          <w:rFonts w:ascii="Traditional Arabic" w:eastAsia="Traditional Arabic" w:hAnsi="Traditional Arabic" w:cs="Traditional Arabic"/>
          <w:color w:val="1A1A1A"/>
          <w:sz w:val="22"/>
          <w:szCs w:val="22"/>
          <w:rtl/>
        </w:rPr>
        <w:t>.</w:t>
      </w:r>
    </w:p>
    <w:p w14:paraId="37825936" w14:textId="77777777" w:rsidR="003D296D" w:rsidRDefault="00EE46CD" w:rsidP="00D47F99">
      <w:pPr>
        <w:spacing w:after="120" w:line="300" w:lineRule="auto"/>
        <w:ind w:right="360" w:hanging="360"/>
      </w:pPr>
      <w:proofErr w:type="spellStart"/>
      <w:r>
        <w:rPr>
          <w:rFonts w:ascii="Traditional Arabic" w:eastAsia="Traditional Arabic" w:hAnsi="Traditional Arabic" w:cs="Traditional Arabic"/>
          <w:color w:val="1A1A1A"/>
          <w:sz w:val="22"/>
          <w:szCs w:val="22"/>
          <w:rtl/>
        </w:rPr>
        <w:t>Turkle</w:t>
      </w:r>
      <w:proofErr w:type="spellEnd"/>
      <w:r>
        <w:rPr>
          <w:rFonts w:ascii="Traditional Arabic" w:eastAsia="Traditional Arabic" w:hAnsi="Traditional Arabic" w:cs="Traditional Arabic"/>
          <w:color w:val="1A1A1A"/>
          <w:sz w:val="22"/>
          <w:szCs w:val="22"/>
          <w:rtl/>
        </w:rPr>
        <w:t xml:space="preserve">, S. (2015). </w:t>
      </w:r>
      <w:proofErr w:type="spellStart"/>
      <w:r>
        <w:rPr>
          <w:rFonts w:ascii="Traditional Arabic" w:eastAsia="Traditional Arabic" w:hAnsi="Traditional Arabic" w:cs="Traditional Arabic"/>
          <w:color w:val="1A1A1A"/>
          <w:sz w:val="22"/>
          <w:szCs w:val="22"/>
          <w:rtl/>
        </w:rPr>
        <w:t>Reclaiming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Conversation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Power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Talk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Digital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Age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Penguin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Press</w:t>
      </w:r>
      <w:proofErr w:type="spellEnd"/>
      <w:r>
        <w:rPr>
          <w:rFonts w:ascii="Traditional Arabic" w:eastAsia="Traditional Arabic" w:hAnsi="Traditional Arabic" w:cs="Traditional Arabic"/>
          <w:color w:val="1A1A1A"/>
          <w:sz w:val="22"/>
          <w:szCs w:val="22"/>
          <w:rtl/>
        </w:rPr>
        <w:t>.</w:t>
      </w:r>
    </w:p>
    <w:p w14:paraId="1EA541AA" w14:textId="77777777" w:rsidR="003D296D" w:rsidRDefault="00EE46CD" w:rsidP="00D47F99">
      <w:pPr>
        <w:pStyle w:val="2"/>
        <w:bidi/>
        <w:spacing w:before="300" w:after="160"/>
      </w:pPr>
      <w:r>
        <w:rPr>
          <w:rFonts w:ascii="Traditional Arabic" w:eastAsia="Traditional Arabic" w:hAnsi="Traditional Arabic" w:cs="Traditional Arabic"/>
          <w:b/>
          <w:bCs/>
          <w:color w:val="0E6E6E"/>
          <w:rtl/>
        </w:rPr>
        <w:t>خامساً: مراجع في التراث الإسلامي</w:t>
      </w:r>
    </w:p>
    <w:p w14:paraId="44D4D074" w14:textId="77777777" w:rsidR="003D296D" w:rsidRDefault="00EE46CD" w:rsidP="00D47F99">
      <w:pPr>
        <w:spacing w:after="120" w:line="300" w:lineRule="auto"/>
        <w:ind w:right="360" w:hanging="360"/>
      </w:pPr>
      <w:r>
        <w:rPr>
          <w:rFonts w:ascii="Traditional Arabic" w:eastAsia="Traditional Arabic" w:hAnsi="Traditional Arabic" w:cs="Traditional Arabic"/>
          <w:color w:val="1A1A1A"/>
          <w:sz w:val="22"/>
          <w:szCs w:val="22"/>
          <w:rtl/>
        </w:rPr>
        <w:t>القرآن الكريم.</w:t>
      </w:r>
    </w:p>
    <w:p w14:paraId="334DC6BC" w14:textId="77777777" w:rsidR="003D296D" w:rsidRDefault="00EE46CD" w:rsidP="00D47F99">
      <w:pPr>
        <w:spacing w:after="120" w:line="300" w:lineRule="auto"/>
        <w:ind w:right="360" w:hanging="360"/>
      </w:pPr>
      <w:r>
        <w:rPr>
          <w:rFonts w:ascii="Traditional Arabic" w:eastAsia="Traditional Arabic" w:hAnsi="Traditional Arabic" w:cs="Traditional Arabic"/>
          <w:color w:val="1A1A1A"/>
          <w:sz w:val="22"/>
          <w:szCs w:val="22"/>
          <w:rtl/>
        </w:rPr>
        <w:t>الغزالي، أبو حامد. (د.ت.). إحياء علوم الدين. بيروت: دار المعرفة.</w:t>
      </w:r>
    </w:p>
    <w:p w14:paraId="49CDF6E8" w14:textId="77777777" w:rsidR="003D296D" w:rsidRDefault="00EE46CD" w:rsidP="00D47F99">
      <w:pPr>
        <w:spacing w:after="120" w:line="300" w:lineRule="auto"/>
        <w:ind w:right="360" w:hanging="360"/>
      </w:pPr>
      <w:r>
        <w:rPr>
          <w:rFonts w:ascii="Traditional Arabic" w:eastAsia="Traditional Arabic" w:hAnsi="Traditional Arabic" w:cs="Traditional Arabic"/>
          <w:color w:val="1A1A1A"/>
          <w:sz w:val="22"/>
          <w:szCs w:val="22"/>
          <w:rtl/>
        </w:rPr>
        <w:t>ابن القيم الجوزية. (د.ت.). مدارج السالكين بين منازل إياك نعبد وإياك نستعين. تحقيق: محمد حامد الفقي. بيروت: دار الكتاب العربي.</w:t>
      </w:r>
    </w:p>
    <w:p w14:paraId="7D860F99" w14:textId="77777777" w:rsidR="003D296D" w:rsidRDefault="00EE46CD" w:rsidP="00D47F99">
      <w:pPr>
        <w:spacing w:after="120" w:line="300" w:lineRule="auto"/>
        <w:ind w:right="360" w:hanging="360"/>
      </w:pPr>
      <w:r>
        <w:rPr>
          <w:rFonts w:ascii="Traditional Arabic" w:eastAsia="Traditional Arabic" w:hAnsi="Traditional Arabic" w:cs="Traditional Arabic"/>
          <w:color w:val="1A1A1A"/>
          <w:sz w:val="22"/>
          <w:szCs w:val="22"/>
          <w:rtl/>
        </w:rPr>
        <w:t>المحاسبي، الحارث بن أسد. (د.ت.). الرعاية لحقوق الله. تحقيق: عبد القادر أحمد عطا. بيروت: دار الكتب العلمية.</w:t>
      </w:r>
    </w:p>
    <w:p w14:paraId="1B116150" w14:textId="77777777" w:rsidR="003D296D" w:rsidRDefault="00EE46CD" w:rsidP="00D47F99">
      <w:pPr>
        <w:spacing w:after="120" w:line="300" w:lineRule="auto"/>
        <w:ind w:right="360" w:hanging="360"/>
      </w:pPr>
      <w:r>
        <w:rPr>
          <w:rFonts w:ascii="Traditional Arabic" w:eastAsia="Traditional Arabic" w:hAnsi="Traditional Arabic" w:cs="Traditional Arabic"/>
          <w:color w:val="1A1A1A"/>
          <w:sz w:val="22"/>
          <w:szCs w:val="22"/>
          <w:rtl/>
        </w:rPr>
        <w:t>الفارابي، أبو نصر. (د.ت.). آراء أهل المدينة الفاضلة. بيروت: دار المشرق.</w:t>
      </w:r>
    </w:p>
    <w:sectPr w:rsidR="003D296D">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925D7" w14:textId="77777777" w:rsidR="005D2FC8" w:rsidRDefault="005D2FC8">
      <w:r>
        <w:separator/>
      </w:r>
    </w:p>
  </w:endnote>
  <w:endnote w:type="continuationSeparator" w:id="0">
    <w:p w14:paraId="0A1E316B" w14:textId="77777777" w:rsidR="005D2FC8" w:rsidRDefault="005D2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CDD1" w14:textId="77777777" w:rsidR="003D296D" w:rsidRDefault="00EE46CD">
    <w:pPr>
      <w:jc w:val="center"/>
    </w:pPr>
    <w:r>
      <w:rPr>
        <w:rFonts w:ascii="Traditional Arabic" w:eastAsia="Traditional Arabic" w:hAnsi="Traditional Arabic" w:cs="Traditional Arabic"/>
        <w:color w:val="1B2A4A"/>
        <w:sz w:val="18"/>
        <w:szCs w:val="18"/>
        <w:rtl/>
      </w:rPr>
      <w:t xml:space="preserve">صفحة </w:t>
    </w:r>
    <w:r>
      <w:rPr>
        <w:rFonts w:ascii="Traditional Arabic" w:eastAsia="Traditional Arabic" w:hAnsi="Traditional Arabic" w:cs="Traditional Arabic"/>
        <w:color w:val="1B2A4A"/>
        <w:sz w:val="18"/>
        <w:szCs w:val="18"/>
      </w:rPr>
      <w:fldChar w:fldCharType="begin"/>
    </w:r>
    <w:r>
      <w:rPr>
        <w:rFonts w:ascii="Traditional Arabic" w:eastAsia="Traditional Arabic" w:hAnsi="Traditional Arabic" w:cs="Traditional Arabic"/>
        <w:color w:val="1B2A4A"/>
        <w:sz w:val="18"/>
        <w:szCs w:val="18"/>
      </w:rPr>
      <w:instrText>PAGE</w:instrText>
    </w:r>
    <w:r>
      <w:rPr>
        <w:rFonts w:ascii="Traditional Arabic" w:eastAsia="Traditional Arabic" w:hAnsi="Traditional Arabic" w:cs="Traditional Arabic"/>
        <w:color w:val="1B2A4A"/>
        <w:sz w:val="18"/>
        <w:szCs w:val="18"/>
      </w:rPr>
      <w:fldChar w:fldCharType="separate"/>
    </w:r>
    <w:r>
      <w:rPr>
        <w:rFonts w:ascii="Traditional Arabic" w:eastAsia="Traditional Arabic" w:hAnsi="Traditional Arabic" w:cs="Traditional Arabic"/>
        <w:color w:val="1B2A4A"/>
        <w:sz w:val="18"/>
        <w:szCs w:val="18"/>
      </w:rPr>
      <w:fldChar w:fldCharType="end"/>
    </w:r>
    <w:r>
      <w:rPr>
        <w:rFonts w:ascii="Traditional Arabic" w:eastAsia="Traditional Arabic" w:hAnsi="Traditional Arabic" w:cs="Traditional Arabic"/>
        <w:color w:val="1B2A4A"/>
        <w:sz w:val="18"/>
        <w:szCs w:val="18"/>
        <w:rtl/>
      </w:rPr>
      <w:t xml:space="preserve"> من </w:t>
    </w:r>
    <w:r>
      <w:rPr>
        <w:rFonts w:ascii="Traditional Arabic" w:eastAsia="Traditional Arabic" w:hAnsi="Traditional Arabic" w:cs="Traditional Arabic"/>
        <w:color w:val="1B2A4A"/>
        <w:sz w:val="18"/>
        <w:szCs w:val="18"/>
      </w:rPr>
      <w:fldChar w:fldCharType="begin"/>
    </w:r>
    <w:r>
      <w:rPr>
        <w:rFonts w:ascii="Traditional Arabic" w:eastAsia="Traditional Arabic" w:hAnsi="Traditional Arabic" w:cs="Traditional Arabic"/>
        <w:color w:val="1B2A4A"/>
        <w:sz w:val="18"/>
        <w:szCs w:val="18"/>
      </w:rPr>
      <w:instrText>NUMPAGES</w:instrText>
    </w:r>
    <w:r>
      <w:rPr>
        <w:rFonts w:ascii="Traditional Arabic" w:eastAsia="Traditional Arabic" w:hAnsi="Traditional Arabic" w:cs="Traditional Arabic"/>
        <w:color w:val="1B2A4A"/>
        <w:sz w:val="18"/>
        <w:szCs w:val="18"/>
      </w:rPr>
      <w:fldChar w:fldCharType="separate"/>
    </w:r>
    <w:r>
      <w:rPr>
        <w:rFonts w:ascii="Traditional Arabic" w:eastAsia="Traditional Arabic" w:hAnsi="Traditional Arabic" w:cs="Traditional Arabic"/>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77883" w14:textId="77777777" w:rsidR="005D2FC8" w:rsidRDefault="005D2FC8">
      <w:r>
        <w:separator/>
      </w:r>
    </w:p>
  </w:footnote>
  <w:footnote w:type="continuationSeparator" w:id="0">
    <w:p w14:paraId="6E8C633E" w14:textId="77777777" w:rsidR="005D2FC8" w:rsidRDefault="005D2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3753" w14:textId="77777777" w:rsidR="003D296D" w:rsidRDefault="00EE46CD">
    <w:pPr>
      <w:jc w:val="center"/>
    </w:pPr>
    <w:r>
      <w:rPr>
        <w:rFonts w:ascii="Traditional Arabic" w:eastAsia="Traditional Arabic" w:hAnsi="Traditional Arabic" w:cs="Traditional Arabic"/>
        <w:i/>
        <w:iCs/>
        <w:color w:val="0E6E6E"/>
        <w:sz w:val="16"/>
        <w:szCs w:val="16"/>
        <w:rtl/>
      </w:rPr>
      <w:t>من “الأنا أفكر” إلى “القلب يعقل” — نحو نظرية استخلافية للعقل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AA7F4A"/>
    <w:multiLevelType w:val="hybridMultilevel"/>
    <w:tmpl w:val="FFFFFFFF"/>
    <w:lvl w:ilvl="0" w:tplc="253CEDB4">
      <w:start w:val="1"/>
      <w:numFmt w:val="bullet"/>
      <w:lvlText w:val="●"/>
      <w:lvlJc w:val="left"/>
      <w:pPr>
        <w:ind w:left="720" w:hanging="360"/>
      </w:pPr>
    </w:lvl>
    <w:lvl w:ilvl="1" w:tplc="D14AABEA">
      <w:start w:val="1"/>
      <w:numFmt w:val="bullet"/>
      <w:lvlText w:val="○"/>
      <w:lvlJc w:val="left"/>
      <w:pPr>
        <w:ind w:left="1440" w:hanging="360"/>
      </w:pPr>
    </w:lvl>
    <w:lvl w:ilvl="2" w:tplc="B296A3AE">
      <w:start w:val="1"/>
      <w:numFmt w:val="bullet"/>
      <w:lvlText w:val="■"/>
      <w:lvlJc w:val="left"/>
      <w:pPr>
        <w:ind w:left="2160" w:hanging="360"/>
      </w:pPr>
    </w:lvl>
    <w:lvl w:ilvl="3" w:tplc="D2D24A84">
      <w:start w:val="1"/>
      <w:numFmt w:val="bullet"/>
      <w:lvlText w:val="●"/>
      <w:lvlJc w:val="left"/>
      <w:pPr>
        <w:ind w:left="2880" w:hanging="360"/>
      </w:pPr>
    </w:lvl>
    <w:lvl w:ilvl="4" w:tplc="3892A584">
      <w:start w:val="1"/>
      <w:numFmt w:val="bullet"/>
      <w:lvlText w:val="○"/>
      <w:lvlJc w:val="left"/>
      <w:pPr>
        <w:ind w:left="3600" w:hanging="360"/>
      </w:pPr>
    </w:lvl>
    <w:lvl w:ilvl="5" w:tplc="4E00DC9E">
      <w:start w:val="1"/>
      <w:numFmt w:val="bullet"/>
      <w:lvlText w:val="■"/>
      <w:lvlJc w:val="left"/>
      <w:pPr>
        <w:ind w:left="4320" w:hanging="360"/>
      </w:pPr>
    </w:lvl>
    <w:lvl w:ilvl="6" w:tplc="14F8B2F2">
      <w:start w:val="1"/>
      <w:numFmt w:val="bullet"/>
      <w:lvlText w:val="●"/>
      <w:lvlJc w:val="left"/>
      <w:pPr>
        <w:ind w:left="5040" w:hanging="360"/>
      </w:pPr>
    </w:lvl>
    <w:lvl w:ilvl="7" w:tplc="9F3083BE">
      <w:start w:val="1"/>
      <w:numFmt w:val="bullet"/>
      <w:lvlText w:val="●"/>
      <w:lvlJc w:val="left"/>
      <w:pPr>
        <w:ind w:left="5760" w:hanging="360"/>
      </w:pPr>
    </w:lvl>
    <w:lvl w:ilvl="8" w:tplc="A156DB1C">
      <w:start w:val="1"/>
      <w:numFmt w:val="bullet"/>
      <w:lvlText w:val="●"/>
      <w:lvlJc w:val="left"/>
      <w:pPr>
        <w:ind w:left="6480" w:hanging="360"/>
      </w:pPr>
    </w:lvl>
  </w:abstractNum>
  <w:num w:numId="1" w16cid:durableId="9487793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6D"/>
    <w:rsid w:val="00106D89"/>
    <w:rsid w:val="002A1336"/>
    <w:rsid w:val="002A562D"/>
    <w:rsid w:val="002D7F6D"/>
    <w:rsid w:val="002E38D4"/>
    <w:rsid w:val="003D296D"/>
    <w:rsid w:val="00505A11"/>
    <w:rsid w:val="005D2FC8"/>
    <w:rsid w:val="006B79BE"/>
    <w:rsid w:val="007C4ACE"/>
    <w:rsid w:val="009966E5"/>
    <w:rsid w:val="00B13EDC"/>
    <w:rsid w:val="00BC1952"/>
    <w:rsid w:val="00BD165F"/>
    <w:rsid w:val="00C90BB3"/>
    <w:rsid w:val="00C91763"/>
    <w:rsid w:val="00D40E9D"/>
    <w:rsid w:val="00D47F99"/>
    <w:rsid w:val="00E558A7"/>
    <w:rsid w:val="00EE46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9767493"/>
  <w15:docId w15:val="{A1C58969-30C1-8B41-B78B-5E6A4766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4707</Words>
  <Characters>26832</Characters>
  <Application>Microsoft Office Word</Application>
  <DocSecurity>0</DocSecurity>
  <Lines>223</Lines>
  <Paragraphs>62</Paragraphs>
  <ScaleCrop>false</ScaleCrop>
  <Company/>
  <LinksUpToDate>false</LinksUpToDate>
  <CharactersWithSpaces>31477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14</cp:revision>
  <dcterms:created xsi:type="dcterms:W3CDTF">2026-07-07T09:38:00Z</dcterms:created>
  <dcterms:modified xsi:type="dcterms:W3CDTF">2026-07-07T18:24:00Z</dcterms:modified>
</cp:coreProperties>
</file>