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before="0"/>
      </w:pPr>
      <w:r>
        <w:rPr>
          <w:sz w:val="100"/>
          <w:szCs w:val="100"/>
        </w:rPr>
        <w:t xml:space="preserve"/>
      </w:r>
    </w:p>
    <w:p>
      <w:pPr>
        <w:bidi/>
        <w:spacing w:after="60" w:before="120"/>
        <w:jc w:val="center"/>
      </w:pPr>
      <w:r>
        <w:rPr>
          <w:rFonts w:ascii="Traditional Arabic" w:cs="Traditional Arabic" w:eastAsia="Traditional Arabic" w:hAnsi="Traditional Arabic"/>
          <w:b/>
          <w:bCs/>
          <w:i w:val="false"/>
          <w:iCs w:val="false"/>
          <w:color w:val="0C6060"/>
          <w:sz w:val="25"/>
          <w:szCs w:val="25"/>
        </w:rPr>
        <w:t xml:space="preserve">علم النفس الاستخلافي — سلسلة الدراسات التحليلية النقدية</w:t>
      </w:r>
    </w:p>
    <w:p>
      <w:pPr>
        <w:spacing w:after="0" w:before="0"/>
      </w:pPr>
      <w:r>
        <w:rPr>
          <w:sz w:val="16"/>
          <w:szCs w:val="16"/>
        </w:rPr>
        <w:t xml:space="preserve"/>
      </w:r>
    </w:p>
    <w:p>
      <w:pPr>
        <w:pBdr>
          <w:top w:val="thick" w:color="0B1F45" w:sz="14"/>
          <w:left w:val="thick" w:color="8B6914" w:sz="8"/>
          <w:bottom w:val="thick" w:color="0B1F45" w:sz="14"/>
          <w:right w:val="thick" w:color="8B6914" w:sz="8"/>
        </w:pBdr>
        <w:shd w:fill="EDF1F8" w:val="clear"/>
        <w:bidi/>
        <w:spacing w:after="90" w:before="180"/>
        <w:jc w:val="center"/>
      </w:pPr>
      <w:r>
        <w:rPr>
          <w:rFonts w:ascii="Traditional Arabic" w:cs="Traditional Arabic" w:eastAsia="Traditional Arabic" w:hAnsi="Traditional Arabic"/>
          <w:b/>
          <w:bCs/>
          <w:i w:val="false"/>
          <w:iCs w:val="false"/>
          <w:color w:val="0B1F45"/>
          <w:sz w:val="50"/>
          <w:szCs w:val="50"/>
        </w:rPr>
        <w:t xml:space="preserve">سيكولوجية المرأة</w:t>
      </w:r>
    </w:p>
    <w:p>
      <w:pPr>
        <w:bidi/>
        <w:spacing w:after="60" w:before="80"/>
        <w:jc w:val="center"/>
      </w:pPr>
      <w:r>
        <w:rPr>
          <w:rFonts w:ascii="Traditional Arabic" w:cs="Traditional Arabic" w:eastAsia="Traditional Arabic" w:hAnsi="Traditional Arabic"/>
          <w:b/>
          <w:bCs/>
          <w:i w:val="false"/>
          <w:iCs w:val="false"/>
          <w:color w:val="1B3F7A"/>
          <w:sz w:val="32"/>
          <w:szCs w:val="32"/>
        </w:rPr>
        <w:t xml:space="preserve">الفصل الثاني: الفروق بين الجنسين في بنية الدماغ</w:t>
      </w:r>
    </w:p>
    <w:p>
      <w:pPr>
        <w:pBdr>
          <w:bottom w:val="single" w:color="8B6914" w:sz="3" w:space="8"/>
        </w:pBdr>
        <w:bidi/>
        <w:spacing w:after="180" w:before="40"/>
        <w:jc w:val="center"/>
      </w:pPr>
      <w:r>
        <w:rPr>
          <w:rFonts w:ascii="Traditional Arabic" w:cs="Traditional Arabic" w:eastAsia="Traditional Arabic" w:hAnsi="Traditional Arabic"/>
          <w:b w:val="false"/>
          <w:bCs w:val="false"/>
          <w:i w:val="false"/>
          <w:iCs w:val="false"/>
          <w:color w:val="8B6914"/>
          <w:sz w:val="24"/>
          <w:szCs w:val="24"/>
        </w:rPr>
        <w:t xml:space="preserve">قراءة نقدية معمّقة: من تشريح الادعاءات إلى أبستيمولوجيا استخلافية للتمايز الإنساني</w:t>
      </w:r>
    </w:p>
    <w:p>
      <w:pPr>
        <w:spacing w:after="0" w:before="0"/>
      </w:pPr>
      <w:r>
        <w:rPr>
          <w:sz w:val="20"/>
          <w:szCs w:val="20"/>
        </w:rPr>
        <w:t xml:space="preserve"/>
      </w:r>
    </w:p>
    <w:p>
      <w:pPr>
        <w:bidi/>
        <w:jc w:val="center"/>
      </w:pPr>
      <w:r>
        <w:rPr>
          <w:rFonts w:ascii="Traditional Arabic" w:cs="Traditional Arabic" w:eastAsia="Traditional Arabic" w:hAnsi="Traditional Arabic"/>
          <w:b w:val="false"/>
          <w:bCs w:val="false"/>
          <w:i w:val="false"/>
          <w:iCs w:val="false"/>
          <w:color w:val="555555"/>
          <w:sz w:val="22"/>
          <w:szCs w:val="22"/>
        </w:rPr>
        <w:t xml:space="preserve">مرجع الفصل | قراءة تكاملية: علم النفس الاستخلافي — عبد السلام الزراع</w:t>
      </w:r>
    </w:p>
    <w:p>
      <w:pPr>
        <w:spacing w:after="0" w:before="0"/>
      </w:pPr>
      <w:r>
        <w:rPr>
          <w:sz w:val="12"/>
          <w:szCs w:val="12"/>
        </w:rPr>
        <w:t xml:space="preserve"/>
      </w:r>
    </w:p>
    <w:p>
      <w:pPr>
        <w:jc w:val="center"/>
      </w:pPr>
      <w:r>
        <w:rPr>
          <w:rFonts w:ascii="Times New Roman" w:cs="Times New Roman" w:eastAsia="Times New Roman" w:hAnsi="Times New Roman"/>
          <w:b w:val="false"/>
          <w:bCs w:val="false"/>
          <w:i/>
          <w:iCs/>
          <w:color w:val="666666"/>
          <w:sz w:val="19"/>
          <w:szCs w:val="19"/>
        </w:rPr>
        <w:t xml:space="preserve">Keywords: Sex Differences · Corpus Callosum · White Matter · Neurosexism · Mosaic Brain · Methodological Critique · Istikhlafi Psychology · Predictive Brain</w:t>
      </w:r>
    </w:p>
    <w:p>
      <w:pPr>
        <w:pageBreakBefore/>
        <w:pBdr>
          <w:bottom w:val="thick" w:color="8B6914" w:sz="10" w:space="5"/>
        </w:pBdr>
        <w:bidi/>
        <w:spacing w:after="160" w:before="240"/>
      </w:pPr>
      <w:r>
        <w:rPr>
          <w:rFonts w:ascii="Traditional Arabic" w:cs="Traditional Arabic" w:eastAsia="Traditional Arabic" w:hAnsi="Traditional Arabic"/>
          <w:b/>
          <w:bCs/>
          <w:i w:val="false"/>
          <w:iCs w:val="false"/>
          <w:color w:val="0B1F45"/>
          <w:sz w:val="36"/>
          <w:szCs w:val="36"/>
        </w:rPr>
        <w:t xml:space="preserve">الملخص التنفيذي</w:t>
      </w:r>
    </w:p>
    <w:p>
      <w:pPr>
        <w:bidi/>
        <w:spacing w:after="110" w:before="110" w:line="336"/>
        <w:ind w:firstLine="720"/>
        <w:jc w:val="both"/>
      </w:pPr>
      <w:r>
        <w:rPr>
          <w:rFonts w:ascii="Traditional Arabic" w:cs="Traditional Arabic" w:eastAsia="Traditional Arabic" w:hAnsi="Traditional Arabic"/>
          <w:b w:val="false"/>
          <w:bCs w:val="false"/>
          <w:i w:val="false"/>
          <w:iCs w:val="false"/>
          <w:color w:val="111111"/>
          <w:sz w:val="26"/>
          <w:szCs w:val="26"/>
        </w:rPr>
        <w:t xml:space="preserve">يتناول هذا التعميق الأكاديمي الفصلَ الثاني من كتاب سيكولوجية المرأة، الذي يُقدّم تحليلاً نقدياً لادعاءين شائعَين في أدبيات الفروق بين الجنسين: الأول حول «الاتصال الأكبر بين نصفي الكرة المخية لدى المرأة»، والثاني حول «استخدامها المادة البيضاء أكثر بعشر مرات». يُثمن الفصل الأصلي جهده النقدي في تفنيد المبالغات؛ غير أن هذا التعميق يُضيف ستة محاور جديدة تتجاوز ما قدّمه.</w:t>
      </w:r>
    </w:p>
    <w:p>
      <w:pPr>
        <w:bidi/>
        <w:spacing w:after="110" w:before="110" w:line="336"/>
        <w:ind w:firstLine="720"/>
        <w:jc w:val="both"/>
      </w:pPr>
      <w:r>
        <w:rPr>
          <w:rFonts w:ascii="Traditional Arabic" w:cs="Traditional Arabic" w:eastAsia="Traditional Arabic" w:hAnsi="Traditional Arabic"/>
          <w:b w:val="false"/>
          <w:bCs w:val="false"/>
          <w:i w:val="false"/>
          <w:iCs w:val="false"/>
          <w:color w:val="111111"/>
          <w:sz w:val="26"/>
          <w:szCs w:val="26"/>
        </w:rPr>
        <w:t xml:space="preserve">المحاور المضافة هي: (1) نقد منهجي شامل لإشكاليات البحث في هذا الحقل من تحيز النشر إلى أزمة التكرارية؛ (2) تحليل دور الهرمونات في الإدراك بعيداً عن الثنائية الجامدة؛ (3) نموذج «الدماغ الفسيفسائي» (Joel 2015) كبديل نظري للثنائية الجندرية؛ (4) نقد «عِلم الجنس العصبي» (Neurosexism) كتوجّه أيديولوجي يعبر بالعلم إلى سياسات تمييزية؛ (5) مقارنة الأنظمة التفسيرية الأربعة للفروق؛ (6) القراءة الاستخلافية التي تُعيد صياغة السؤال كلياً من «من الأفضل؟» إلى «ما الوظيفة الاستخلافية لهذا التنوع؟»</w:t>
      </w:r>
    </w:p>
    <w:p>
      <w:pPr>
        <w:pBdr>
          <w:top w:val="single" w:color="0B1F45" w:sz="3"/>
          <w:left w:val="thick" w:color="0B1F45" w:sz="14"/>
          <w:bottom w:val="single" w:color="0B1F45" w:sz="3"/>
          <w:right w:val="single" w:color="0B1F45" w:sz="3"/>
        </w:pBdr>
        <w:shd w:fill="EDF1F8" w:val="clear"/>
        <w:bidi/>
        <w:spacing w:after="150" w:before="150"/>
        <w:ind w:left="360" w:right="360"/>
        <w:jc w:val="both"/>
      </w:pPr>
      <w:r>
        <w:rPr>
          <w:rFonts w:ascii="Traditional Arabic" w:cs="Traditional Arabic" w:eastAsia="Traditional Arabic" w:hAnsi="Traditional Arabic"/>
          <w:b/>
          <w:bCs/>
          <w:i w:val="false"/>
          <w:iCs w:val="false"/>
          <w:color w:val="0B1F45"/>
          <w:sz w:val="24"/>
          <w:szCs w:val="24"/>
        </w:rPr>
        <w:t xml:space="preserve">الأطروحة المركزية: </w:t>
      </w:r>
      <w:r>
        <w:rPr>
          <w:rFonts w:ascii="Traditional Arabic" w:cs="Traditional Arabic" w:eastAsia="Traditional Arabic" w:hAnsi="Traditional Arabic"/>
          <w:b w:val="false"/>
          <w:bCs w:val="false"/>
          <w:i w:val="false"/>
          <w:iCs w:val="false"/>
          <w:color w:val="1A1A1A"/>
          <w:sz w:val="23"/>
          <w:szCs w:val="23"/>
        </w:rPr>
        <w:t xml:space="preserve">الإشكال الجذري في هذا الحقل ليس في نتائجه العلمية المُبالَغ فيها فحسب، بل في السؤال الذي يطرحه: حين تسأل «من الأفضل في X؟» تفترض مسبقاً أن X معيار كوني للقيمة. علم النفس الاستخلافي يرفض هذا الافتراض ويُحرّر الدراسة من عبودية المعيار الواحد.</w:t>
      </w:r>
    </w:p>
    <w:p>
      <w:pPr>
        <w:pageBreakBefore/>
        <w:pBdr>
          <w:bottom w:val="thick" w:color="8B6914" w:sz="10" w:space="5"/>
        </w:pBdr>
        <w:bidi/>
        <w:spacing w:after="160" w:before="240"/>
      </w:pPr>
      <w:r>
        <w:rPr>
          <w:rFonts w:ascii="Traditional Arabic" w:cs="Traditional Arabic" w:eastAsia="Traditional Arabic" w:hAnsi="Traditional Arabic"/>
          <w:b/>
          <w:bCs/>
          <w:i w:val="false"/>
          <w:iCs w:val="false"/>
          <w:color w:val="0B1F45"/>
          <w:sz w:val="36"/>
          <w:szCs w:val="36"/>
        </w:rPr>
        <w:t xml:space="preserve">أولاً: تشريح الادعاءات — بين الدليل والمبالغة</w:t>
      </w:r>
    </w:p>
    <w:p>
      <w:pPr>
        <w:bidi/>
        <w:spacing w:after="110" w:before="110" w:line="336"/>
        <w:ind w:firstLine="720"/>
        <w:jc w:val="both"/>
      </w:pPr>
      <w:r>
        <w:rPr>
          <w:rFonts w:ascii="Traditional Arabic" w:cs="Traditional Arabic" w:eastAsia="Traditional Arabic" w:hAnsi="Traditional Arabic"/>
          <w:b w:val="false"/>
          <w:bCs w:val="false"/>
          <w:i w:val="false"/>
          <w:iCs w:val="false"/>
          <w:color w:val="111111"/>
          <w:sz w:val="26"/>
          <w:szCs w:val="26"/>
        </w:rPr>
        <w:t xml:space="preserve">قدّم الفصل الأصلي نقداً صحيحاً للادعاءَين الرئيسيَّين. يُضيف هذا التعميق تحليلاً منهجياً أكثر دقةً يرصد درجة الدليل وحجم الأثر الفعلي لكل ادعاء، مع إضافة بُعد مغفول: الادعاء حول الفروق في التواصل اللفظي والفروق في التفكير المكاني.</w:t>
      </w:r>
    </w:p>
    <w:p>
      <w:pPr>
        <w:spacing w:after="0" w:before="0"/>
      </w:pPr>
      <w:r>
        <w:rPr>
          <w:sz w:val="16"/>
          <w:szCs w:val="16"/>
        </w:rPr>
        <w:t xml:space="preserve"/>
      </w:r>
    </w:p>
    <w:tbl>
      <w:tblPr>
        <w:tblW w:type="dxa" w:w="10200"/>
        <w:tblBorders>
          <w:top w:val="single" w:color="auto" w:sz="4"/>
          <w:left w:val="single" w:color="auto" w:sz="4"/>
          <w:bottom w:val="single" w:color="auto" w:sz="4"/>
          <w:right w:val="single" w:color="auto" w:sz="4"/>
          <w:insideH w:val="single" w:color="auto" w:sz="4"/>
          <w:insideV w:val="single" w:color="auto" w:sz="4"/>
        </w:tblBorders>
      </w:tblPr>
      <w:tblGrid>
        <w:gridCol w:w="2200"/>
        <w:gridCol w:w="1600"/>
        <w:gridCol w:w="1600"/>
        <w:gridCol w:w="2000"/>
        <w:gridCol w:w="2600"/>
      </w:tblGrid>
      <w:tr>
        <w:trPr>
          <w:tblHeader/>
        </w:trPr>
        <w:tc>
          <w:tcPr>
            <w:tcW w:type="dxa" w:w="2200"/>
            <w:tcBorders>
              <w:top w:val="single" w:color="0B1F45" w:sz="1"/>
              <w:left w:val="single" w:color="0B1F45" w:sz="1"/>
              <w:bottom w:val="single" w:color="0B1F45" w:sz="1"/>
              <w:right w:val="single" w:color="0B1F45" w:sz="1"/>
            </w:tcBorders>
            <w:shd w:fill="0B1F45" w:val="clear"/>
            <w:tcMar>
              <w:top w:type="dxa" w:w="100"/>
              <w:left w:type="dxa" w:w="130"/>
              <w:bottom w:type="dxa" w:w="100"/>
              <w:right w:type="dxa" w:w="130"/>
            </w:tcMar>
            <w:vAlign w:val="center"/>
          </w:tcPr>
          <w:p>
            <w:pPr>
              <w:bidi/>
              <w:jc w:val="center"/>
            </w:pPr>
            <w:r>
              <w:rPr>
                <w:rFonts w:ascii="Traditional Arabic" w:cs="Traditional Arabic" w:eastAsia="Traditional Arabic" w:hAnsi="Traditional Arabic"/>
                <w:b/>
                <w:bCs/>
                <w:i w:val="false"/>
                <w:iCs w:val="false"/>
                <w:color w:val="FFFFFF"/>
                <w:sz w:val="21"/>
                <w:szCs w:val="21"/>
              </w:rPr>
              <w:t xml:space="preserve">الادعاء الشائع</w:t>
            </w:r>
          </w:p>
        </w:tc>
        <w:tc>
          <w:tcPr>
            <w:tcW w:type="dxa" w:w="1600"/>
            <w:tcBorders>
              <w:top w:val="single" w:color="0B1F45" w:sz="1"/>
              <w:left w:val="single" w:color="0B1F45" w:sz="1"/>
              <w:bottom w:val="single" w:color="0B1F45" w:sz="1"/>
              <w:right w:val="single" w:color="0B1F45" w:sz="1"/>
            </w:tcBorders>
            <w:shd w:fill="0B1F45" w:val="clear"/>
            <w:tcMar>
              <w:top w:type="dxa" w:w="100"/>
              <w:left w:type="dxa" w:w="130"/>
              <w:bottom w:type="dxa" w:w="100"/>
              <w:right w:type="dxa" w:w="130"/>
            </w:tcMar>
            <w:vAlign w:val="center"/>
          </w:tcPr>
          <w:p>
            <w:pPr>
              <w:bidi/>
              <w:jc w:val="center"/>
            </w:pPr>
            <w:r>
              <w:rPr>
                <w:rFonts w:ascii="Traditional Arabic" w:cs="Traditional Arabic" w:eastAsia="Traditional Arabic" w:hAnsi="Traditional Arabic"/>
                <w:b/>
                <w:bCs/>
                <w:i w:val="false"/>
                <w:iCs w:val="false"/>
                <w:color w:val="FFFFFF"/>
                <w:sz w:val="21"/>
                <w:szCs w:val="21"/>
              </w:rPr>
              <w:t xml:space="preserve">مستوى الدليل</w:t>
            </w:r>
          </w:p>
        </w:tc>
        <w:tc>
          <w:tcPr>
            <w:tcW w:type="dxa" w:w="1600"/>
            <w:tcBorders>
              <w:top w:val="single" w:color="0B1F45" w:sz="1"/>
              <w:left w:val="single" w:color="0B1F45" w:sz="1"/>
              <w:bottom w:val="single" w:color="0B1F45" w:sz="1"/>
              <w:right w:val="single" w:color="0B1F45" w:sz="1"/>
            </w:tcBorders>
            <w:shd w:fill="0B1F45" w:val="clear"/>
            <w:tcMar>
              <w:top w:type="dxa" w:w="100"/>
              <w:left w:type="dxa" w:w="130"/>
              <w:bottom w:type="dxa" w:w="100"/>
              <w:right w:type="dxa" w:w="130"/>
            </w:tcMar>
            <w:vAlign w:val="center"/>
          </w:tcPr>
          <w:p>
            <w:pPr>
              <w:bidi/>
              <w:jc w:val="center"/>
            </w:pPr>
            <w:r>
              <w:rPr>
                <w:rFonts w:ascii="Traditional Arabic" w:cs="Traditional Arabic" w:eastAsia="Traditional Arabic" w:hAnsi="Traditional Arabic"/>
                <w:b/>
                <w:bCs/>
                <w:i w:val="false"/>
                <w:iCs w:val="false"/>
                <w:color w:val="FFFFFF"/>
                <w:sz w:val="21"/>
                <w:szCs w:val="21"/>
              </w:rPr>
              <w:t xml:space="preserve">حجم الأثر الفعلي</w:t>
            </w:r>
          </w:p>
        </w:tc>
        <w:tc>
          <w:tcPr>
            <w:tcW w:type="dxa" w:w="2000"/>
            <w:tcBorders>
              <w:top w:val="single" w:color="0B1F45" w:sz="1"/>
              <w:left w:val="single" w:color="0B1F45" w:sz="1"/>
              <w:bottom w:val="single" w:color="0B1F45" w:sz="1"/>
              <w:right w:val="single" w:color="0B1F45" w:sz="1"/>
            </w:tcBorders>
            <w:shd w:fill="0B1F45" w:val="clear"/>
            <w:tcMar>
              <w:top w:type="dxa" w:w="100"/>
              <w:left w:type="dxa" w:w="130"/>
              <w:bottom w:type="dxa" w:w="100"/>
              <w:right w:type="dxa" w:w="130"/>
            </w:tcMar>
            <w:vAlign w:val="center"/>
          </w:tcPr>
          <w:p>
            <w:pPr>
              <w:bidi/>
              <w:jc w:val="center"/>
            </w:pPr>
            <w:r>
              <w:rPr>
                <w:rFonts w:ascii="Traditional Arabic" w:cs="Traditional Arabic" w:eastAsia="Traditional Arabic" w:hAnsi="Traditional Arabic"/>
                <w:b/>
                <w:bCs/>
                <w:i w:val="false"/>
                <w:iCs w:val="false"/>
                <w:color w:val="FFFFFF"/>
                <w:sz w:val="21"/>
                <w:szCs w:val="21"/>
              </w:rPr>
              <w:t xml:space="preserve">التحفظ المنهجي الرئيسي</w:t>
            </w:r>
          </w:p>
        </w:tc>
        <w:tc>
          <w:tcPr>
            <w:tcW w:type="dxa" w:w="2600"/>
            <w:tcBorders>
              <w:top w:val="single" w:color="0B1F45" w:sz="1"/>
              <w:left w:val="single" w:color="0B1F45" w:sz="1"/>
              <w:bottom w:val="single" w:color="0B1F45" w:sz="1"/>
              <w:right w:val="single" w:color="0B1F45" w:sz="1"/>
            </w:tcBorders>
            <w:shd w:fill="0B1F45" w:val="clear"/>
            <w:tcMar>
              <w:top w:type="dxa" w:w="100"/>
              <w:left w:type="dxa" w:w="130"/>
              <w:bottom w:type="dxa" w:w="100"/>
              <w:right w:type="dxa" w:w="130"/>
            </w:tcMar>
            <w:vAlign w:val="center"/>
          </w:tcPr>
          <w:p>
            <w:pPr>
              <w:bidi/>
              <w:jc w:val="center"/>
            </w:pPr>
            <w:r>
              <w:rPr>
                <w:rFonts w:ascii="Traditional Arabic" w:cs="Traditional Arabic" w:eastAsia="Traditional Arabic" w:hAnsi="Traditional Arabic"/>
                <w:b/>
                <w:bCs/>
                <w:i w:val="false"/>
                <w:iCs w:val="false"/>
                <w:color w:val="FFFFFF"/>
                <w:sz w:val="21"/>
                <w:szCs w:val="21"/>
              </w:rPr>
              <w:t xml:space="preserve">الموقف الاستخلافي</w:t>
            </w:r>
          </w:p>
        </w:tc>
      </w:tr>
      <w:tr>
        <w:trPr>
          <w:tblHeader w:val="false"/>
        </w:trPr>
        <w:tc>
          <w:tcPr>
            <w:tcW w:type="dxa" w:w="2200"/>
            <w:tcBorders>
              <w:top w:val="single" w:color="CCCCCC" w:sz="1"/>
              <w:left w:val="single" w:color="CCCCCC" w:sz="1"/>
              <w:bottom w:val="single" w:color="CCCCCC" w:sz="1"/>
              <w:right w:val="single" w:color="CCCCCC" w:sz="1"/>
            </w:tcBorders>
            <w:shd w:fill="EDF1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bCs/>
                <w:i w:val="false"/>
                <w:iCs w:val="false"/>
                <w:color w:val="0B1F45"/>
                <w:sz w:val="20"/>
                <w:szCs w:val="20"/>
              </w:rPr>
              <w:t xml:space="preserve">اتصال أكبر بين نصفي الكرة لدى المرأة</w:t>
            </w:r>
          </w:p>
        </w:tc>
        <w:tc>
          <w:tcPr>
            <w:tcW w:type="dxa" w:w="16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متوسط — متضارب</w:t>
            </w:r>
          </w:p>
        </w:tc>
        <w:tc>
          <w:tcPr>
            <w:tcW w:type="dxa" w:w="16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صغير-متوسط (d=0.2-0.4)</w:t>
            </w:r>
          </w:p>
        </w:tc>
        <w:tc>
          <w:tcPr>
            <w:tcW w:type="dxa" w:w="20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لم تُضبط كل الدراسات حجم الدماغ الكلي</w:t>
            </w:r>
          </w:p>
        </w:tc>
        <w:tc>
          <w:tcPr>
            <w:tcW w:type="dxa" w:w="26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تنوع في أنماط الترابط، لا تفوق مطلق</w:t>
            </w:r>
          </w:p>
        </w:tc>
      </w:tr>
      <w:tr>
        <w:trPr>
          <w:tblHeader w:val="false"/>
        </w:trPr>
        <w:tc>
          <w:tcPr>
            <w:tcW w:type="dxa" w:w="2200"/>
            <w:tcBorders>
              <w:top w:val="single" w:color="CCCCCC" w:sz="1"/>
              <w:left w:val="single" w:color="CCCCCC" w:sz="1"/>
              <w:bottom w:val="single" w:color="CCCCCC" w:sz="1"/>
              <w:right w:val="single" w:color="CCCCCC" w:sz="1"/>
            </w:tcBorders>
            <w:shd w:fill="EDF1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bCs/>
                <w:i w:val="false"/>
                <w:iCs w:val="false"/>
                <w:color w:val="0B1F45"/>
                <w:sz w:val="20"/>
                <w:szCs w:val="20"/>
              </w:rPr>
              <w:t xml:space="preserve">استخدام المادة البيضاء أكثر بعشر مرات</w:t>
            </w:r>
          </w:p>
        </w:tc>
        <w:tc>
          <w:tcPr>
            <w:tcW w:type="dxa" w:w="16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ضعيف جداً — خاطئ</w:t>
            </w:r>
          </w:p>
        </w:tc>
        <w:tc>
          <w:tcPr>
            <w:tcW w:type="dxa" w:w="16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الجسم الثفني أكبر بـ7.3% فحسب</w:t>
            </w:r>
          </w:p>
        </w:tc>
        <w:tc>
          <w:tcPr>
            <w:tcW w:type="dxa" w:w="20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المقارنة بلا ضبط حجم الدماغ تُبالغ في الفرق</w:t>
            </w:r>
          </w:p>
        </w:tc>
        <w:tc>
          <w:tcPr>
            <w:tcW w:type="dxa" w:w="26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لا أساس علمي لهذه النسبة — تشويه للحقيقة</w:t>
            </w:r>
          </w:p>
        </w:tc>
      </w:tr>
      <w:tr>
        <w:trPr>
          <w:tblHeader w:val="false"/>
        </w:trPr>
        <w:tc>
          <w:tcPr>
            <w:tcW w:type="dxa" w:w="2200"/>
            <w:tcBorders>
              <w:top w:val="single" w:color="CCCCCC" w:sz="1"/>
              <w:left w:val="single" w:color="CCCCCC" w:sz="1"/>
              <w:bottom w:val="single" w:color="CCCCCC" w:sz="1"/>
              <w:right w:val="single" w:color="CCCCCC" w:sz="1"/>
            </w:tcBorders>
            <w:shd w:fill="EDF1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bCs/>
                <w:i w:val="false"/>
                <w:iCs w:val="false"/>
                <w:color w:val="0B1F45"/>
                <w:sz w:val="20"/>
                <w:szCs w:val="20"/>
              </w:rPr>
              <w:t xml:space="preserve">تفوق المرأة في تعدد المهام</w:t>
            </w:r>
          </w:p>
        </w:tc>
        <w:tc>
          <w:tcPr>
            <w:tcW w:type="dxa" w:w="16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ضعيف — غير حاسم</w:t>
            </w:r>
          </w:p>
        </w:tc>
        <w:tc>
          <w:tcPr>
            <w:tcW w:type="dxa" w:w="16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تأثير صغير أو معدوم في أغلب الدراسات</w:t>
            </w:r>
          </w:p>
        </w:tc>
        <w:tc>
          <w:tcPr>
            <w:tcW w:type="dxa" w:w="20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الاختبارات المخبرية تختلف عن الواقع اليومي</w:t>
            </w:r>
          </w:p>
        </w:tc>
        <w:tc>
          <w:tcPr>
            <w:tcW w:type="dxa" w:w="26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الاختلاف في أنماط التنشيط لا يعني تفوقاً</w:t>
            </w:r>
          </w:p>
        </w:tc>
      </w:tr>
      <w:tr>
        <w:trPr>
          <w:tblHeader w:val="false"/>
        </w:trPr>
        <w:tc>
          <w:tcPr>
            <w:tcW w:type="dxa" w:w="2200"/>
            <w:tcBorders>
              <w:top w:val="single" w:color="CCCCCC" w:sz="1"/>
              <w:left w:val="single" w:color="CCCCCC" w:sz="1"/>
              <w:bottom w:val="single" w:color="CCCCCC" w:sz="1"/>
              <w:right w:val="single" w:color="CCCCCC" w:sz="1"/>
            </w:tcBorders>
            <w:shd w:fill="EDF1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bCs/>
                <w:i w:val="false"/>
                <w:iCs w:val="false"/>
                <w:color w:val="0B1F45"/>
                <w:sz w:val="20"/>
                <w:szCs w:val="20"/>
              </w:rPr>
              <w:t xml:space="preserve">المرأة أكثر تواصلاً لفظياً</w:t>
            </w:r>
          </w:p>
        </w:tc>
        <w:tc>
          <w:tcPr>
            <w:tcW w:type="dxa" w:w="16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متوسط</w:t>
            </w:r>
          </w:p>
        </w:tc>
        <w:tc>
          <w:tcPr>
            <w:tcW w:type="dxa" w:w="16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تداخل كبير بين الجنسين</w:t>
            </w:r>
          </w:p>
        </w:tc>
        <w:tc>
          <w:tcPr>
            <w:tcW w:type="dxa" w:w="20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تأثير التنشئة الاجتماعية يُربك العامل البيولوجي</w:t>
            </w:r>
          </w:p>
        </w:tc>
        <w:tc>
          <w:tcPr>
            <w:tcW w:type="dxa" w:w="26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اختلاف في التعبير — لا تفاوت في القيمة</w:t>
            </w:r>
          </w:p>
        </w:tc>
      </w:tr>
      <w:tr>
        <w:trPr>
          <w:tblHeader w:val="false"/>
        </w:trPr>
        <w:tc>
          <w:tcPr>
            <w:tcW w:type="dxa" w:w="2200"/>
            <w:tcBorders>
              <w:top w:val="single" w:color="CCCCCC" w:sz="1"/>
              <w:left w:val="single" w:color="CCCCCC" w:sz="1"/>
              <w:bottom w:val="single" w:color="CCCCCC" w:sz="1"/>
              <w:right w:val="single" w:color="CCCCCC" w:sz="1"/>
            </w:tcBorders>
            <w:shd w:fill="EDF1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bCs/>
                <w:i w:val="false"/>
                <w:iCs w:val="false"/>
                <w:color w:val="0B1F45"/>
                <w:sz w:val="20"/>
                <w:szCs w:val="20"/>
              </w:rPr>
              <w:t xml:space="preserve">الذكر أفضل في المهام المكانية</w:t>
            </w:r>
          </w:p>
        </w:tc>
        <w:tc>
          <w:tcPr>
            <w:tcW w:type="dxa" w:w="16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متوسط-قوي</w:t>
            </w:r>
          </w:p>
        </w:tc>
        <w:tc>
          <w:tcPr>
            <w:tcW w:type="dxa" w:w="16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d=0.3-0.5 لكن مع تداخل واسع</w:t>
            </w:r>
          </w:p>
        </w:tc>
        <w:tc>
          <w:tcPr>
            <w:tcW w:type="dxa" w:w="20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التدريب يُغلق الفجوة في معظم الدراسات</w:t>
            </w:r>
          </w:p>
        </w:tc>
        <w:tc>
          <w:tcPr>
            <w:tcW w:type="dxa" w:w="26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التخصص النسبي — لا دونية مطلقة</w:t>
            </w:r>
          </w:p>
        </w:tc>
      </w:tr>
    </w:tbl>
    <w:p>
      <w:pPr>
        <w:spacing w:after="0" w:before="0"/>
      </w:pPr>
      <w:r>
        <w:rPr>
          <w:sz w:val="24"/>
          <w:szCs w:val="24"/>
        </w:rPr>
        <w:t xml:space="preserve"/>
      </w:r>
    </w:p>
    <w:p>
      <w:pPr>
        <w:pBdr>
          <w:bottom w:val="single" w:color="0C6060" w:sz="4" w:space="3"/>
        </w:pBdr>
        <w:bidi/>
        <w:spacing w:after="130" w:before="220"/>
      </w:pPr>
      <w:r>
        <w:rPr>
          <w:rFonts w:ascii="Traditional Arabic" w:cs="Traditional Arabic" w:eastAsia="Traditional Arabic" w:hAnsi="Traditional Arabic"/>
          <w:b/>
          <w:bCs/>
          <w:i w:val="false"/>
          <w:iCs w:val="false"/>
          <w:color w:val="0C6060"/>
          <w:sz w:val="30"/>
          <w:szCs w:val="30"/>
        </w:rPr>
        <w:t xml:space="preserve">1.1 مفهوم حجم الأثر وأهميته</w:t>
      </w:r>
    </w:p>
    <w:p>
      <w:pPr>
        <w:bidi/>
        <w:spacing w:after="110" w:before="110" w:line="336"/>
        <w:ind w:firstLine="720"/>
        <w:jc w:val="both"/>
      </w:pPr>
      <w:r>
        <w:rPr>
          <w:rFonts w:ascii="Traditional Arabic" w:cs="Traditional Arabic" w:eastAsia="Traditional Arabic" w:hAnsi="Traditional Arabic"/>
          <w:b w:val="false"/>
          <w:bCs w:val="false"/>
          <w:i w:val="false"/>
          <w:iCs w:val="false"/>
          <w:color w:val="111111"/>
          <w:sz w:val="26"/>
          <w:szCs w:val="26"/>
        </w:rPr>
        <w:t xml:space="preserve">يغيب من الفصل الأصلي تحليل «حجم الأثر» (Effect Size) بوصفه المقياس الأكثر أهمية في تقييم الفروق بين المجموعات. فقيمة (d) لكوهن تُخبرنا كم مرة يساوي الفرق الإنحراف المعياري، وهو ما يُميّز بين «ذات دلالة إحصائية» و«ذات دلالة عملية». الفرق الإحصائي الموثوق في الجسم الثفني (7.3%) ذو دلالة إحصائية في العينات الكبيرة، لكن حجم أثره (d≈0.2) يعني أن التداخل بين توزيعَي الذكور والإناث يبلغ نحو 92% — أي أن معرفة جنس شخص ما تُتيح تنبؤاً بحجم جسمه الثفني دون أن تبلغ دقته عشرين بالمئة من درجة التباين الكلي.</w:t>
      </w:r>
    </w:p>
    <w:p>
      <w:pPr>
        <w:bidi/>
        <w:spacing w:after="110" w:before="110" w:line="336"/>
        <w:ind w:firstLine="720"/>
        <w:jc w:val="both"/>
      </w:pPr>
      <w:r>
        <w:rPr>
          <w:rFonts w:ascii="Traditional Arabic" w:cs="Traditional Arabic" w:eastAsia="Traditional Arabic" w:hAnsi="Traditional Arabic"/>
          <w:b w:val="false"/>
          <w:bCs w:val="false"/>
          <w:i w:val="false"/>
          <w:iCs w:val="false"/>
          <w:color w:val="111111"/>
          <w:sz w:val="26"/>
          <w:szCs w:val="26"/>
        </w:rPr>
        <w:t xml:space="preserve">ومن أكثر ما يكشف حجم الأثر دلالةً هو مقارنته بمؤثرات أخرى: التدريب المعرفي والتعليم يُنتجان أحجام أثر (d=0.5-0.8) على كثير من القدرات المعرفية نفسها. بمعنى أن بيئة التعلم والممارسة تُحدث فرقاً أكبر في الأداء المعرفي الفعلي مقارنةً بالجنس البيولوجي.</w:t>
      </w:r>
    </w:p>
    <w:p>
      <w:pPr>
        <w:pBdr>
          <w:top w:val="single" w:color="0C6060" w:sz="3"/>
          <w:left w:val="thick" w:color="0C6060" w:sz="14"/>
          <w:bottom w:val="single" w:color="0C6060" w:sz="3"/>
          <w:right w:val="single" w:color="0C6060" w:sz="3"/>
        </w:pBdr>
        <w:shd w:fill="E6F3F2" w:val="clear"/>
        <w:bidi/>
        <w:spacing w:after="150" w:before="150"/>
        <w:ind w:left="360" w:right="360"/>
        <w:jc w:val="both"/>
      </w:pPr>
      <w:r>
        <w:rPr>
          <w:rFonts w:ascii="Traditional Arabic" w:cs="Traditional Arabic" w:eastAsia="Traditional Arabic" w:hAnsi="Traditional Arabic"/>
          <w:b/>
          <w:bCs/>
          <w:i w:val="false"/>
          <w:iCs w:val="false"/>
          <w:color w:val="0C6060"/>
          <w:sz w:val="24"/>
          <w:szCs w:val="24"/>
        </w:rPr>
        <w:t xml:space="preserve">الدرس المنهجي الجوهري: </w:t>
      </w:r>
      <w:r>
        <w:rPr>
          <w:rFonts w:ascii="Traditional Arabic" w:cs="Traditional Arabic" w:eastAsia="Traditional Arabic" w:hAnsi="Traditional Arabic"/>
          <w:b w:val="false"/>
          <w:bCs w:val="false"/>
          <w:i w:val="false"/>
          <w:iCs w:val="false"/>
          <w:color w:val="1A1A1A"/>
          <w:sz w:val="23"/>
          <w:szCs w:val="23"/>
        </w:rPr>
        <w:t xml:space="preserve">الفرق الموثوق إحصائياً لا يعني الفرق المهم عملياً. وحين تُقدَّم فروق ذات d=0.2-0.3 بوصفها «تفوقاً» لجنس على آخر، فهذا تحريف للنتيجة العلمية بقصد أو بغير قصد.</w:t>
      </w:r>
    </w:p>
    <w:p>
      <w:pPr>
        <w:pBdr>
          <w:bottom w:val="single" w:color="0C6060" w:sz="4" w:space="3"/>
        </w:pBdr>
        <w:bidi/>
        <w:spacing w:after="130" w:before="220"/>
      </w:pPr>
      <w:r>
        <w:rPr>
          <w:rFonts w:ascii="Traditional Arabic" w:cs="Traditional Arabic" w:eastAsia="Traditional Arabic" w:hAnsi="Traditional Arabic"/>
          <w:b/>
          <w:bCs/>
          <w:i w:val="false"/>
          <w:iCs w:val="false"/>
          <w:color w:val="0C6060"/>
          <w:sz w:val="30"/>
          <w:szCs w:val="30"/>
        </w:rPr>
        <w:t xml:space="preserve">1.2 الفرق بين «مختلف» و«أفضل»</w:t>
      </w:r>
    </w:p>
    <w:p>
      <w:pPr>
        <w:bidi/>
        <w:spacing w:after="110" w:before="110" w:line="336"/>
        <w:ind w:firstLine="720"/>
        <w:jc w:val="both"/>
      </w:pPr>
      <w:r>
        <w:rPr>
          <w:rFonts w:ascii="Traditional Arabic" w:cs="Traditional Arabic" w:eastAsia="Traditional Arabic" w:hAnsi="Traditional Arabic"/>
          <w:b w:val="false"/>
          <w:bCs w:val="false"/>
          <w:i w:val="false"/>
          <w:iCs w:val="false"/>
          <w:color w:val="111111"/>
          <w:sz w:val="26"/>
          <w:szCs w:val="26"/>
        </w:rPr>
        <w:t xml:space="preserve">يُفرّق الفصل الأصلي بوضوح بين وجود الفروق وادعاء التفوق، لكن دون استيعاب كامل لما يسمّيه ليبرمان (2015) «فخ التسمية المتسرعة» (Premature Labeling). فحين يُقال إن «النساء أكثر اتصالاً بين نصفَي الكرة» يُطرح هذا كميزة ضمنياً. لكن البيانات الفعلية أكثر تعقيداً: الاتصال العالي بين نصفَي الكرة ليس «أفضل» دائماً — فقد ارتبط في بعض الدراسات بمعالجة أبطأ. وتخصص كل نصف بمهام محددة (Lateralization) قد يكون ميزة تخصصية وليس حداً.</w:t>
      </w:r>
    </w:p>
    <w:p>
      <w:pPr>
        <w:pageBreakBefore/>
        <w:pBdr>
          <w:bottom w:val="thick" w:color="8B6914" w:sz="10" w:space="5"/>
        </w:pBdr>
        <w:bidi/>
        <w:spacing w:after="160" w:before="240"/>
      </w:pPr>
      <w:r>
        <w:rPr>
          <w:rFonts w:ascii="Traditional Arabic" w:cs="Traditional Arabic" w:eastAsia="Traditional Arabic" w:hAnsi="Traditional Arabic"/>
          <w:b/>
          <w:bCs/>
          <w:i w:val="false"/>
          <w:iCs w:val="false"/>
          <w:color w:val="0B1F45"/>
          <w:sz w:val="36"/>
          <w:szCs w:val="36"/>
        </w:rPr>
        <w:t xml:space="preserve">ثانياً: النقد المنهجي الشامل — لماذا يجب أن نتشكك؟</w:t>
      </w:r>
    </w:p>
    <w:p>
      <w:pPr>
        <w:bidi/>
        <w:spacing w:after="110" w:before="110" w:line="336"/>
        <w:ind w:firstLine="720"/>
        <w:jc w:val="both"/>
      </w:pPr>
      <w:r>
        <w:rPr>
          <w:rFonts w:ascii="Traditional Arabic" w:cs="Traditional Arabic" w:eastAsia="Traditional Arabic" w:hAnsi="Traditional Arabic"/>
          <w:b w:val="false"/>
          <w:bCs w:val="false"/>
          <w:i w:val="false"/>
          <w:iCs w:val="false"/>
          <w:color w:val="111111"/>
          <w:sz w:val="26"/>
          <w:szCs w:val="26"/>
        </w:rPr>
        <w:t xml:space="preserve">تجاوز الفصل الأصلي نقد الادعاءات بالأدلة المضادة. لكن الأنضج منهجياً هو نقد البنية المنهجية الكاملة لهذا الحقل البحثي، لأن الخلل ليس في دراسة بعينها بل في أنماط متكررة عبر عقود من الأبحاث.</w:t>
      </w:r>
    </w:p>
    <w:p>
      <w:pPr>
        <w:spacing w:after="0" w:before="0"/>
      </w:pPr>
      <w:r>
        <w:rPr>
          <w:sz w:val="16"/>
          <w:szCs w:val="16"/>
        </w:rPr>
        <w:t xml:space="preserve"/>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2400"/>
        <w:gridCol w:w="3800"/>
        <w:gridCol w:w="4000"/>
      </w:tblGrid>
      <w:tr>
        <w:trPr>
          <w:tblHeader/>
        </w:trPr>
        <w:tc>
          <w:tcPr>
            <w:tcW w:type="dxa" w:w="2400"/>
            <w:tcBorders>
              <w:top w:val="single" w:color="0B1F45" w:sz="1"/>
              <w:left w:val="single" w:color="0B1F45" w:sz="1"/>
              <w:bottom w:val="single" w:color="0B1F45" w:sz="1"/>
              <w:right w:val="single" w:color="0B1F45" w:sz="1"/>
            </w:tcBorders>
            <w:shd w:fill="0B1F45" w:val="clear"/>
            <w:tcMar>
              <w:top w:type="dxa" w:w="100"/>
              <w:left w:type="dxa" w:w="130"/>
              <w:bottom w:type="dxa" w:w="100"/>
              <w:right w:type="dxa" w:w="130"/>
            </w:tcMar>
            <w:vAlign w:val="center"/>
          </w:tcPr>
          <w:p>
            <w:pPr>
              <w:bidi/>
              <w:jc w:val="center"/>
            </w:pPr>
            <w:r>
              <w:rPr>
                <w:rFonts w:ascii="Traditional Arabic" w:cs="Traditional Arabic" w:eastAsia="Traditional Arabic" w:hAnsi="Traditional Arabic"/>
                <w:b/>
                <w:bCs/>
                <w:i w:val="false"/>
                <w:iCs w:val="false"/>
                <w:color w:val="FFFFFF"/>
                <w:sz w:val="21"/>
                <w:szCs w:val="21"/>
              </w:rPr>
              <w:t xml:space="preserve">الإشكالية المنهجية</w:t>
            </w:r>
          </w:p>
        </w:tc>
        <w:tc>
          <w:tcPr>
            <w:tcW w:type="dxa" w:w="3800"/>
            <w:tcBorders>
              <w:top w:val="single" w:color="0B1F45" w:sz="1"/>
              <w:left w:val="single" w:color="0B1F45" w:sz="1"/>
              <w:bottom w:val="single" w:color="0B1F45" w:sz="1"/>
              <w:right w:val="single" w:color="0B1F45" w:sz="1"/>
            </w:tcBorders>
            <w:shd w:fill="0B1F45" w:val="clear"/>
            <w:tcMar>
              <w:top w:type="dxa" w:w="100"/>
              <w:left w:type="dxa" w:w="130"/>
              <w:bottom w:type="dxa" w:w="100"/>
              <w:right w:type="dxa" w:w="130"/>
            </w:tcMar>
            <w:vAlign w:val="center"/>
          </w:tcPr>
          <w:p>
            <w:pPr>
              <w:bidi/>
              <w:jc w:val="center"/>
            </w:pPr>
            <w:r>
              <w:rPr>
                <w:rFonts w:ascii="Traditional Arabic" w:cs="Traditional Arabic" w:eastAsia="Traditional Arabic" w:hAnsi="Traditional Arabic"/>
                <w:b/>
                <w:bCs/>
                <w:i w:val="false"/>
                <w:iCs w:val="false"/>
                <w:color w:val="FFFFFF"/>
                <w:sz w:val="21"/>
                <w:szCs w:val="21"/>
              </w:rPr>
              <w:t xml:space="preserve">تجلّيها في أبحاث الفروق بين الجنسين</w:t>
            </w:r>
          </w:p>
        </w:tc>
        <w:tc>
          <w:tcPr>
            <w:tcW w:type="dxa" w:w="4000"/>
            <w:tcBorders>
              <w:top w:val="single" w:color="0B1F45" w:sz="1"/>
              <w:left w:val="single" w:color="0B1F45" w:sz="1"/>
              <w:bottom w:val="single" w:color="0B1F45" w:sz="1"/>
              <w:right w:val="single" w:color="0B1F45" w:sz="1"/>
            </w:tcBorders>
            <w:shd w:fill="0B1F45" w:val="clear"/>
            <w:tcMar>
              <w:top w:type="dxa" w:w="100"/>
              <w:left w:type="dxa" w:w="130"/>
              <w:bottom w:type="dxa" w:w="100"/>
              <w:right w:type="dxa" w:w="130"/>
            </w:tcMar>
            <w:vAlign w:val="center"/>
          </w:tcPr>
          <w:p>
            <w:pPr>
              <w:bidi/>
              <w:jc w:val="center"/>
            </w:pPr>
            <w:r>
              <w:rPr>
                <w:rFonts w:ascii="Traditional Arabic" w:cs="Traditional Arabic" w:eastAsia="Traditional Arabic" w:hAnsi="Traditional Arabic"/>
                <w:b/>
                <w:bCs/>
                <w:i w:val="false"/>
                <w:iCs w:val="false"/>
                <w:color w:val="FFFFFF"/>
                <w:sz w:val="21"/>
                <w:szCs w:val="21"/>
              </w:rPr>
              <w:t xml:space="preserve">الحل المنهجي المقترح</w:t>
            </w:r>
          </w:p>
        </w:tc>
      </w:tr>
      <w:tr>
        <w:trPr>
          <w:tblHeader w:val="false"/>
        </w:trPr>
        <w:tc>
          <w:tcPr>
            <w:tcW w:type="dxa" w:w="2400"/>
            <w:tcBorders>
              <w:top w:val="single" w:color="CCCCCC" w:sz="1"/>
              <w:left w:val="single" w:color="CCCCCC" w:sz="1"/>
              <w:bottom w:val="single" w:color="CCCCCC" w:sz="1"/>
              <w:right w:val="single" w:color="CCCCCC" w:sz="1"/>
            </w:tcBorders>
            <w:shd w:fill="EDF1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bCs/>
                <w:i w:val="false"/>
                <w:iCs w:val="false"/>
                <w:color w:val="0B1F45"/>
                <w:sz w:val="20"/>
                <w:szCs w:val="20"/>
              </w:rPr>
              <w:t xml:space="preserve">التحيز في النشر (Publication Bias)</w:t>
            </w:r>
          </w:p>
        </w:tc>
        <w:tc>
          <w:tcPr>
            <w:tcW w:type="dxa" w:w="38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الدراسات التي تجد فروقاً بين الجنسين تُنشر أكثر بكثير من الدراسات السلبية، مما يُضخّم حجم الظاهرة الحقيقية</w:t>
            </w:r>
          </w:p>
        </w:tc>
        <w:tc>
          <w:tcPr>
            <w:tcW w:type="dxa" w:w="40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التحليل التلوي (Meta-Analysis) مع تصحيح تحيز النشر عبر رسوم القمع (Funnel Plots)</w:t>
            </w:r>
          </w:p>
        </w:tc>
      </w:tr>
      <w:tr>
        <w:trPr>
          <w:tblHeader w:val="false"/>
        </w:trPr>
        <w:tc>
          <w:tcPr>
            <w:tcW w:type="dxa" w:w="2400"/>
            <w:tcBorders>
              <w:top w:val="single" w:color="CCCCCC" w:sz="1"/>
              <w:left w:val="single" w:color="CCCCCC" w:sz="1"/>
              <w:bottom w:val="single" w:color="CCCCCC" w:sz="1"/>
              <w:right w:val="single" w:color="CCCCCC" w:sz="1"/>
            </w:tcBorders>
            <w:shd w:fill="EDF1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bCs/>
                <w:i w:val="false"/>
                <w:iCs w:val="false"/>
                <w:color w:val="0B1F45"/>
                <w:sz w:val="20"/>
                <w:szCs w:val="20"/>
              </w:rPr>
              <w:t xml:space="preserve">إشكالية الحجم وعدم الضبط</w:t>
            </w:r>
          </w:p>
        </w:tc>
        <w:tc>
          <w:tcPr>
            <w:tcW w:type="dxa" w:w="38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مقارنة دماغ متوسطه 1260 غرام (ذكر) بدماغ متوسطه 1130 غرام (أنثى) دون ضبط الحجم يُنتج فروقاً وهمية في الأجزاء</w:t>
            </w:r>
          </w:p>
        </w:tc>
        <w:tc>
          <w:tcPr>
            <w:tcW w:type="dxa" w:w="40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ضبط الحجم الكلي للدماغ وضبط الطول والوزن قبل كل مقارنة بنيوية</w:t>
            </w:r>
          </w:p>
        </w:tc>
      </w:tr>
      <w:tr>
        <w:trPr>
          <w:tblHeader w:val="false"/>
        </w:trPr>
        <w:tc>
          <w:tcPr>
            <w:tcW w:type="dxa" w:w="2400"/>
            <w:tcBorders>
              <w:top w:val="single" w:color="CCCCCC" w:sz="1"/>
              <w:left w:val="single" w:color="CCCCCC" w:sz="1"/>
              <w:bottom w:val="single" w:color="CCCCCC" w:sz="1"/>
              <w:right w:val="single" w:color="CCCCCC" w:sz="1"/>
            </w:tcBorders>
            <w:shd w:fill="EDF1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bCs/>
                <w:i w:val="false"/>
                <w:iCs w:val="false"/>
                <w:color w:val="0B1F45"/>
                <w:sz w:val="20"/>
                <w:szCs w:val="20"/>
              </w:rPr>
              <w:t xml:space="preserve">إشكالية التأثير المتراكم للتنشئة</w:t>
            </w:r>
          </w:p>
        </w:tc>
        <w:tc>
          <w:tcPr>
            <w:tcW w:type="dxa" w:w="38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يستحيل الفصل بين الفروق البيولوجية الصافية والفروق المكتسبة حضارياً في عينات من البالغين الذين مرّوا بعشرين عاماً من التنشئة الجنسية</w:t>
            </w:r>
          </w:p>
        </w:tc>
        <w:tc>
          <w:tcPr>
            <w:tcW w:type="dxa" w:w="40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دراسات طولية مبكرة + مقارنات عبر ثقافات مختلفة + دراسات الطفولة المبكرة</w:t>
            </w:r>
          </w:p>
        </w:tc>
      </w:tr>
      <w:tr>
        <w:trPr>
          <w:tblHeader w:val="false"/>
        </w:trPr>
        <w:tc>
          <w:tcPr>
            <w:tcW w:type="dxa" w:w="2400"/>
            <w:tcBorders>
              <w:top w:val="single" w:color="CCCCCC" w:sz="1"/>
              <w:left w:val="single" w:color="CCCCCC" w:sz="1"/>
              <w:bottom w:val="single" w:color="CCCCCC" w:sz="1"/>
              <w:right w:val="single" w:color="CCCCCC" w:sz="1"/>
            </w:tcBorders>
            <w:shd w:fill="EDF1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bCs/>
                <w:i w:val="false"/>
                <w:iCs w:val="false"/>
                <w:color w:val="0B1F45"/>
                <w:sz w:val="20"/>
                <w:szCs w:val="20"/>
              </w:rPr>
              <w:t xml:space="preserve">أزمة التكرارية (Replication Crisis)</w:t>
            </w:r>
          </w:p>
        </w:tc>
        <w:tc>
          <w:tcPr>
            <w:tcW w:type="dxa" w:w="38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تقديرات تُشير إلى أن 50%-60% من نتائج علم النفس لا تُكرَّر. ونتائج الفروق بين الجنسين من الأكثر عرضةً للفشل في التكرار</w:t>
            </w:r>
          </w:p>
        </w:tc>
        <w:tc>
          <w:tcPr>
            <w:tcW w:type="dxa" w:w="40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التسجيل المسبق للدراسات (Pre-registration) وتبني معايير حجم العينة الكافي (N&gt;100)</w:t>
            </w:r>
          </w:p>
        </w:tc>
      </w:tr>
      <w:tr>
        <w:trPr>
          <w:tblHeader w:val="false"/>
        </w:trPr>
        <w:tc>
          <w:tcPr>
            <w:tcW w:type="dxa" w:w="2400"/>
            <w:tcBorders>
              <w:top w:val="single" w:color="CCCCCC" w:sz="1"/>
              <w:left w:val="single" w:color="CCCCCC" w:sz="1"/>
              <w:bottom w:val="single" w:color="CCCCCC" w:sz="1"/>
              <w:right w:val="single" w:color="CCCCCC" w:sz="1"/>
            </w:tcBorders>
            <w:shd w:fill="EDF1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bCs/>
                <w:i w:val="false"/>
                <w:iCs w:val="false"/>
                <w:color w:val="0B1F45"/>
                <w:sz w:val="20"/>
                <w:szCs w:val="20"/>
              </w:rPr>
              <w:t xml:space="preserve">التحيز التأكيدي في التفسير</w:t>
            </w:r>
          </w:p>
        </w:tc>
        <w:tc>
          <w:tcPr>
            <w:tcW w:type="dxa" w:w="38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الباحث يُفسّر الفروق العصبية بأنها تؤكد الصور النمطية الثقافية المسبقة، رغم أن البيانات قد تحتمل تفسيرات أخرى</w:t>
            </w:r>
          </w:p>
        </w:tc>
        <w:tc>
          <w:tcPr>
            <w:tcW w:type="dxa" w:w="40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التحكيم العمياء (Blind Review) وتفسيرات متعددة للبيانات الواحدة</w:t>
            </w:r>
          </w:p>
        </w:tc>
      </w:tr>
      <w:tr>
        <w:trPr>
          <w:tblHeader w:val="false"/>
        </w:trPr>
        <w:tc>
          <w:tcPr>
            <w:tcW w:type="dxa" w:w="2400"/>
            <w:tcBorders>
              <w:top w:val="single" w:color="CCCCCC" w:sz="1"/>
              <w:left w:val="single" w:color="CCCCCC" w:sz="1"/>
              <w:bottom w:val="single" w:color="CCCCCC" w:sz="1"/>
              <w:right w:val="single" w:color="CCCCCC" w:sz="1"/>
            </w:tcBorders>
            <w:shd w:fill="EDF1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bCs/>
                <w:i w:val="false"/>
                <w:iCs w:val="false"/>
                <w:color w:val="0B1F45"/>
                <w:sz w:val="20"/>
                <w:szCs w:val="20"/>
              </w:rPr>
              <w:t xml:space="preserve">خطأ الاستنتاج من المجموعة إلى الفرد</w:t>
            </w:r>
          </w:p>
        </w:tc>
        <w:tc>
          <w:tcPr>
            <w:tcW w:type="dxa" w:w="38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المتوسطات السكانية لا تنطبق على أفراد بعينهم — معرفة جنس شخص لا تُخبرك عن قدراته الإدراكية</w:t>
            </w:r>
          </w:p>
        </w:tc>
        <w:tc>
          <w:tcPr>
            <w:tcW w:type="dxa" w:w="40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التأكيد على التداخل الهائل بين المجموعتين في كل تقرير للنتائج</w:t>
            </w:r>
          </w:p>
        </w:tc>
      </w:tr>
    </w:tbl>
    <w:p>
      <w:pPr>
        <w:spacing w:after="0" w:before="0"/>
      </w:pPr>
      <w:r>
        <w:rPr>
          <w:sz w:val="24"/>
          <w:szCs w:val="24"/>
        </w:rPr>
        <w:t xml:space="preserve"/>
      </w:r>
    </w:p>
    <w:p>
      <w:pPr>
        <w:pBdr>
          <w:bottom w:val="single" w:color="0C6060" w:sz="4" w:space="3"/>
        </w:pBdr>
        <w:bidi/>
        <w:spacing w:after="130" w:before="220"/>
      </w:pPr>
      <w:r>
        <w:rPr>
          <w:rFonts w:ascii="Traditional Arabic" w:cs="Traditional Arabic" w:eastAsia="Traditional Arabic" w:hAnsi="Traditional Arabic"/>
          <w:b/>
          <w:bCs/>
          <w:i w:val="false"/>
          <w:iCs w:val="false"/>
          <w:color w:val="0C6060"/>
          <w:sz w:val="30"/>
          <w:szCs w:val="30"/>
        </w:rPr>
        <w:t xml:space="preserve">2.1 أزمة التكرارية في أبحاث الفروق بين الجنسين</w:t>
      </w:r>
    </w:p>
    <w:p>
      <w:pPr>
        <w:bidi/>
        <w:spacing w:after="110" w:before="110" w:line="336"/>
        <w:ind w:firstLine="720"/>
        <w:jc w:val="both"/>
      </w:pPr>
      <w:r>
        <w:rPr>
          <w:rFonts w:ascii="Traditional Arabic" w:cs="Traditional Arabic" w:eastAsia="Traditional Arabic" w:hAnsi="Traditional Arabic"/>
          <w:b w:val="false"/>
          <w:bCs w:val="false"/>
          <w:i w:val="false"/>
          <w:iCs w:val="false"/>
          <w:color w:val="111111"/>
          <w:sz w:val="26"/>
          <w:szCs w:val="26"/>
        </w:rPr>
        <w:t xml:space="preserve">كشف «مشروع التكرارية» (Open Science Collaboration, 2015) أن 60% من النتائج في مجلة علم النفس التجريبي فشلت في التكرار المستقل. وتُشير تحليلات لاحقة إلى أن أبحاث الفروق بين الجنسين هي من الفئات الأكثر إشكاليةً في التكرارية، نظراً لتشابك العوامل البيولوجية والاجتماعية وصعوبة ضبطها.</w:t>
      </w:r>
    </w:p>
    <w:p>
      <w:pPr>
        <w:bidi/>
        <w:spacing w:after="110" w:before="110" w:line="336"/>
        <w:ind w:firstLine="720"/>
        <w:jc w:val="both"/>
      </w:pPr>
      <w:r>
        <w:rPr>
          <w:rFonts w:ascii="Traditional Arabic" w:cs="Traditional Arabic" w:eastAsia="Traditional Arabic" w:hAnsi="Traditional Arabic"/>
          <w:b w:val="false"/>
          <w:bCs w:val="false"/>
          <w:i w:val="false"/>
          <w:iCs w:val="false"/>
          <w:color w:val="111111"/>
          <w:sz w:val="26"/>
          <w:szCs w:val="26"/>
        </w:rPr>
        <w:t xml:space="preserve">ومن أبرز الأمثلة: ادعاء «تفوق المرأة في تعدد المهام» الذي انتشر واسعاً في 2019 استناداً إلى دراسة وحيدة، ثم أخفق في التكرار في دراسات متعددة ومنهجية بعدها. هذا النمط —دراسة واحدة تُنتج عنواناً بارزاً ثم يتلاشى في التكرار— هو سمة هيكلية في هذا الحقل وليس استثناءً.</w:t>
      </w:r>
    </w:p>
    <w:p>
      <w:pPr>
        <w:pBdr>
          <w:top w:val="single" w:color="7A1A1A" w:sz="3"/>
          <w:left w:val="thick" w:color="7A1A1A" w:sz="14"/>
          <w:bottom w:val="single" w:color="7A1A1A" w:sz="3"/>
          <w:right w:val="single" w:color="7A1A1A" w:sz="3"/>
        </w:pBdr>
        <w:shd w:fill="F9EDEB" w:val="clear"/>
        <w:bidi/>
        <w:spacing w:after="150" w:before="150"/>
        <w:ind w:left="360" w:right="360"/>
        <w:jc w:val="both"/>
      </w:pPr>
      <w:r>
        <w:rPr>
          <w:rFonts w:ascii="Traditional Arabic" w:cs="Traditional Arabic" w:eastAsia="Traditional Arabic" w:hAnsi="Traditional Arabic"/>
          <w:b/>
          <w:bCs/>
          <w:i w:val="false"/>
          <w:iCs w:val="false"/>
          <w:color w:val="7A1A1A"/>
          <w:sz w:val="24"/>
          <w:szCs w:val="24"/>
        </w:rPr>
        <w:t xml:space="preserve">التحذير المنهجي: </w:t>
      </w:r>
      <w:r>
        <w:rPr>
          <w:rFonts w:ascii="Traditional Arabic" w:cs="Traditional Arabic" w:eastAsia="Traditional Arabic" w:hAnsi="Traditional Arabic"/>
          <w:b w:val="false"/>
          <w:bCs w:val="false"/>
          <w:i w:val="false"/>
          <w:iCs w:val="false"/>
          <w:color w:val="1A1A1A"/>
          <w:sz w:val="23"/>
          <w:szCs w:val="23"/>
        </w:rPr>
        <w:t xml:space="preserve">قبل قبول أي نتيجة في حقل الفروق بين الجنسين، يجب السؤال: هل كُرِّرت في عينات مستقلة؟ وهل حجم العينة في الدراسة الأصلية كافٍ (N&gt;100 للبنيوية، N&gt;200 للوظيفية)؟ وهل نُشرت النتائج السلبية بالقدر ذاته؟</w:t>
      </w:r>
    </w:p>
    <w:p>
      <w:pPr>
        <w:pBdr>
          <w:bottom w:val="single" w:color="0C6060" w:sz="4" w:space="3"/>
        </w:pBdr>
        <w:bidi/>
        <w:spacing w:after="130" w:before="220"/>
      </w:pPr>
      <w:r>
        <w:rPr>
          <w:rFonts w:ascii="Traditional Arabic" w:cs="Traditional Arabic" w:eastAsia="Traditional Arabic" w:hAnsi="Traditional Arabic"/>
          <w:b/>
          <w:bCs/>
          <w:i w:val="false"/>
          <w:iCs w:val="false"/>
          <w:color w:val="0C6060"/>
          <w:sz w:val="30"/>
          <w:szCs w:val="30"/>
        </w:rPr>
        <w:t xml:space="preserve">2.2 الجسم الثفني: قرن من سوء الاستخدام العلمي</w:t>
      </w:r>
    </w:p>
    <w:p>
      <w:pPr>
        <w:bidi/>
        <w:spacing w:after="110" w:before="110" w:line="336"/>
        <w:ind w:firstLine="720"/>
        <w:jc w:val="both"/>
      </w:pPr>
      <w:r>
        <w:rPr>
          <w:rFonts w:ascii="Traditional Arabic" w:cs="Traditional Arabic" w:eastAsia="Traditional Arabic" w:hAnsi="Traditional Arabic"/>
          <w:b w:val="false"/>
          <w:bCs w:val="false"/>
          <w:i w:val="false"/>
          <w:iCs w:val="false"/>
          <w:color w:val="111111"/>
          <w:sz w:val="26"/>
          <w:szCs w:val="26"/>
        </w:rPr>
        <w:t xml:space="preserve">يستحق الجسم الثفني توقفاً تاريخياً خاصاً لأنه من أقدم موارد النقاش حول فروق الجنسين في الدماغ. منذ الثمانينيات حين أعلن سبيري وغازانيغا عن وجود فروق، والنقاش متصاعد. غير أن تحليلاً تلوياً شاملاً أجراه بيشوب وزملاؤه (2005) ضمّ 49 دراسة وعينة إجمالية تجاوزت 2000 شخص خلص إلى: لا يوجد فرق ذو دلالة في حجم الجسم الثفني نسبةً إلى حجم الدماغ الكلي بين الجنسين.</w:t>
      </w:r>
    </w:p>
    <w:p>
      <w:pPr>
        <w:bidi/>
        <w:spacing w:after="110" w:before="110" w:line="336"/>
        <w:ind w:firstLine="720"/>
        <w:jc w:val="both"/>
      </w:pPr>
      <w:r>
        <w:rPr>
          <w:rFonts w:ascii="Traditional Arabic" w:cs="Traditional Arabic" w:eastAsia="Traditional Arabic" w:hAnsi="Traditional Arabic"/>
          <w:b w:val="false"/>
          <w:bCs w:val="false"/>
          <w:i w:val="false"/>
          <w:iCs w:val="false"/>
          <w:color w:val="111111"/>
          <w:sz w:val="26"/>
          <w:szCs w:val="26"/>
        </w:rPr>
        <w:t xml:space="preserve">وقد أكد كانان وزملاؤه (2014) —الذين يستشهد بهم الفصل الأصلي— هذه الخلاصة بمنهجية أكثر صرامة: عندما يُضبط حجم الدماغ الكلي، يتلاشى معظم الفرق المُلاحَظ. وهذا مثال نادر الوضوح على كيف يُنتج إغفال متغير ضبط واحد (حجم الدماغ) عقوداً من الجدل حول فارق وهمي جزئياً.</w:t>
      </w:r>
    </w:p>
    <w:p>
      <w:pPr>
        <w:pageBreakBefore/>
        <w:pBdr>
          <w:bottom w:val="thick" w:color="8B6914" w:sz="10" w:space="5"/>
        </w:pBdr>
        <w:bidi/>
        <w:spacing w:after="160" w:before="240"/>
      </w:pPr>
      <w:r>
        <w:rPr>
          <w:rFonts w:ascii="Traditional Arabic" w:cs="Traditional Arabic" w:eastAsia="Traditional Arabic" w:hAnsi="Traditional Arabic"/>
          <w:b/>
          <w:bCs/>
          <w:i w:val="false"/>
          <w:iCs w:val="false"/>
          <w:color w:val="0B1F45"/>
          <w:sz w:val="36"/>
          <w:szCs w:val="36"/>
        </w:rPr>
        <w:t xml:space="preserve">ثالثاً: الهرمونات والإدراك — ما وراء الثنائية البيولوجية</w:t>
      </w:r>
    </w:p>
    <w:p>
      <w:pPr>
        <w:bidi/>
        <w:spacing w:after="110" w:before="110" w:line="336"/>
        <w:ind w:firstLine="720"/>
        <w:jc w:val="both"/>
      </w:pPr>
      <w:r>
        <w:rPr>
          <w:rFonts w:ascii="Traditional Arabic" w:cs="Traditional Arabic" w:eastAsia="Traditional Arabic" w:hAnsi="Traditional Arabic"/>
          <w:b w:val="false"/>
          <w:bCs w:val="false"/>
          <w:i w:val="false"/>
          <w:iCs w:val="false"/>
          <w:color w:val="111111"/>
          <w:sz w:val="26"/>
          <w:szCs w:val="26"/>
        </w:rPr>
        <w:t xml:space="preserve">يغيب من الفصل الأصلي تناول دور الهرمونات الجنسية في الإدراك رغم أنها من أقوى المتغيرات التفسيرية للفروق المُلاحَظة. وفهم هذا الدور ضروري لتجنب الخطأين المتعاكسين: الإفراط في التبيولجة (كل فرق له أصل هرموني) والإفراط في الاجتماعية (الهرمونات لا تؤثر في الإدراك).</w:t>
      </w:r>
    </w:p>
    <w:p>
      <w:pPr>
        <w:spacing w:after="0" w:before="0"/>
      </w:pPr>
      <w:r>
        <w:rPr>
          <w:sz w:val="16"/>
          <w:szCs w:val="16"/>
        </w:rPr>
        <w:t xml:space="preserve"/>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2000"/>
        <w:gridCol w:w="2600"/>
        <w:gridCol w:w="2600"/>
        <w:gridCol w:w="2800"/>
      </w:tblGrid>
      <w:tr>
        <w:trPr>
          <w:tblHeader/>
        </w:trPr>
        <w:tc>
          <w:tcPr>
            <w:tcW w:type="dxa" w:w="2000"/>
            <w:tcBorders>
              <w:top w:val="single" w:color="0B1F45" w:sz="1"/>
              <w:left w:val="single" w:color="0B1F45" w:sz="1"/>
              <w:bottom w:val="single" w:color="0B1F45" w:sz="1"/>
              <w:right w:val="single" w:color="0B1F45" w:sz="1"/>
            </w:tcBorders>
            <w:shd w:fill="0B1F45" w:val="clear"/>
            <w:tcMar>
              <w:top w:type="dxa" w:w="100"/>
              <w:left w:type="dxa" w:w="130"/>
              <w:bottom w:type="dxa" w:w="100"/>
              <w:right w:type="dxa" w:w="130"/>
            </w:tcMar>
            <w:vAlign w:val="center"/>
          </w:tcPr>
          <w:p>
            <w:pPr>
              <w:bidi/>
              <w:jc w:val="center"/>
            </w:pPr>
            <w:r>
              <w:rPr>
                <w:rFonts w:ascii="Traditional Arabic" w:cs="Traditional Arabic" w:eastAsia="Traditional Arabic" w:hAnsi="Traditional Arabic"/>
                <w:b/>
                <w:bCs/>
                <w:i w:val="false"/>
                <w:iCs w:val="false"/>
                <w:color w:val="FFFFFF"/>
                <w:sz w:val="21"/>
                <w:szCs w:val="21"/>
              </w:rPr>
              <w:t xml:space="preserve">الهرمون</w:t>
            </w:r>
          </w:p>
        </w:tc>
        <w:tc>
          <w:tcPr>
            <w:tcW w:type="dxa" w:w="2600"/>
            <w:tcBorders>
              <w:top w:val="single" w:color="0B1F45" w:sz="1"/>
              <w:left w:val="single" w:color="0B1F45" w:sz="1"/>
              <w:bottom w:val="single" w:color="0B1F45" w:sz="1"/>
              <w:right w:val="single" w:color="0B1F45" w:sz="1"/>
            </w:tcBorders>
            <w:shd w:fill="0B1F45" w:val="clear"/>
            <w:tcMar>
              <w:top w:type="dxa" w:w="100"/>
              <w:left w:type="dxa" w:w="130"/>
              <w:bottom w:type="dxa" w:w="100"/>
              <w:right w:type="dxa" w:w="130"/>
            </w:tcMar>
            <w:vAlign w:val="center"/>
          </w:tcPr>
          <w:p>
            <w:pPr>
              <w:bidi/>
              <w:jc w:val="center"/>
            </w:pPr>
            <w:r>
              <w:rPr>
                <w:rFonts w:ascii="Traditional Arabic" w:cs="Traditional Arabic" w:eastAsia="Traditional Arabic" w:hAnsi="Traditional Arabic"/>
                <w:b/>
                <w:bCs/>
                <w:i w:val="false"/>
                <w:iCs w:val="false"/>
                <w:color w:val="FFFFFF"/>
                <w:sz w:val="21"/>
                <w:szCs w:val="21"/>
              </w:rPr>
              <w:t xml:space="preserve">التأثير العصبي الموثق</w:t>
            </w:r>
          </w:p>
        </w:tc>
        <w:tc>
          <w:tcPr>
            <w:tcW w:type="dxa" w:w="2600"/>
            <w:tcBorders>
              <w:top w:val="single" w:color="0B1F45" w:sz="1"/>
              <w:left w:val="single" w:color="0B1F45" w:sz="1"/>
              <w:bottom w:val="single" w:color="0B1F45" w:sz="1"/>
              <w:right w:val="single" w:color="0B1F45" w:sz="1"/>
            </w:tcBorders>
            <w:shd w:fill="0B1F45" w:val="clear"/>
            <w:tcMar>
              <w:top w:type="dxa" w:w="100"/>
              <w:left w:type="dxa" w:w="130"/>
              <w:bottom w:type="dxa" w:w="100"/>
              <w:right w:type="dxa" w:w="130"/>
            </w:tcMar>
            <w:vAlign w:val="center"/>
          </w:tcPr>
          <w:p>
            <w:pPr>
              <w:bidi/>
              <w:jc w:val="center"/>
            </w:pPr>
            <w:r>
              <w:rPr>
                <w:rFonts w:ascii="Traditional Arabic" w:cs="Traditional Arabic" w:eastAsia="Traditional Arabic" w:hAnsi="Traditional Arabic"/>
                <w:b/>
                <w:bCs/>
                <w:i w:val="false"/>
                <w:iCs w:val="false"/>
                <w:color w:val="FFFFFF"/>
                <w:sz w:val="21"/>
                <w:szCs w:val="21"/>
              </w:rPr>
              <w:t xml:space="preserve">العلاقة بالإدراك</w:t>
            </w:r>
          </w:p>
        </w:tc>
        <w:tc>
          <w:tcPr>
            <w:tcW w:type="dxa" w:w="2800"/>
            <w:tcBorders>
              <w:top w:val="single" w:color="0B1F45" w:sz="1"/>
              <w:left w:val="single" w:color="0B1F45" w:sz="1"/>
              <w:bottom w:val="single" w:color="0B1F45" w:sz="1"/>
              <w:right w:val="single" w:color="0B1F45" w:sz="1"/>
            </w:tcBorders>
            <w:shd w:fill="0B1F45" w:val="clear"/>
            <w:tcMar>
              <w:top w:type="dxa" w:w="100"/>
              <w:left w:type="dxa" w:w="130"/>
              <w:bottom w:type="dxa" w:w="100"/>
              <w:right w:type="dxa" w:w="130"/>
            </w:tcMar>
            <w:vAlign w:val="center"/>
          </w:tcPr>
          <w:p>
            <w:pPr>
              <w:bidi/>
              <w:jc w:val="center"/>
            </w:pPr>
            <w:r>
              <w:rPr>
                <w:rFonts w:ascii="Traditional Arabic" w:cs="Traditional Arabic" w:eastAsia="Traditional Arabic" w:hAnsi="Traditional Arabic"/>
                <w:b/>
                <w:bCs/>
                <w:i w:val="false"/>
                <w:iCs w:val="false"/>
                <w:color w:val="FFFFFF"/>
                <w:sz w:val="21"/>
                <w:szCs w:val="21"/>
              </w:rPr>
              <w:t xml:space="preserve">التحفظ الأكاديمي</w:t>
            </w:r>
          </w:p>
        </w:tc>
      </w:tr>
      <w:tr>
        <w:trPr>
          <w:tblHeader w:val="false"/>
        </w:trPr>
        <w:tc>
          <w:tcPr>
            <w:tcW w:type="dxa" w:w="2000"/>
            <w:tcBorders>
              <w:top w:val="single" w:color="CCCCCC" w:sz="1"/>
              <w:left w:val="single" w:color="CCCCCC" w:sz="1"/>
              <w:bottom w:val="single" w:color="CCCCCC" w:sz="1"/>
              <w:right w:val="single" w:color="CCCCCC" w:sz="1"/>
            </w:tcBorders>
            <w:shd w:fill="EDF1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bCs/>
                <w:i w:val="false"/>
                <w:iCs w:val="false"/>
                <w:color w:val="0B1F45"/>
                <w:sz w:val="20"/>
                <w:szCs w:val="20"/>
              </w:rPr>
              <w:t xml:space="preserve">الإستروجين</w:t>
            </w:r>
          </w:p>
        </w:tc>
        <w:tc>
          <w:tcPr>
            <w:tcW w:type="dxa" w:w="26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يُحسّن المرونة العصبية في الحُصين (Hippocampus)، يُعزز كثافة النتوءات التغصنية (Dendritic Spines)</w:t>
            </w:r>
          </w:p>
        </w:tc>
        <w:tc>
          <w:tcPr>
            <w:tcW w:type="dxa" w:w="26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ارتباط إيجابي بالذاكرة اللفظية وبعض مقاييس الإدراك في أعمار معينة</w:t>
            </w:r>
          </w:p>
        </w:tc>
        <w:tc>
          <w:tcPr>
            <w:tcW w:type="dxa" w:w="28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التأثير يتفاوت بحسب مرحلة الدورة ويختلف بعد سن اليأس اختلافاً جوهرياً</w:t>
            </w:r>
          </w:p>
        </w:tc>
      </w:tr>
      <w:tr>
        <w:trPr>
          <w:tblHeader w:val="false"/>
        </w:trPr>
        <w:tc>
          <w:tcPr>
            <w:tcW w:type="dxa" w:w="2000"/>
            <w:tcBorders>
              <w:top w:val="single" w:color="CCCCCC" w:sz="1"/>
              <w:left w:val="single" w:color="CCCCCC" w:sz="1"/>
              <w:bottom w:val="single" w:color="CCCCCC" w:sz="1"/>
              <w:right w:val="single" w:color="CCCCCC" w:sz="1"/>
            </w:tcBorders>
            <w:shd w:fill="EDF1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bCs/>
                <w:i w:val="false"/>
                <w:iCs w:val="false"/>
                <w:color w:val="0B1F45"/>
                <w:sz w:val="20"/>
                <w:szCs w:val="20"/>
              </w:rPr>
              <w:t xml:space="preserve">التستوستيرون</w:t>
            </w:r>
          </w:p>
        </w:tc>
        <w:tc>
          <w:tcPr>
            <w:tcW w:type="dxa" w:w="26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يُعزز التشعبات في مناطق المعالجة المكانية، له تأثير في المادة الرمادية للفص الجداري</w:t>
            </w:r>
          </w:p>
        </w:tc>
        <w:tc>
          <w:tcPr>
            <w:tcW w:type="dxa" w:w="26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ارتباط إيجابي بمهام التدوير الذهني (Mental Rotation) في كلا الجنسين</w:t>
            </w:r>
          </w:p>
        </w:tc>
        <w:tc>
          <w:tcPr>
            <w:tcW w:type="dxa" w:w="28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الارتباط ليس خطياً — المستويات المرتفعة جداً لا تُعطي مزيداً من الفائدة</w:t>
            </w:r>
          </w:p>
        </w:tc>
      </w:tr>
      <w:tr>
        <w:trPr>
          <w:tblHeader w:val="false"/>
        </w:trPr>
        <w:tc>
          <w:tcPr>
            <w:tcW w:type="dxa" w:w="2000"/>
            <w:tcBorders>
              <w:top w:val="single" w:color="CCCCCC" w:sz="1"/>
              <w:left w:val="single" w:color="CCCCCC" w:sz="1"/>
              <w:bottom w:val="single" w:color="CCCCCC" w:sz="1"/>
              <w:right w:val="single" w:color="CCCCCC" w:sz="1"/>
            </w:tcBorders>
            <w:shd w:fill="EDF1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bCs/>
                <w:i w:val="false"/>
                <w:iCs w:val="false"/>
                <w:color w:val="0B1F45"/>
                <w:sz w:val="20"/>
                <w:szCs w:val="20"/>
              </w:rPr>
              <w:t xml:space="preserve">الأوكسيتوسين</w:t>
            </w:r>
          </w:p>
        </w:tc>
        <w:tc>
          <w:tcPr>
            <w:tcW w:type="dxa" w:w="26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يُنشّط دوائر التعاطف والتواصل الاجتماعي عبر اللوزة الدماغية والقشرة الجزيرية</w:t>
            </w:r>
          </w:p>
        </w:tc>
        <w:tc>
          <w:tcPr>
            <w:tcW w:type="dxa" w:w="26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يُحسّن التعرف على تعابير الوجه والاستجابة الاجتماعية في التجارب المخبرية</w:t>
            </w:r>
          </w:p>
        </w:tc>
        <w:tc>
          <w:tcPr>
            <w:tcW w:type="dxa" w:w="28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التأثير يتوقف على السياق الاجتماعي — ليس مُعززاً أحادي الاتجاه دائماً</w:t>
            </w:r>
          </w:p>
        </w:tc>
      </w:tr>
      <w:tr>
        <w:trPr>
          <w:tblHeader w:val="false"/>
        </w:trPr>
        <w:tc>
          <w:tcPr>
            <w:tcW w:type="dxa" w:w="2000"/>
            <w:tcBorders>
              <w:top w:val="single" w:color="CCCCCC" w:sz="1"/>
              <w:left w:val="single" w:color="CCCCCC" w:sz="1"/>
              <w:bottom w:val="single" w:color="CCCCCC" w:sz="1"/>
              <w:right w:val="single" w:color="CCCCCC" w:sz="1"/>
            </w:tcBorders>
            <w:shd w:fill="EDF1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bCs/>
                <w:i w:val="false"/>
                <w:iCs w:val="false"/>
                <w:color w:val="0B1F45"/>
                <w:sz w:val="20"/>
                <w:szCs w:val="20"/>
              </w:rPr>
              <w:t xml:space="preserve">الكورتيزول</w:t>
            </w:r>
          </w:p>
        </w:tc>
        <w:tc>
          <w:tcPr>
            <w:tcW w:type="dxa" w:w="26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يُثبط الحُصين مزمناً، يضعف الذاكرة العاملة تحت الإجهاد المتكرر</w:t>
            </w:r>
          </w:p>
        </w:tc>
        <w:tc>
          <w:tcPr>
            <w:tcW w:type="dxa" w:w="26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الإجهاد المزمن يُلغي كثيراً من الفوارق المُلاحَظة بين الجنسين في البيئات المخبرية</w:t>
            </w:r>
          </w:p>
        </w:tc>
        <w:tc>
          <w:tcPr>
            <w:tcW w:type="dxa" w:w="28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الفوارق بين الجنسين في الاستجابة للكورتيزول تُعقّد تفسير نتائج تجارب الإجهاد</w:t>
            </w:r>
          </w:p>
        </w:tc>
      </w:tr>
    </w:tbl>
    <w:p>
      <w:pPr>
        <w:spacing w:after="0" w:before="0"/>
      </w:pPr>
      <w:r>
        <w:rPr>
          <w:sz w:val="24"/>
          <w:szCs w:val="24"/>
        </w:rPr>
        <w:t xml:space="preserve"/>
      </w:r>
    </w:p>
    <w:p>
      <w:pPr>
        <w:pBdr>
          <w:bottom w:val="single" w:color="0C6060" w:sz="4" w:space="3"/>
        </w:pBdr>
        <w:bidi/>
        <w:spacing w:after="130" w:before="220"/>
      </w:pPr>
      <w:r>
        <w:rPr>
          <w:rFonts w:ascii="Traditional Arabic" w:cs="Traditional Arabic" w:eastAsia="Traditional Arabic" w:hAnsi="Traditional Arabic"/>
          <w:b/>
          <w:bCs/>
          <w:i w:val="false"/>
          <w:iCs w:val="false"/>
          <w:color w:val="0C6060"/>
          <w:sz w:val="30"/>
          <w:szCs w:val="30"/>
        </w:rPr>
        <w:t xml:space="preserve">3.1 الدورة الشهرية والأداء المعرفي</w:t>
      </w:r>
    </w:p>
    <w:p>
      <w:pPr>
        <w:bidi/>
        <w:spacing w:after="110" w:before="110" w:line="336"/>
        <w:ind w:firstLine="720"/>
        <w:jc w:val="both"/>
      </w:pPr>
      <w:r>
        <w:rPr>
          <w:rFonts w:ascii="Traditional Arabic" w:cs="Traditional Arabic" w:eastAsia="Traditional Arabic" w:hAnsi="Traditional Arabic"/>
          <w:b w:val="false"/>
          <w:bCs w:val="false"/>
          <w:i w:val="false"/>
          <w:iCs w:val="false"/>
          <w:color w:val="111111"/>
          <w:sz w:val="26"/>
          <w:szCs w:val="26"/>
        </w:rPr>
        <w:t xml:space="preserve">تُقدّم أبحاث هيمبرغ وزملائها (2018) دليلاً بالغ الأهمية: الأداء المعرفي للمرأة ليس ثابتاً بل يتذبذب تذبذباً منهجياً مع فازات الدورة الشهرية. في المرحلة الجريبية (Follicular Phase) حيث يرتفع الإستروجين، تتحسن الطلاقة اللفظية والذاكرة التقريبية. وفي مرحلة اللوتين (Luteal Phase) حيث يرتفع البروجيسترون، تتحسن نسبياً بعض المهام المكانية.</w:t>
      </w:r>
    </w:p>
    <w:p>
      <w:pPr>
        <w:bidi/>
        <w:spacing w:after="110" w:before="110" w:line="336"/>
        <w:ind w:firstLine="720"/>
        <w:jc w:val="both"/>
      </w:pPr>
      <w:r>
        <w:rPr>
          <w:rFonts w:ascii="Traditional Arabic" w:cs="Traditional Arabic" w:eastAsia="Traditional Arabic" w:hAnsi="Traditional Arabic"/>
          <w:b w:val="false"/>
          <w:bCs w:val="false"/>
          <w:i w:val="false"/>
          <w:iCs w:val="false"/>
          <w:color w:val="111111"/>
          <w:sz w:val="26"/>
          <w:szCs w:val="26"/>
        </w:rPr>
        <w:t xml:space="preserve">الدلالة المنهجية الكبرى لهذه الأبحاث: الدراسات التي تقيس أداء المرأة في نقطة زمنية واحدة دون مراعاة مرحلة الدورة تُنتج نتائج متضاربة لأسباب منهجية لا لأسباب موضوعية. إنها تُقيس «امرأة في لحظة عشوائية» لا «الأداء المعرفي للمرأة». وهذا خلل منهجي جوهري في مئات الدراسات السابقة.</w:t>
      </w:r>
    </w:p>
    <w:p>
      <w:pPr>
        <w:pBdr>
          <w:bottom w:val="single" w:color="0C6060" w:sz="4" w:space="3"/>
        </w:pBdr>
        <w:bidi/>
        <w:spacing w:after="130" w:before="220"/>
      </w:pPr>
      <w:r>
        <w:rPr>
          <w:rFonts w:ascii="Traditional Arabic" w:cs="Traditional Arabic" w:eastAsia="Traditional Arabic" w:hAnsi="Traditional Arabic"/>
          <w:b/>
          <w:bCs/>
          <w:i w:val="false"/>
          <w:iCs w:val="false"/>
          <w:color w:val="0C6060"/>
          <w:sz w:val="30"/>
          <w:szCs w:val="30"/>
        </w:rPr>
        <w:t xml:space="preserve">3.2 هرمون التستوستيرون وكلا الجنسين</w:t>
      </w:r>
    </w:p>
    <w:p>
      <w:pPr>
        <w:bidi/>
        <w:spacing w:after="110" w:before="110" w:line="336"/>
        <w:ind w:firstLine="720"/>
        <w:jc w:val="both"/>
      </w:pPr>
      <w:r>
        <w:rPr>
          <w:rFonts w:ascii="Traditional Arabic" w:cs="Traditional Arabic" w:eastAsia="Traditional Arabic" w:hAnsi="Traditional Arabic"/>
          <w:b w:val="false"/>
          <w:bCs w:val="false"/>
          <w:i w:val="false"/>
          <w:iCs w:val="false"/>
          <w:color w:val="111111"/>
          <w:sz w:val="26"/>
          <w:szCs w:val="26"/>
        </w:rPr>
        <w:t xml:space="preserve">يُخطئ كثيرون في تصوير التستوستيرون كـ«هرمون ذكوري» حصراً. الحقيقة أن المرأة تُنتج التستوستيرون أيضاً، وإن بكميات أقل. وقد أثبتت دراسات فان أندرز وكولدمان (2006) وجود ارتباط موثوق بين مستويات التستوستيرون لدى النساء وأداء مهام التدوير الذهني المكاني — وهو المجال الذي يُعزى تقليدياً إلى «تفوق ذكوري».</w:t>
      </w:r>
    </w:p>
    <w:p>
      <w:pPr>
        <w:bidi/>
        <w:spacing w:after="110" w:before="110" w:line="336"/>
        <w:ind w:firstLine="720"/>
        <w:jc w:val="both"/>
      </w:pPr>
      <w:r>
        <w:rPr>
          <w:rFonts w:ascii="Traditional Arabic" w:cs="Traditional Arabic" w:eastAsia="Traditional Arabic" w:hAnsi="Traditional Arabic"/>
          <w:b w:val="false"/>
          <w:bCs w:val="false"/>
          <w:i w:val="false"/>
          <w:iCs w:val="false"/>
          <w:color w:val="111111"/>
          <w:sz w:val="26"/>
          <w:szCs w:val="26"/>
        </w:rPr>
        <w:t xml:space="preserve">هذا يُرسّخ نظرية «التأثير غير الخطي»: ليس كثير التستوستيرون «أفضل» ولا قليله «أسوأ»، بل ثمة نطاق مثالي (Optimal Range) يتفاوت بحسب المهمة والفرد. وهذا يُقوّض أي تبسيط ثنائي.</w:t>
      </w:r>
    </w:p>
    <w:p>
      <w:pPr>
        <w:pageBreakBefore/>
        <w:pBdr>
          <w:bottom w:val="thick" w:color="8B6914" w:sz="10" w:space="5"/>
        </w:pBdr>
        <w:bidi/>
        <w:spacing w:after="160" w:before="240"/>
      </w:pPr>
      <w:r>
        <w:rPr>
          <w:rFonts w:ascii="Traditional Arabic" w:cs="Traditional Arabic" w:eastAsia="Traditional Arabic" w:hAnsi="Traditional Arabic"/>
          <w:b/>
          <w:bCs/>
          <w:i w:val="false"/>
          <w:iCs w:val="false"/>
          <w:color w:val="0B1F45"/>
          <w:sz w:val="36"/>
          <w:szCs w:val="36"/>
        </w:rPr>
        <w:t xml:space="preserve">رابعاً: نموذج الدماغ الفسيفسائي — ثورة في فهم الجنس والدماغ</w:t>
      </w:r>
    </w:p>
    <w:p>
      <w:pPr>
        <w:bidi/>
        <w:spacing w:after="110" w:before="110" w:line="336"/>
        <w:ind w:firstLine="720"/>
        <w:jc w:val="both"/>
      </w:pPr>
      <w:r>
        <w:rPr>
          <w:rFonts w:ascii="Traditional Arabic" w:cs="Traditional Arabic" w:eastAsia="Traditional Arabic" w:hAnsi="Traditional Arabic"/>
          <w:b w:val="false"/>
          <w:bCs w:val="false"/>
          <w:i w:val="false"/>
          <w:iCs w:val="false"/>
          <w:color w:val="111111"/>
          <w:sz w:val="26"/>
          <w:szCs w:val="26"/>
        </w:rPr>
        <w:t xml:space="preserve">عام 2015 نشرت داف-يوئيل وزملاؤها (Joel et al., 2015) في Proceedings of the National Academy of Sciences دراسة حوّلت حقل علم الأعصاب الجنسي: تحليل بيانات تصوير عصبي لأكثر من 1400 دماغ بشري أثبت أن «أدمغة الذكور والإناث الخالصة» تكاد لا تكون موجودة.</w:t>
      </w:r>
    </w:p>
    <w:p>
      <w:pPr>
        <w:bidi/>
        <w:spacing w:after="110" w:before="110" w:line="336"/>
        <w:ind w:firstLine="720"/>
        <w:jc w:val="both"/>
      </w:pPr>
      <w:r>
        <w:rPr>
          <w:rFonts w:ascii="Traditional Arabic" w:cs="Traditional Arabic" w:eastAsia="Traditional Arabic" w:hAnsi="Traditional Arabic"/>
          <w:b w:val="false"/>
          <w:bCs w:val="false"/>
          <w:i w:val="false"/>
          <w:iCs w:val="false"/>
          <w:color w:val="111111"/>
          <w:sz w:val="26"/>
          <w:szCs w:val="26"/>
        </w:rPr>
        <w:t xml:space="preserve">جاء الاكتشاف هكذا: حددت الباحثة مناطق الدماغ التي تُظهر أكبر الفوارق بين الجنسين. ثم فحصت كل دماغ على حدة: هل يقع في «النطاق الذكوري» أم «الأنثوي» في كل هذه المناطق؟ النتيجة الصادمة: أقل من 8% من أدمغة العينة كانت «ذكورية خالصة» أو «أنثوية خالصة» في جميع المناطق معاً. و82% تقريباً كانت فسيفساء من سمات مُصنَّفة «ذكورية» وأخرى «أنثوية».</w:t>
      </w:r>
    </w:p>
    <w:p>
      <w:pPr>
        <w:spacing w:after="0" w:before="0"/>
      </w:pPr>
      <w:r>
        <w:rPr>
          <w:sz w:val="16"/>
          <w:szCs w:val="16"/>
        </w:rPr>
        <w:t xml:space="preserve"/>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2000"/>
        <w:gridCol w:w="2000"/>
        <w:gridCol w:w="2000"/>
        <w:gridCol w:w="2000"/>
        <w:gridCol w:w="2000"/>
      </w:tblGrid>
      <w:tr>
        <w:trPr>
          <w:tblHeader/>
        </w:trPr>
        <w:tc>
          <w:tcPr>
            <w:tcW w:type="dxa" w:w="2000"/>
            <w:tcBorders>
              <w:top w:val="single" w:color="0B1F45" w:sz="1"/>
              <w:left w:val="single" w:color="0B1F45" w:sz="1"/>
              <w:bottom w:val="single" w:color="0B1F45" w:sz="1"/>
              <w:right w:val="single" w:color="0B1F45" w:sz="1"/>
            </w:tcBorders>
            <w:shd w:fill="0B1F45" w:val="clear"/>
            <w:tcMar>
              <w:top w:type="dxa" w:w="100"/>
              <w:left w:type="dxa" w:w="130"/>
              <w:bottom w:type="dxa" w:w="100"/>
              <w:right w:type="dxa" w:w="130"/>
            </w:tcMar>
            <w:vAlign w:val="center"/>
          </w:tcPr>
          <w:p>
            <w:pPr>
              <w:bidi/>
              <w:jc w:val="center"/>
            </w:pPr>
            <w:r>
              <w:rPr>
                <w:rFonts w:ascii="Traditional Arabic" w:cs="Traditional Arabic" w:eastAsia="Traditional Arabic" w:hAnsi="Traditional Arabic"/>
                <w:b/>
                <w:bCs/>
                <w:i w:val="false"/>
                <w:iCs w:val="false"/>
                <w:color w:val="FFFFFF"/>
                <w:sz w:val="21"/>
                <w:szCs w:val="21"/>
              </w:rPr>
              <w:t xml:space="preserve">البُعد</w:t>
            </w:r>
          </w:p>
        </w:tc>
        <w:tc>
          <w:tcPr>
            <w:tcW w:type="dxa" w:w="2000"/>
            <w:tcBorders>
              <w:top w:val="single" w:color="0B1F45" w:sz="1"/>
              <w:left w:val="single" w:color="0B1F45" w:sz="1"/>
              <w:bottom w:val="single" w:color="0B1F45" w:sz="1"/>
              <w:right w:val="single" w:color="0B1F45" w:sz="1"/>
            </w:tcBorders>
            <w:shd w:fill="0B1F45" w:val="clear"/>
            <w:tcMar>
              <w:top w:type="dxa" w:w="100"/>
              <w:left w:type="dxa" w:w="130"/>
              <w:bottom w:type="dxa" w:w="100"/>
              <w:right w:type="dxa" w:w="130"/>
            </w:tcMar>
            <w:vAlign w:val="center"/>
          </w:tcPr>
          <w:p>
            <w:pPr>
              <w:bidi/>
              <w:jc w:val="center"/>
            </w:pPr>
            <w:r>
              <w:rPr>
                <w:rFonts w:ascii="Traditional Arabic" w:cs="Traditional Arabic" w:eastAsia="Traditional Arabic" w:hAnsi="Traditional Arabic"/>
                <w:b/>
                <w:bCs/>
                <w:i w:val="false"/>
                <w:iCs w:val="false"/>
                <w:color w:val="FFFFFF"/>
                <w:sz w:val="21"/>
                <w:szCs w:val="21"/>
              </w:rPr>
              <w:t xml:space="preserve">نموذج الثنائية الجندرية</w:t>
            </w:r>
          </w:p>
        </w:tc>
        <w:tc>
          <w:tcPr>
            <w:tcW w:type="dxa" w:w="2000"/>
            <w:tcBorders>
              <w:top w:val="single" w:color="0B1F45" w:sz="1"/>
              <w:left w:val="single" w:color="0B1F45" w:sz="1"/>
              <w:bottom w:val="single" w:color="0B1F45" w:sz="1"/>
              <w:right w:val="single" w:color="0B1F45" w:sz="1"/>
            </w:tcBorders>
            <w:shd w:fill="0B1F45" w:val="clear"/>
            <w:tcMar>
              <w:top w:type="dxa" w:w="100"/>
              <w:left w:type="dxa" w:w="130"/>
              <w:bottom w:type="dxa" w:w="100"/>
              <w:right w:type="dxa" w:w="130"/>
            </w:tcMar>
            <w:vAlign w:val="center"/>
          </w:tcPr>
          <w:p>
            <w:pPr>
              <w:bidi/>
              <w:jc w:val="center"/>
            </w:pPr>
            <w:r>
              <w:rPr>
                <w:rFonts w:ascii="Traditional Arabic" w:cs="Traditional Arabic" w:eastAsia="Traditional Arabic" w:hAnsi="Traditional Arabic"/>
                <w:b/>
                <w:bCs/>
                <w:i w:val="false"/>
                <w:iCs w:val="false"/>
                <w:color w:val="FFFFFF"/>
                <w:sz w:val="21"/>
                <w:szCs w:val="21"/>
              </w:rPr>
              <w:t xml:space="preserve">نموذج الفسيفساء (Joel)</w:t>
            </w:r>
          </w:p>
        </w:tc>
        <w:tc>
          <w:tcPr>
            <w:tcW w:type="dxa" w:w="2000"/>
            <w:tcBorders>
              <w:top w:val="single" w:color="0B1F45" w:sz="1"/>
              <w:left w:val="single" w:color="0B1F45" w:sz="1"/>
              <w:bottom w:val="single" w:color="0B1F45" w:sz="1"/>
              <w:right w:val="single" w:color="0B1F45" w:sz="1"/>
            </w:tcBorders>
            <w:shd w:fill="0B1F45" w:val="clear"/>
            <w:tcMar>
              <w:top w:type="dxa" w:w="100"/>
              <w:left w:type="dxa" w:w="130"/>
              <w:bottom w:type="dxa" w:w="100"/>
              <w:right w:type="dxa" w:w="130"/>
            </w:tcMar>
            <w:vAlign w:val="center"/>
          </w:tcPr>
          <w:p>
            <w:pPr>
              <w:bidi/>
              <w:jc w:val="center"/>
            </w:pPr>
            <w:r>
              <w:rPr>
                <w:rFonts w:ascii="Traditional Arabic" w:cs="Traditional Arabic" w:eastAsia="Traditional Arabic" w:hAnsi="Traditional Arabic"/>
                <w:b/>
                <w:bCs/>
                <w:i w:val="false"/>
                <w:iCs w:val="false"/>
                <w:color w:val="FFFFFF"/>
                <w:sz w:val="21"/>
                <w:szCs w:val="21"/>
              </w:rPr>
              <w:t xml:space="preserve">النموذج البيولوجي-الاجتماعي</w:t>
            </w:r>
          </w:p>
        </w:tc>
        <w:tc>
          <w:tcPr>
            <w:tcW w:type="dxa" w:w="2000"/>
            <w:tcBorders>
              <w:top w:val="single" w:color="0B1F45" w:sz="1"/>
              <w:left w:val="single" w:color="0B1F45" w:sz="1"/>
              <w:bottom w:val="single" w:color="0B1F45" w:sz="1"/>
              <w:right w:val="single" w:color="0B1F45" w:sz="1"/>
            </w:tcBorders>
            <w:shd w:fill="0B1F45" w:val="clear"/>
            <w:tcMar>
              <w:top w:type="dxa" w:w="100"/>
              <w:left w:type="dxa" w:w="130"/>
              <w:bottom w:type="dxa" w:w="100"/>
              <w:right w:type="dxa" w:w="130"/>
            </w:tcMar>
            <w:vAlign w:val="center"/>
          </w:tcPr>
          <w:p>
            <w:pPr>
              <w:bidi/>
              <w:jc w:val="center"/>
            </w:pPr>
            <w:r>
              <w:rPr>
                <w:rFonts w:ascii="Traditional Arabic" w:cs="Traditional Arabic" w:eastAsia="Traditional Arabic" w:hAnsi="Traditional Arabic"/>
                <w:b/>
                <w:bCs/>
                <w:i w:val="false"/>
                <w:iCs w:val="false"/>
                <w:color w:val="FFFFFF"/>
                <w:sz w:val="21"/>
                <w:szCs w:val="21"/>
              </w:rPr>
              <w:t xml:space="preserve">النموذج الاستخلافي (الزراع)</w:t>
            </w:r>
          </w:p>
        </w:tc>
      </w:tr>
      <w:tr>
        <w:trPr>
          <w:tblHeader w:val="false"/>
        </w:trPr>
        <w:tc>
          <w:tcPr>
            <w:tcW w:type="dxa" w:w="2000"/>
            <w:tcBorders>
              <w:top w:val="single" w:color="CCCCCC" w:sz="1"/>
              <w:left w:val="single" w:color="CCCCCC" w:sz="1"/>
              <w:bottom w:val="single" w:color="CCCCCC" w:sz="1"/>
              <w:right w:val="single" w:color="CCCCCC" w:sz="1"/>
            </w:tcBorders>
            <w:shd w:fill="EDF1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bCs/>
                <w:i w:val="false"/>
                <w:iCs w:val="false"/>
                <w:color w:val="0B1F45"/>
                <w:sz w:val="20"/>
                <w:szCs w:val="20"/>
              </w:rPr>
              <w:t xml:space="preserve">افتراض جوهري</w:t>
            </w:r>
          </w:p>
        </w:tc>
        <w:tc>
          <w:tcPr>
            <w:tcW w:type="dxa" w:w="20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الذكور والإناث فئتان دماغيتان متمايزتان</w:t>
            </w:r>
          </w:p>
        </w:tc>
        <w:tc>
          <w:tcPr>
            <w:tcW w:type="dxa" w:w="20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أدمغة الأفراد فسيفساء من سمات «ذكرية» و«أنثوية»</w:t>
            </w:r>
          </w:p>
        </w:tc>
        <w:tc>
          <w:tcPr>
            <w:tcW w:type="dxa" w:w="20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التفاعل بين الجينات والهرمونات والتنشئة</w:t>
            </w:r>
          </w:p>
        </w:tc>
        <w:tc>
          <w:tcPr>
            <w:tcW w:type="dxa" w:w="20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التنوع الفطري في الإدراك — كل نفس خليفة مختص</w:t>
            </w:r>
          </w:p>
        </w:tc>
      </w:tr>
      <w:tr>
        <w:trPr>
          <w:tblHeader w:val="false"/>
        </w:trPr>
        <w:tc>
          <w:tcPr>
            <w:tcW w:type="dxa" w:w="2000"/>
            <w:tcBorders>
              <w:top w:val="single" w:color="CCCCCC" w:sz="1"/>
              <w:left w:val="single" w:color="CCCCCC" w:sz="1"/>
              <w:bottom w:val="single" w:color="CCCCCC" w:sz="1"/>
              <w:right w:val="single" w:color="CCCCCC" w:sz="1"/>
            </w:tcBorders>
            <w:shd w:fill="EDF1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bCs/>
                <w:i w:val="false"/>
                <w:iCs w:val="false"/>
                <w:color w:val="0B1F45"/>
                <w:sz w:val="20"/>
                <w:szCs w:val="20"/>
              </w:rPr>
              <w:t xml:space="preserve">الدليل الداعم</w:t>
            </w:r>
          </w:p>
        </w:tc>
        <w:tc>
          <w:tcPr>
            <w:tcW w:type="dxa" w:w="20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بعض الفروق البنيوية والوظيفية الموثقة</w:t>
            </w:r>
          </w:p>
        </w:tc>
        <w:tc>
          <w:tcPr>
            <w:tcW w:type="dxa" w:w="20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Joel et al. (2015): لا يوجد دماغ «ذكري خالص» أو «أنثوي خالص»</w:t>
            </w:r>
          </w:p>
        </w:tc>
        <w:tc>
          <w:tcPr>
            <w:tcW w:type="dxa" w:w="20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دراسات التوأم وتجارب التدخل الهرموني</w:t>
            </w:r>
          </w:p>
        </w:tc>
        <w:tc>
          <w:tcPr>
            <w:tcW w:type="dxa" w:w="20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المرونة العصبية + الاستخلاف المتخصص</w:t>
            </w:r>
          </w:p>
        </w:tc>
      </w:tr>
      <w:tr>
        <w:trPr>
          <w:tblHeader w:val="false"/>
        </w:trPr>
        <w:tc>
          <w:tcPr>
            <w:tcW w:type="dxa" w:w="2000"/>
            <w:tcBorders>
              <w:top w:val="single" w:color="CCCCCC" w:sz="1"/>
              <w:left w:val="single" w:color="CCCCCC" w:sz="1"/>
              <w:bottom w:val="single" w:color="CCCCCC" w:sz="1"/>
              <w:right w:val="single" w:color="CCCCCC" w:sz="1"/>
            </w:tcBorders>
            <w:shd w:fill="EDF1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bCs/>
                <w:i w:val="false"/>
                <w:iCs w:val="false"/>
                <w:color w:val="0B1F45"/>
                <w:sz w:val="20"/>
                <w:szCs w:val="20"/>
              </w:rPr>
              <w:t xml:space="preserve">الحد الأكبر</w:t>
            </w:r>
          </w:p>
        </w:tc>
        <w:tc>
          <w:tcPr>
            <w:tcW w:type="dxa" w:w="20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يُبالغ في الفروق ويُقلّل التداخل</w:t>
            </w:r>
          </w:p>
        </w:tc>
        <w:tc>
          <w:tcPr>
            <w:tcW w:type="dxa" w:w="20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قد يُقلّل من دور العوامل البيولوجية الحقيقية</w:t>
            </w:r>
          </w:p>
        </w:tc>
        <w:tc>
          <w:tcPr>
            <w:tcW w:type="dxa" w:w="20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صعوبة العزل التجريبي</w:t>
            </w:r>
          </w:p>
        </w:tc>
        <w:tc>
          <w:tcPr>
            <w:tcW w:type="dxa" w:w="20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يحتاج أدوات قياس مُعيَّرة</w:t>
            </w:r>
          </w:p>
        </w:tc>
      </w:tr>
      <w:tr>
        <w:trPr>
          <w:tblHeader w:val="false"/>
        </w:trPr>
        <w:tc>
          <w:tcPr>
            <w:tcW w:type="dxa" w:w="2000"/>
            <w:tcBorders>
              <w:top w:val="single" w:color="CCCCCC" w:sz="1"/>
              <w:left w:val="single" w:color="CCCCCC" w:sz="1"/>
              <w:bottom w:val="single" w:color="CCCCCC" w:sz="1"/>
              <w:right w:val="single" w:color="CCCCCC" w:sz="1"/>
            </w:tcBorders>
            <w:shd w:fill="EDF1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bCs/>
                <w:i w:val="false"/>
                <w:iCs w:val="false"/>
                <w:color w:val="0B1F45"/>
                <w:sz w:val="20"/>
                <w:szCs w:val="20"/>
              </w:rPr>
              <w:t xml:space="preserve">التوصية التربوية</w:t>
            </w:r>
          </w:p>
        </w:tc>
        <w:tc>
          <w:tcPr>
            <w:tcW w:type="dxa" w:w="20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برامج تعليمية منفصلة للجنسين</w:t>
            </w:r>
          </w:p>
        </w:tc>
        <w:tc>
          <w:tcPr>
            <w:tcW w:type="dxa" w:w="20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تعليم فردي يُراعي الفسيفساء الخاصة</w:t>
            </w:r>
          </w:p>
        </w:tc>
        <w:tc>
          <w:tcPr>
            <w:tcW w:type="dxa" w:w="20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بيئات مرنة تستجيب للفروق المكتسبة</w:t>
            </w:r>
          </w:p>
        </w:tc>
        <w:tc>
          <w:tcPr>
            <w:tcW w:type="dxa" w:w="20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تشخيص استخلافي فردي لكل متعلم</w:t>
            </w:r>
          </w:p>
        </w:tc>
      </w:tr>
    </w:tbl>
    <w:p>
      <w:pPr>
        <w:spacing w:after="0" w:before="0"/>
      </w:pPr>
      <w:r>
        <w:rPr>
          <w:sz w:val="24"/>
          <w:szCs w:val="24"/>
        </w:rPr>
        <w:t xml:space="preserve"/>
      </w:r>
    </w:p>
    <w:p>
      <w:pPr>
        <w:bidi/>
        <w:spacing w:after="110" w:before="110" w:line="336"/>
        <w:ind w:firstLine="720"/>
        <w:jc w:val="both"/>
      </w:pPr>
      <w:r>
        <w:rPr>
          <w:rFonts w:ascii="Traditional Arabic" w:cs="Traditional Arabic" w:eastAsia="Traditional Arabic" w:hAnsi="Traditional Arabic"/>
          <w:b w:val="false"/>
          <w:bCs w:val="false"/>
          <w:i w:val="false"/>
          <w:iCs w:val="false"/>
          <w:color w:val="111111"/>
          <w:sz w:val="26"/>
          <w:szCs w:val="26"/>
        </w:rPr>
        <w:t xml:space="preserve">تعني هذه النتيجة أن السؤال «كيف يختلف دماغ المرأة عن دماغ الرجل؟» قد يكون سؤالاً خاطئاً في الأساس — شأنه شأن السؤال «كيف تختلف ثقافة الشرق عن ثقافة الغرب» الذي يفترض تجانساً داخل كل مجموعة لا وجود له. والسؤال الأدق: كيف تتشكّل الفسيفساء الدماغية الفريدة لكل فرد؟</w:t>
      </w:r>
    </w:p>
    <w:p>
      <w:pPr>
        <w:pBdr>
          <w:top w:val="single" w:color="0C6060" w:sz="3"/>
          <w:left w:val="thick" w:color="0C6060" w:sz="14"/>
          <w:bottom w:val="single" w:color="0C6060" w:sz="3"/>
          <w:right w:val="single" w:color="0C6060" w:sz="3"/>
        </w:pBdr>
        <w:shd w:fill="E6F3F2" w:val="clear"/>
        <w:bidi/>
        <w:spacing w:after="150" w:before="150"/>
        <w:ind w:left="360" w:right="360"/>
        <w:jc w:val="both"/>
      </w:pPr>
      <w:r>
        <w:rPr>
          <w:rFonts w:ascii="Traditional Arabic" w:cs="Traditional Arabic" w:eastAsia="Traditional Arabic" w:hAnsi="Traditional Arabic"/>
          <w:b/>
          <w:bCs/>
          <w:i w:val="false"/>
          <w:iCs w:val="false"/>
          <w:color w:val="0C6060"/>
          <w:sz w:val="24"/>
          <w:szCs w:val="24"/>
        </w:rPr>
        <w:t xml:space="preserve">الدلالة الاستخلافية لنموذج الفسيفساء: </w:t>
      </w:r>
      <w:r>
        <w:rPr>
          <w:rFonts w:ascii="Traditional Arabic" w:cs="Traditional Arabic" w:eastAsia="Traditional Arabic" w:hAnsi="Traditional Arabic"/>
          <w:b w:val="false"/>
          <w:bCs w:val="false"/>
          <w:i w:val="false"/>
          <w:iCs w:val="false"/>
          <w:color w:val="1A1A1A"/>
          <w:sz w:val="23"/>
          <w:szCs w:val="23"/>
        </w:rPr>
        <w:t xml:space="preserve">نموذج الفسيفساء هو الأقرب إلى الرؤية الاستخلافية: كل نفس فسيفساء فريدة من السمات الإدراكية لا تُختزل في تصنيف ثنائي. وهذا يستدعي «تشخيصاً استخلافياً فردياً» لكل متعلم ومتعالج، بدلاً من سياسات جنسية مبنية على متوسطات تخفي أكثر مما تكشف.</w:t>
      </w:r>
    </w:p>
    <w:p>
      <w:pPr>
        <w:pBdr>
          <w:bottom w:val="single" w:color="0C6060" w:sz="4" w:space="3"/>
        </w:pBdr>
        <w:bidi/>
        <w:spacing w:after="130" w:before="220"/>
      </w:pPr>
      <w:r>
        <w:rPr>
          <w:rFonts w:ascii="Traditional Arabic" w:cs="Traditional Arabic" w:eastAsia="Traditional Arabic" w:hAnsi="Traditional Arabic"/>
          <w:b/>
          <w:bCs/>
          <w:i w:val="false"/>
          <w:iCs w:val="false"/>
          <w:color w:val="0C6060"/>
          <w:sz w:val="30"/>
          <w:szCs w:val="30"/>
        </w:rPr>
        <w:t xml:space="preserve">4.1 نقد نموذج الفسيفساء</w:t>
      </w:r>
    </w:p>
    <w:p>
      <w:pPr>
        <w:bidi/>
        <w:spacing w:after="110" w:before="110" w:line="336"/>
        <w:ind w:firstLine="720"/>
        <w:jc w:val="both"/>
      </w:pPr>
      <w:r>
        <w:rPr>
          <w:rFonts w:ascii="Traditional Arabic" w:cs="Traditional Arabic" w:eastAsia="Traditional Arabic" w:hAnsi="Traditional Arabic"/>
          <w:b w:val="false"/>
          <w:bCs w:val="false"/>
          <w:i w:val="false"/>
          <w:iCs w:val="false"/>
          <w:color w:val="111111"/>
          <w:sz w:val="26"/>
          <w:szCs w:val="26"/>
        </w:rPr>
        <w:t xml:space="preserve">لا تخلو دراسة جويل (2015) من نقد أكاديمي معتبر. فقد أشار إنغالهاليكار (مؤلف دراسة 2014 المؤيدة للفروق) إلى أن اختيار «المناطق ذات أكبر فروق» كأساس للتحليل قد يُحيّز النتائج. كما أشار بعضهم إلى أن «الفسيفساء» لا تعني «عدم وجود أنماط» — يمكن أن تكون الأنماط موجودة على مستوى شبكات الوصل (Connectome) حتى لو غابت على مستوى الأجزاء.</w:t>
      </w:r>
    </w:p>
    <w:p>
      <w:pPr>
        <w:bidi/>
        <w:spacing w:after="110" w:before="110" w:line="336"/>
        <w:ind w:firstLine="720"/>
        <w:jc w:val="both"/>
      </w:pPr>
      <w:r>
        <w:rPr>
          <w:rFonts w:ascii="Traditional Arabic" w:cs="Traditional Arabic" w:eastAsia="Traditional Arabic" w:hAnsi="Traditional Arabic"/>
          <w:b w:val="false"/>
          <w:bCs w:val="false"/>
          <w:i w:val="false"/>
          <w:iCs w:val="false"/>
          <w:color w:val="111111"/>
          <w:sz w:val="26"/>
          <w:szCs w:val="26"/>
        </w:rPr>
        <w:t xml:space="preserve">والتوازن النقدي الصحيح يقتضي الإقرار بكليهما: ثمة فروق حقيقية بين متوسطات المجموعتين في بعض المناطق والشبكات، لكن التباين داخل كل مجموعة أكبر بكثير من التباين بين المجموعتين، ولا يوجد دماغ «نموذج» لأي من الجنسين.</w:t>
      </w:r>
    </w:p>
    <w:p>
      <w:pPr>
        <w:pageBreakBefore/>
        <w:pBdr>
          <w:bottom w:val="thick" w:color="8B6914" w:sz="10" w:space="5"/>
        </w:pBdr>
        <w:bidi/>
        <w:spacing w:after="160" w:before="240"/>
      </w:pPr>
      <w:r>
        <w:rPr>
          <w:rFonts w:ascii="Traditional Arabic" w:cs="Traditional Arabic" w:eastAsia="Traditional Arabic" w:hAnsi="Traditional Arabic"/>
          <w:b/>
          <w:bCs/>
          <w:i w:val="false"/>
          <w:iCs w:val="false"/>
          <w:color w:val="0B1F45"/>
          <w:sz w:val="36"/>
          <w:szCs w:val="36"/>
        </w:rPr>
        <w:t xml:space="preserve">خامساً: نقد «عِلم الجنس العصبي» — حين يخدم العلمُ الأيديولوجيا</w:t>
      </w:r>
    </w:p>
    <w:p>
      <w:pPr>
        <w:bidi/>
        <w:spacing w:after="110" w:before="110" w:line="336"/>
        <w:ind w:firstLine="720"/>
        <w:jc w:val="both"/>
      </w:pPr>
      <w:r>
        <w:rPr>
          <w:rFonts w:ascii="Traditional Arabic" w:cs="Traditional Arabic" w:eastAsia="Traditional Arabic" w:hAnsi="Traditional Arabic"/>
          <w:b w:val="false"/>
          <w:bCs w:val="false"/>
          <w:i w:val="false"/>
          <w:iCs w:val="false"/>
          <w:color w:val="111111"/>
          <w:sz w:val="26"/>
          <w:szCs w:val="26"/>
        </w:rPr>
        <w:t xml:space="preserve">صاغت ليبرمان (Fine, 2010, 2017) مفهوم «Neurosexism» — علم الجنس العصبي — لوصف توظيف أبحاث الدماغ لتبرير التوقعات الجنسية الاجتماعية وإعادة إنتاجها علمياً. وهي ليست اتهاماً بالتحيز الواعي بل تشخيصاً لآلية دقيقة يقع فيها الباحثون الموضوعيون.</w:t>
      </w:r>
    </w:p>
    <w:p>
      <w:pPr>
        <w:pBdr>
          <w:bottom w:val="single" w:color="0C6060" w:sz="4" w:space="3"/>
        </w:pBdr>
        <w:bidi/>
        <w:spacing w:after="130" w:before="220"/>
      </w:pPr>
      <w:r>
        <w:rPr>
          <w:rFonts w:ascii="Traditional Arabic" w:cs="Traditional Arabic" w:eastAsia="Traditional Arabic" w:hAnsi="Traditional Arabic"/>
          <w:b/>
          <w:bCs/>
          <w:i w:val="false"/>
          <w:iCs w:val="false"/>
          <w:color w:val="0C6060"/>
          <w:sz w:val="30"/>
          <w:szCs w:val="30"/>
        </w:rPr>
        <w:t xml:space="preserve">5.1 الآليات الست للـ Neurosexism</w:t>
      </w:r>
    </w:p>
    <w:p>
      <w:pPr>
        <w:bidi/>
        <w:spacing w:after="70" w:before="70" w:line="300"/>
        <w:ind w:left="720" w:right="360"/>
        <w:jc w:val="both"/>
      </w:pPr>
      <w:r>
        <w:rPr>
          <w:rFonts w:ascii="Traditional Arabic" w:cs="Traditional Arabic" w:eastAsia="Traditional Arabic" w:hAnsi="Traditional Arabic"/>
          <w:b/>
          <w:bCs/>
          <w:i w:val="false"/>
          <w:iCs w:val="false"/>
          <w:color w:val="0C6060"/>
          <w:sz w:val="26"/>
          <w:szCs w:val="26"/>
        </w:rPr>
        <w:t xml:space="preserve">◆ </w:t>
      </w:r>
      <w:r>
        <w:rPr>
          <w:rFonts w:ascii="Traditional Arabic" w:cs="Traditional Arabic" w:eastAsia="Traditional Arabic" w:hAnsi="Traditional Arabic"/>
          <w:b w:val="false"/>
          <w:bCs w:val="false"/>
          <w:i w:val="false"/>
          <w:iCs w:val="false"/>
          <w:color w:val="111111"/>
          <w:sz w:val="24"/>
          <w:szCs w:val="24"/>
        </w:rPr>
        <w:t xml:space="preserve">التسمية التمييزية للمناطق الدماغية: تسمية بعض شبكات الدماغ «ذكورية الطابع» أو «أنثوية الطابع» يُرسّخ ثنائية غير مبررة بيولوجياً</w:t>
      </w:r>
    </w:p>
    <w:p>
      <w:pPr>
        <w:bidi/>
        <w:spacing w:after="70" w:before="70" w:line="300"/>
        <w:ind w:left="720" w:right="360"/>
        <w:jc w:val="both"/>
      </w:pPr>
      <w:r>
        <w:rPr>
          <w:rFonts w:ascii="Traditional Arabic" w:cs="Traditional Arabic" w:eastAsia="Traditional Arabic" w:hAnsi="Traditional Arabic"/>
          <w:b/>
          <w:bCs/>
          <w:i w:val="false"/>
          <w:iCs w:val="false"/>
          <w:color w:val="0C6060"/>
          <w:sz w:val="26"/>
          <w:szCs w:val="26"/>
        </w:rPr>
        <w:t xml:space="preserve">◆ </w:t>
      </w:r>
      <w:r>
        <w:rPr>
          <w:rFonts w:ascii="Traditional Arabic" w:cs="Traditional Arabic" w:eastAsia="Traditional Arabic" w:hAnsi="Traditional Arabic"/>
          <w:b w:val="false"/>
          <w:bCs w:val="false"/>
          <w:i w:val="false"/>
          <w:iCs w:val="false"/>
          <w:color w:val="111111"/>
          <w:sz w:val="24"/>
          <w:szCs w:val="24"/>
        </w:rPr>
        <w:t xml:space="preserve">تضخيم الفروق الصغيرة: تحويل d=0.2 إلى «تفوق» في عنوان المقالة</w:t>
      </w:r>
    </w:p>
    <w:p>
      <w:pPr>
        <w:bidi/>
        <w:spacing w:after="70" w:before="70" w:line="300"/>
        <w:ind w:left="720" w:right="360"/>
        <w:jc w:val="both"/>
      </w:pPr>
      <w:r>
        <w:rPr>
          <w:rFonts w:ascii="Traditional Arabic" w:cs="Traditional Arabic" w:eastAsia="Traditional Arabic" w:hAnsi="Traditional Arabic"/>
          <w:b/>
          <w:bCs/>
          <w:i w:val="false"/>
          <w:iCs w:val="false"/>
          <w:color w:val="0C6060"/>
          <w:sz w:val="26"/>
          <w:szCs w:val="26"/>
        </w:rPr>
        <w:t xml:space="preserve">◆ </w:t>
      </w:r>
      <w:r>
        <w:rPr>
          <w:rFonts w:ascii="Traditional Arabic" w:cs="Traditional Arabic" w:eastAsia="Traditional Arabic" w:hAnsi="Traditional Arabic"/>
          <w:b w:val="false"/>
          <w:bCs w:val="false"/>
          <w:i w:val="false"/>
          <w:iCs w:val="false"/>
          <w:color w:val="111111"/>
          <w:sz w:val="24"/>
          <w:szCs w:val="24"/>
        </w:rPr>
        <w:t xml:space="preserve">إغفال التداخل: تقرير «فرق ذو دلالة» دون ذكر أن التداخل بين المجموعتين يبلغ 90%</w:t>
      </w:r>
    </w:p>
    <w:p>
      <w:pPr>
        <w:bidi/>
        <w:spacing w:after="70" w:before="70" w:line="300"/>
        <w:ind w:left="720" w:right="360"/>
        <w:jc w:val="both"/>
      </w:pPr>
      <w:r>
        <w:rPr>
          <w:rFonts w:ascii="Traditional Arabic" w:cs="Traditional Arabic" w:eastAsia="Traditional Arabic" w:hAnsi="Traditional Arabic"/>
          <w:b/>
          <w:bCs/>
          <w:i w:val="false"/>
          <w:iCs w:val="false"/>
          <w:color w:val="0C6060"/>
          <w:sz w:val="26"/>
          <w:szCs w:val="26"/>
        </w:rPr>
        <w:t xml:space="preserve">◆ </w:t>
      </w:r>
      <w:r>
        <w:rPr>
          <w:rFonts w:ascii="Traditional Arabic" w:cs="Traditional Arabic" w:eastAsia="Traditional Arabic" w:hAnsi="Traditional Arabic"/>
          <w:b w:val="false"/>
          <w:bCs w:val="false"/>
          <w:i w:val="false"/>
          <w:iCs w:val="false"/>
          <w:color w:val="111111"/>
          <w:sz w:val="24"/>
          <w:szCs w:val="24"/>
        </w:rPr>
        <w:t xml:space="preserve">الاستنتاج من المتوسط إلى الفرد: «النساء أفضل في X» تُقال لامرأة بعينها رغم أن المتوسط لا يُخبر عن أي فرد</w:t>
      </w:r>
    </w:p>
    <w:p>
      <w:pPr>
        <w:bidi/>
        <w:spacing w:after="70" w:before="70" w:line="300"/>
        <w:ind w:left="720" w:right="360"/>
        <w:jc w:val="both"/>
      </w:pPr>
      <w:r>
        <w:rPr>
          <w:rFonts w:ascii="Traditional Arabic" w:cs="Traditional Arabic" w:eastAsia="Traditional Arabic" w:hAnsi="Traditional Arabic"/>
          <w:b/>
          <w:bCs/>
          <w:i w:val="false"/>
          <w:iCs w:val="false"/>
          <w:color w:val="0C6060"/>
          <w:sz w:val="26"/>
          <w:szCs w:val="26"/>
        </w:rPr>
        <w:t xml:space="preserve">◆ </w:t>
      </w:r>
      <w:r>
        <w:rPr>
          <w:rFonts w:ascii="Traditional Arabic" w:cs="Traditional Arabic" w:eastAsia="Traditional Arabic" w:hAnsi="Traditional Arabic"/>
          <w:b w:val="false"/>
          <w:bCs w:val="false"/>
          <w:i w:val="false"/>
          <w:iCs w:val="false"/>
          <w:color w:val="111111"/>
          <w:sz w:val="24"/>
          <w:szCs w:val="24"/>
        </w:rPr>
        <w:t xml:space="preserve">إغفال التعلم كعامل مفسِّر: عزو الفروق للبيولوجيا دون اختبار كفاية التفسير التنشئوي</w:t>
      </w:r>
    </w:p>
    <w:p>
      <w:pPr>
        <w:bidi/>
        <w:spacing w:after="70" w:before="70" w:line="300"/>
        <w:ind w:left="720" w:right="360"/>
        <w:jc w:val="both"/>
      </w:pPr>
      <w:r>
        <w:rPr>
          <w:rFonts w:ascii="Traditional Arabic" w:cs="Traditional Arabic" w:eastAsia="Traditional Arabic" w:hAnsi="Traditional Arabic"/>
          <w:b/>
          <w:bCs/>
          <w:i w:val="false"/>
          <w:iCs w:val="false"/>
          <w:color w:val="0C6060"/>
          <w:sz w:val="26"/>
          <w:szCs w:val="26"/>
        </w:rPr>
        <w:t xml:space="preserve">◆ </w:t>
      </w:r>
      <w:r>
        <w:rPr>
          <w:rFonts w:ascii="Traditional Arabic" w:cs="Traditional Arabic" w:eastAsia="Traditional Arabic" w:hAnsi="Traditional Arabic"/>
          <w:b w:val="false"/>
          <w:bCs w:val="false"/>
          <w:i w:val="false"/>
          <w:iCs w:val="false"/>
          <w:color w:val="111111"/>
          <w:sz w:val="24"/>
          <w:szCs w:val="24"/>
        </w:rPr>
        <w:t xml:space="preserve">توقف سلسلة السببية قبل نهايتها: إثبات فرق بيولوجي دون تتبعه إلى جذره التاريخي-الاجتماعي</w:t>
      </w:r>
    </w:p>
    <w:p>
      <w:pPr>
        <w:pBdr>
          <w:bottom w:val="single" w:color="0C6060" w:sz="4" w:space="3"/>
        </w:pBdr>
        <w:bidi/>
        <w:spacing w:after="130" w:before="220"/>
      </w:pPr>
      <w:r>
        <w:rPr>
          <w:rFonts w:ascii="Traditional Arabic" w:cs="Traditional Arabic" w:eastAsia="Traditional Arabic" w:hAnsi="Traditional Arabic"/>
          <w:b/>
          <w:bCs/>
          <w:i w:val="false"/>
          <w:iCs w:val="false"/>
          <w:color w:val="0C6060"/>
          <w:sz w:val="30"/>
          <w:szCs w:val="30"/>
        </w:rPr>
        <w:t xml:space="preserve">5.2 الموقف الاستخلافي من ثنائية «علم-أيديولوجيا»</w:t>
      </w:r>
    </w:p>
    <w:p>
      <w:pPr>
        <w:bidi/>
        <w:spacing w:after="110" w:before="110" w:line="336"/>
        <w:ind w:firstLine="720"/>
        <w:jc w:val="both"/>
      </w:pPr>
      <w:r>
        <w:rPr>
          <w:rFonts w:ascii="Traditional Arabic" w:cs="Traditional Arabic" w:eastAsia="Traditional Arabic" w:hAnsi="Traditional Arabic"/>
          <w:b w:val="false"/>
          <w:bCs w:val="false"/>
          <w:i w:val="false"/>
          <w:iCs w:val="false"/>
          <w:color w:val="111111"/>
          <w:sz w:val="26"/>
          <w:szCs w:val="26"/>
        </w:rPr>
        <w:t xml:space="preserve">ينطلق علم النفس الاستخلافي من وعي بأن كل علم يُمارَس ضمن أفق ثقافي ويحمل افتراضاته. لكنه لا يُفضي إلى النسبية الكاملة (كل علم مجرد أيديولوجيا)، بل يدعو إلى «علم متواضع»: يُقرّ بحدوده ويفحص افتراضاته ويبقى مفتوحاً للمراجعة. والمساهمة الاستخلافية هنا تحديد «لماذا نبحث»: إذا كان هدف البحث إثبات تفوق أو دونية فئة، فالنتيجة مشبوهة سلفاً. أما إذا كان هدفه فهم التنوع الإنساني لتوجيهه نحو العمران، فهذا علم نافع مشروع.</w:t>
      </w:r>
    </w:p>
    <w:p>
      <w:pPr>
        <w:pBdr>
          <w:top w:val="single" w:color="8B6914" w:sz="4"/>
          <w:left w:val="thick" w:color="8B6914" w:sz="12"/>
          <w:bottom w:val="single" w:color="8B6914" w:sz="4"/>
          <w:right w:val="thick" w:color="8B6914" w:sz="12"/>
        </w:pBdr>
        <w:shd w:fill="FCF7E8" w:val="clear"/>
        <w:bidi/>
        <w:spacing w:after="180" w:before="180"/>
        <w:ind w:left="360" w:right="360"/>
        <w:jc w:val="center"/>
      </w:pPr>
      <w:r>
        <w:rPr>
          <w:rFonts w:ascii="Traditional Arabic" w:cs="Traditional Arabic" w:eastAsia="Traditional Arabic" w:hAnsi="Traditional Arabic"/>
          <w:b/>
          <w:bCs/>
          <w:i w:val="false"/>
          <w:iCs w:val="false"/>
          <w:color w:val="3B2000"/>
          <w:sz w:val="29"/>
          <w:szCs w:val="29"/>
        </w:rPr>
        <w:t xml:space="preserve">وَمِنْ آيَاتِهِ خَلْقُ السَّمَاوَاتِ وَالْأَرْضِ وَاخْتِلَافُ أَلْسِنَتِكُمْ وَأَلْوَانِكُمْ</w:t>
      </w:r>
      <w:r>
        <w:rPr>
          <w:rFonts w:ascii="Traditional Arabic" w:cs="Traditional Arabic" w:eastAsia="Traditional Arabic" w:hAnsi="Traditional Arabic"/>
          <w:b w:val="false"/>
          <w:bCs w:val="false"/>
          <w:i/>
          <w:iCs/>
          <w:color w:val="8B6914"/>
          <w:sz w:val="21"/>
          <w:szCs w:val="21"/>
        </w:rPr>
        <w:t xml:space="preserve">  (الروم: 22) — الاختلاف آية لا مشكلة، والدراسة ينبغي أن تخدم قراءة الآية لا تسييسها</w:t>
      </w:r>
    </w:p>
    <w:p>
      <w:pPr>
        <w:pageBreakBefore/>
        <w:pBdr>
          <w:bottom w:val="thick" w:color="8B6914" w:sz="10" w:space="5"/>
        </w:pBdr>
        <w:bidi/>
        <w:spacing w:after="160" w:before="240"/>
      </w:pPr>
      <w:r>
        <w:rPr>
          <w:rFonts w:ascii="Traditional Arabic" w:cs="Traditional Arabic" w:eastAsia="Traditional Arabic" w:hAnsi="Traditional Arabic"/>
          <w:b/>
          <w:bCs/>
          <w:i w:val="false"/>
          <w:iCs w:val="false"/>
          <w:color w:val="0B1F45"/>
          <w:sz w:val="36"/>
          <w:szCs w:val="36"/>
        </w:rPr>
        <w:t xml:space="preserve">سادساً: القراءة الاستخلافية — إعادة صياغة السؤال</w:t>
      </w:r>
    </w:p>
    <w:p>
      <w:pPr>
        <w:bidi/>
        <w:spacing w:after="110" w:before="110" w:line="336"/>
        <w:ind w:firstLine="720"/>
        <w:jc w:val="both"/>
      </w:pPr>
      <w:r>
        <w:rPr>
          <w:rFonts w:ascii="Traditional Arabic" w:cs="Traditional Arabic" w:eastAsia="Traditional Arabic" w:hAnsi="Traditional Arabic"/>
          <w:b w:val="false"/>
          <w:bCs w:val="false"/>
          <w:i w:val="false"/>
          <w:iCs w:val="false"/>
          <w:color w:val="111111"/>
          <w:sz w:val="26"/>
          <w:szCs w:val="26"/>
        </w:rPr>
        <w:t xml:space="preserve">وصلنا إلى المحور الأكثر أصالةً في هذا التعميق: لا يكتفي علم النفس الاستخلافي بنقد الأبحاث أو تصحيح المبالغات، بل يُعيد صياغة السؤال الجذري الذي يُؤطّر حقل الفروق بين الجنسين في الدماغ كله.</w:t>
      </w:r>
    </w:p>
    <w:p>
      <w:pPr>
        <w:spacing w:after="0" w:before="0"/>
      </w:pPr>
      <w:r>
        <w:rPr>
          <w:sz w:val="16"/>
          <w:szCs w:val="16"/>
        </w:rPr>
        <w:t xml:space="preserve"/>
      </w:r>
    </w:p>
    <w:tbl>
      <w:tblPr>
        <w:tblW w:type="dxa" w:w="10000"/>
        <w:tblBorders>
          <w:top w:val="single" w:color="auto" w:sz="4"/>
          <w:left w:val="single" w:color="auto" w:sz="4"/>
          <w:bottom w:val="single" w:color="auto" w:sz="4"/>
          <w:right w:val="single" w:color="auto" w:sz="4"/>
          <w:insideH w:val="single" w:color="auto" w:sz="4"/>
          <w:insideV w:val="single" w:color="auto" w:sz="4"/>
        </w:tblBorders>
      </w:tblPr>
      <w:tblGrid>
        <w:gridCol w:w="2200"/>
        <w:gridCol w:w="2600"/>
        <w:gridCol w:w="2600"/>
        <w:gridCol w:w="2600"/>
      </w:tblGrid>
      <w:tr>
        <w:trPr>
          <w:tblHeader/>
        </w:trPr>
        <w:tc>
          <w:tcPr>
            <w:tcW w:type="dxa" w:w="2200"/>
            <w:tcBorders>
              <w:top w:val="single" w:color="0B1F45" w:sz="1"/>
              <w:left w:val="single" w:color="0B1F45" w:sz="1"/>
              <w:bottom w:val="single" w:color="0B1F45" w:sz="1"/>
              <w:right w:val="single" w:color="0B1F45" w:sz="1"/>
            </w:tcBorders>
            <w:shd w:fill="0B1F45" w:val="clear"/>
            <w:tcMar>
              <w:top w:type="dxa" w:w="100"/>
              <w:left w:type="dxa" w:w="130"/>
              <w:bottom w:type="dxa" w:w="100"/>
              <w:right w:type="dxa" w:w="130"/>
            </w:tcMar>
            <w:vAlign w:val="center"/>
          </w:tcPr>
          <w:p>
            <w:pPr>
              <w:bidi/>
              <w:jc w:val="center"/>
            </w:pPr>
            <w:r>
              <w:rPr>
                <w:rFonts w:ascii="Traditional Arabic" w:cs="Traditional Arabic" w:eastAsia="Traditional Arabic" w:hAnsi="Traditional Arabic"/>
                <w:b/>
                <w:bCs/>
                <w:i w:val="false"/>
                <w:iCs w:val="false"/>
                <w:color w:val="FFFFFF"/>
                <w:sz w:val="21"/>
                <w:szCs w:val="21"/>
              </w:rPr>
              <w:t xml:space="preserve">البُعد</w:t>
            </w:r>
          </w:p>
        </w:tc>
        <w:tc>
          <w:tcPr>
            <w:tcW w:type="dxa" w:w="2600"/>
            <w:tcBorders>
              <w:top w:val="single" w:color="0B1F45" w:sz="1"/>
              <w:left w:val="single" w:color="0B1F45" w:sz="1"/>
              <w:bottom w:val="single" w:color="0B1F45" w:sz="1"/>
              <w:right w:val="single" w:color="0B1F45" w:sz="1"/>
            </w:tcBorders>
            <w:shd w:fill="0B1F45" w:val="clear"/>
            <w:tcMar>
              <w:top w:type="dxa" w:w="100"/>
              <w:left w:type="dxa" w:w="130"/>
              <w:bottom w:type="dxa" w:w="100"/>
              <w:right w:type="dxa" w:w="130"/>
            </w:tcMar>
            <w:vAlign w:val="center"/>
          </w:tcPr>
          <w:p>
            <w:pPr>
              <w:bidi/>
              <w:jc w:val="center"/>
            </w:pPr>
            <w:r>
              <w:rPr>
                <w:rFonts w:ascii="Traditional Arabic" w:cs="Traditional Arabic" w:eastAsia="Traditional Arabic" w:hAnsi="Traditional Arabic"/>
                <w:b/>
                <w:bCs/>
                <w:i w:val="false"/>
                <w:iCs w:val="false"/>
                <w:color w:val="FFFFFF"/>
                <w:sz w:val="21"/>
                <w:szCs w:val="21"/>
              </w:rPr>
              <w:t xml:space="preserve">المنظور العلماني (السائد)</w:t>
            </w:r>
          </w:p>
        </w:tc>
        <w:tc>
          <w:tcPr>
            <w:tcW w:type="dxa" w:w="2600"/>
            <w:tcBorders>
              <w:top w:val="single" w:color="0B1F45" w:sz="1"/>
              <w:left w:val="single" w:color="0B1F45" w:sz="1"/>
              <w:bottom w:val="single" w:color="0B1F45" w:sz="1"/>
              <w:right w:val="single" w:color="0B1F45" w:sz="1"/>
            </w:tcBorders>
            <w:shd w:fill="0B1F45" w:val="clear"/>
            <w:tcMar>
              <w:top w:type="dxa" w:w="100"/>
              <w:left w:type="dxa" w:w="130"/>
              <w:bottom w:type="dxa" w:w="100"/>
              <w:right w:type="dxa" w:w="130"/>
            </w:tcMar>
            <w:vAlign w:val="center"/>
          </w:tcPr>
          <w:p>
            <w:pPr>
              <w:bidi/>
              <w:jc w:val="center"/>
            </w:pPr>
            <w:r>
              <w:rPr>
                <w:rFonts w:ascii="Traditional Arabic" w:cs="Traditional Arabic" w:eastAsia="Traditional Arabic" w:hAnsi="Traditional Arabic"/>
                <w:b/>
                <w:bCs/>
                <w:i w:val="false"/>
                <w:iCs w:val="false"/>
                <w:color w:val="FFFFFF"/>
                <w:sz w:val="21"/>
                <w:szCs w:val="21"/>
              </w:rPr>
              <w:t xml:space="preserve">إشكاليته الأبستيمية</w:t>
            </w:r>
          </w:p>
        </w:tc>
        <w:tc>
          <w:tcPr>
            <w:tcW w:type="dxa" w:w="2600"/>
            <w:tcBorders>
              <w:top w:val="single" w:color="0B1F45" w:sz="1"/>
              <w:left w:val="single" w:color="0B1F45" w:sz="1"/>
              <w:bottom w:val="single" w:color="0B1F45" w:sz="1"/>
              <w:right w:val="single" w:color="0B1F45" w:sz="1"/>
            </w:tcBorders>
            <w:shd w:fill="0B1F45" w:val="clear"/>
            <w:tcMar>
              <w:top w:type="dxa" w:w="100"/>
              <w:left w:type="dxa" w:w="130"/>
              <w:bottom w:type="dxa" w:w="100"/>
              <w:right w:type="dxa" w:w="130"/>
            </w:tcMar>
            <w:vAlign w:val="center"/>
          </w:tcPr>
          <w:p>
            <w:pPr>
              <w:bidi/>
              <w:jc w:val="center"/>
            </w:pPr>
            <w:r>
              <w:rPr>
                <w:rFonts w:ascii="Traditional Arabic" w:cs="Traditional Arabic" w:eastAsia="Traditional Arabic" w:hAnsi="Traditional Arabic"/>
                <w:b/>
                <w:bCs/>
                <w:i w:val="false"/>
                <w:iCs w:val="false"/>
                <w:color w:val="FFFFFF"/>
                <w:sz w:val="21"/>
                <w:szCs w:val="21"/>
              </w:rPr>
              <w:t xml:space="preserve">البديل الاستخلافي</w:t>
            </w:r>
          </w:p>
        </w:tc>
      </w:tr>
      <w:tr>
        <w:trPr>
          <w:tblHeader w:val="false"/>
        </w:trPr>
        <w:tc>
          <w:tcPr>
            <w:tcW w:type="dxa" w:w="2200"/>
            <w:tcBorders>
              <w:top w:val="single" w:color="CCCCCC" w:sz="1"/>
              <w:left w:val="single" w:color="CCCCCC" w:sz="1"/>
              <w:bottom w:val="single" w:color="CCCCCC" w:sz="1"/>
              <w:right w:val="single" w:color="CCCCCC" w:sz="1"/>
            </w:tcBorders>
            <w:shd w:fill="EDF1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bCs/>
                <w:i w:val="false"/>
                <w:iCs w:val="false"/>
                <w:color w:val="0B1F45"/>
                <w:sz w:val="20"/>
                <w:szCs w:val="20"/>
              </w:rPr>
              <w:t xml:space="preserve">تفسير الفروق</w:t>
            </w:r>
          </w:p>
        </w:tc>
        <w:tc>
          <w:tcPr>
            <w:tcW w:type="dxa" w:w="26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تراتب ضمني: الأكفأ في X هو الأعلى</w:t>
            </w:r>
          </w:p>
        </w:tc>
        <w:tc>
          <w:tcPr>
            <w:tcW w:type="dxa" w:w="26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يفترض معياراً واحداً للتقييم</w:t>
            </w:r>
          </w:p>
        </w:tc>
        <w:tc>
          <w:tcPr>
            <w:tcW w:type="dxa" w:w="26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تنوع في التخصص — تكامل في الوظيفة</w:t>
            </w:r>
          </w:p>
        </w:tc>
      </w:tr>
      <w:tr>
        <w:trPr>
          <w:tblHeader w:val="false"/>
        </w:trPr>
        <w:tc>
          <w:tcPr>
            <w:tcW w:type="dxa" w:w="2200"/>
            <w:tcBorders>
              <w:top w:val="single" w:color="CCCCCC" w:sz="1"/>
              <w:left w:val="single" w:color="CCCCCC" w:sz="1"/>
              <w:bottom w:val="single" w:color="CCCCCC" w:sz="1"/>
              <w:right w:val="single" w:color="CCCCCC" w:sz="1"/>
            </w:tcBorders>
            <w:shd w:fill="EDF1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bCs/>
                <w:i w:val="false"/>
                <w:iCs w:val="false"/>
                <w:color w:val="0B1F45"/>
                <w:sz w:val="20"/>
                <w:szCs w:val="20"/>
              </w:rPr>
              <w:t xml:space="preserve">الغاية من البحث</w:t>
            </w:r>
          </w:p>
        </w:tc>
        <w:tc>
          <w:tcPr>
            <w:tcW w:type="dxa" w:w="26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إثبات المساواة أو الفوارق</w:t>
            </w:r>
          </w:p>
        </w:tc>
        <w:tc>
          <w:tcPr>
            <w:tcW w:type="dxa" w:w="26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محكوم بأجندة ثقافية مسبقة</w:t>
            </w:r>
          </w:p>
        </w:tc>
        <w:tc>
          <w:tcPr>
            <w:tcW w:type="dxa" w:w="26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فهم التنوع لخدمة الاستخلاف المتكامل</w:t>
            </w:r>
          </w:p>
        </w:tc>
      </w:tr>
      <w:tr>
        <w:trPr>
          <w:tblHeader w:val="false"/>
        </w:trPr>
        <w:tc>
          <w:tcPr>
            <w:tcW w:type="dxa" w:w="2200"/>
            <w:tcBorders>
              <w:top w:val="single" w:color="CCCCCC" w:sz="1"/>
              <w:left w:val="single" w:color="CCCCCC" w:sz="1"/>
              <w:bottom w:val="single" w:color="CCCCCC" w:sz="1"/>
              <w:right w:val="single" w:color="CCCCCC" w:sz="1"/>
            </w:tcBorders>
            <w:shd w:fill="EDF1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bCs/>
                <w:i w:val="false"/>
                <w:iCs w:val="false"/>
                <w:color w:val="0B1F45"/>
                <w:sz w:val="20"/>
                <w:szCs w:val="20"/>
              </w:rPr>
              <w:t xml:space="preserve">موقع المرأة</w:t>
            </w:r>
          </w:p>
        </w:tc>
        <w:tc>
          <w:tcPr>
            <w:tcW w:type="dxa" w:w="26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إما مساوية أو متفوقة أو دون في X</w:t>
            </w:r>
          </w:p>
        </w:tc>
        <w:tc>
          <w:tcPr>
            <w:tcW w:type="dxa" w:w="26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مقارنة دائمة بمعيار ذكوري ضمني</w:t>
            </w:r>
          </w:p>
        </w:tc>
        <w:tc>
          <w:tcPr>
            <w:tcW w:type="dxa" w:w="26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خليفة بفطرة مختصة — لا تُقاس بالآخر</w:t>
            </w:r>
          </w:p>
        </w:tc>
      </w:tr>
      <w:tr>
        <w:trPr>
          <w:tblHeader w:val="false"/>
        </w:trPr>
        <w:tc>
          <w:tcPr>
            <w:tcW w:type="dxa" w:w="2200"/>
            <w:tcBorders>
              <w:top w:val="single" w:color="CCCCCC" w:sz="1"/>
              <w:left w:val="single" w:color="CCCCCC" w:sz="1"/>
              <w:bottom w:val="single" w:color="CCCCCC" w:sz="1"/>
              <w:right w:val="single" w:color="CCCCCC" w:sz="1"/>
            </w:tcBorders>
            <w:shd w:fill="EDF1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bCs/>
                <w:i w:val="false"/>
                <w:iCs w:val="false"/>
                <w:color w:val="0B1F45"/>
                <w:sz w:val="20"/>
                <w:szCs w:val="20"/>
              </w:rPr>
              <w:t xml:space="preserve">التطبيق التربوي</w:t>
            </w:r>
          </w:p>
        </w:tc>
        <w:tc>
          <w:tcPr>
            <w:tcW w:type="dxa" w:w="26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مناهج تُساوي أو تُكيّف</w:t>
            </w:r>
          </w:p>
        </w:tc>
        <w:tc>
          <w:tcPr>
            <w:tcW w:type="dxa" w:w="26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قد يُعيد إنتاج الصور النمطية</w:t>
            </w:r>
          </w:p>
        </w:tc>
        <w:tc>
          <w:tcPr>
            <w:tcW w:type="dxa" w:w="2600"/>
            <w:tcBorders>
              <w:top w:val="single" w:color="CCCCCC" w:sz="1"/>
              <w:left w:val="single" w:color="CCCCCC" w:sz="1"/>
              <w:bottom w:val="single" w:color="CCCCCC" w:sz="1"/>
              <w:right w:val="single" w:color="CCCCCC" w:sz="1"/>
            </w:tcBorders>
            <w:shd w:fill="F8F8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تعليم يُفعّل الوظيفة الاستخلافية الفردية</w:t>
            </w:r>
          </w:p>
        </w:tc>
      </w:tr>
      <w:tr>
        <w:trPr>
          <w:tblHeader w:val="false"/>
        </w:trPr>
        <w:tc>
          <w:tcPr>
            <w:tcW w:type="dxa" w:w="2200"/>
            <w:tcBorders>
              <w:top w:val="single" w:color="CCCCCC" w:sz="1"/>
              <w:left w:val="single" w:color="CCCCCC" w:sz="1"/>
              <w:bottom w:val="single" w:color="CCCCCC" w:sz="1"/>
              <w:right w:val="single" w:color="CCCCCC" w:sz="1"/>
            </w:tcBorders>
            <w:shd w:fill="EDF1F8"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bCs/>
                <w:i w:val="false"/>
                <w:iCs w:val="false"/>
                <w:color w:val="0B1F45"/>
                <w:sz w:val="20"/>
                <w:szCs w:val="20"/>
              </w:rPr>
              <w:t xml:space="preserve">معالجة الاختلاف</w:t>
            </w:r>
          </w:p>
        </w:tc>
        <w:tc>
          <w:tcPr>
            <w:tcW w:type="dxa" w:w="26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تحديه أو إثباته</w:t>
            </w:r>
          </w:p>
        </w:tc>
        <w:tc>
          <w:tcPr>
            <w:tcW w:type="dxa" w:w="26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جدل لا ينتهي بحكم الأجندات</w:t>
            </w:r>
          </w:p>
        </w:tc>
        <w:tc>
          <w:tcPr>
            <w:tcW w:type="dxa" w:w="2600"/>
            <w:tcBorders>
              <w:top w:val="single" w:color="CCCCCC" w:sz="1"/>
              <w:left w:val="single" w:color="CCCCCC" w:sz="1"/>
              <w:bottom w:val="single" w:color="CCCCCC" w:sz="1"/>
              <w:right w:val="single" w:color="CCCCCC" w:sz="1"/>
            </w:tcBorders>
            <w:shd w:fill="FFFFFF" w:val="clear"/>
            <w:tcMar>
              <w:top w:type="dxa" w:w="80"/>
              <w:left w:type="dxa" w:w="110"/>
              <w:bottom w:type="dxa" w:w="80"/>
              <w:right w:type="dxa" w:w="110"/>
            </w:tcMar>
            <w:vAlign w:val="center"/>
          </w:tcPr>
          <w:p>
            <w:pPr>
              <w:bidi/>
              <w:jc w:val="both"/>
            </w:pPr>
            <w:r>
              <w:rPr>
                <w:rFonts w:ascii="Traditional Arabic" w:cs="Traditional Arabic" w:eastAsia="Traditional Arabic" w:hAnsi="Traditional Arabic"/>
                <w:b w:val="false"/>
                <w:bCs w:val="false"/>
                <w:i w:val="false"/>
                <w:iCs w:val="false"/>
                <w:color w:val="1A1A1A"/>
                <w:sz w:val="20"/>
                <w:szCs w:val="20"/>
              </w:rPr>
              <w:t xml:space="preserve">قبوله كآية وتوجيهه نحو العمران</w:t>
            </w:r>
          </w:p>
        </w:tc>
      </w:tr>
    </w:tbl>
    <w:p>
      <w:pPr>
        <w:spacing w:after="0" w:before="0"/>
      </w:pPr>
      <w:r>
        <w:rPr>
          <w:sz w:val="24"/>
          <w:szCs w:val="24"/>
        </w:rPr>
        <w:t xml:space="preserve"/>
      </w:r>
    </w:p>
    <w:p>
      <w:pPr>
        <w:pBdr>
          <w:bottom w:val="single" w:color="0C6060" w:sz="4" w:space="3"/>
        </w:pBdr>
        <w:bidi/>
        <w:spacing w:after="130" w:before="220"/>
      </w:pPr>
      <w:r>
        <w:rPr>
          <w:rFonts w:ascii="Traditional Arabic" w:cs="Traditional Arabic" w:eastAsia="Traditional Arabic" w:hAnsi="Traditional Arabic"/>
          <w:b/>
          <w:bCs/>
          <w:i w:val="false"/>
          <w:iCs w:val="false"/>
          <w:color w:val="0C6060"/>
          <w:sz w:val="30"/>
          <w:szCs w:val="30"/>
        </w:rPr>
        <w:t xml:space="preserve">6.1 من «من الأفضل؟» إلى «ما الوظيفة الاستخلافية؟»</w:t>
      </w:r>
    </w:p>
    <w:p>
      <w:pPr>
        <w:bidi/>
        <w:spacing w:after="110" w:before="110" w:line="336"/>
        <w:ind w:firstLine="720"/>
        <w:jc w:val="both"/>
      </w:pPr>
      <w:r>
        <w:rPr>
          <w:rFonts w:ascii="Traditional Arabic" w:cs="Traditional Arabic" w:eastAsia="Traditional Arabic" w:hAnsi="Traditional Arabic"/>
          <w:b w:val="false"/>
          <w:bCs w:val="false"/>
          <w:i w:val="false"/>
          <w:iCs w:val="false"/>
          <w:color w:val="111111"/>
          <w:sz w:val="26"/>
          <w:szCs w:val="26"/>
        </w:rPr>
        <w:t xml:space="preserve">السؤال الحاكم لعقود في هذا الحقل —صريحاً أو ضمنياً— كان: «هل الذكر أم الأنثى أفضل في X؟». وهذا سؤال يحمل في بنيته افتراضاً قاتلاً: أن X معيار ثابت وكوني للقيمة الإدراكية. حين تكون «X» هي الذاكرة اللفظية، تكسب المرأة. وحين تكون «X» التدوير المكاني، يكسب الرجل. وتُصبح الدراسة سباقاً دائماً لا نهاية له.</w:t>
      </w:r>
    </w:p>
    <w:p>
      <w:pPr>
        <w:bidi/>
        <w:spacing w:after="110" w:before="110" w:line="336"/>
        <w:ind w:firstLine="720"/>
        <w:jc w:val="both"/>
      </w:pPr>
      <w:r>
        <w:rPr>
          <w:rFonts w:ascii="Traditional Arabic" w:cs="Traditional Arabic" w:eastAsia="Traditional Arabic" w:hAnsi="Traditional Arabic"/>
          <w:b w:val="false"/>
          <w:bCs w:val="false"/>
          <w:i w:val="false"/>
          <w:iCs w:val="false"/>
          <w:color w:val="111111"/>
          <w:sz w:val="26"/>
          <w:szCs w:val="26"/>
        </w:rPr>
        <w:t xml:space="preserve">الإطار الاستخلافي يكسر هذا الإطار ويسأل: ما الوظيفة التي فُطرت هذه النفس على إتقانها؟ وكيف يُكمل التنوع الإدراكي بين الأفراد —بمعزل عن الجنس— العمرانَ الإنساني؟ هذا ليس هرباً من الأسئلة العلمية بل تصحيحاً لما يُراد من العلم.</w:t>
      </w:r>
    </w:p>
    <w:p>
      <w:pPr>
        <w:pBdr>
          <w:bottom w:val="single" w:color="0C6060" w:sz="4" w:space="3"/>
        </w:pBdr>
        <w:bidi/>
        <w:spacing w:after="130" w:before="220"/>
      </w:pPr>
      <w:r>
        <w:rPr>
          <w:rFonts w:ascii="Traditional Arabic" w:cs="Traditional Arabic" w:eastAsia="Traditional Arabic" w:hAnsi="Traditional Arabic"/>
          <w:b/>
          <w:bCs/>
          <w:i w:val="false"/>
          <w:iCs w:val="false"/>
          <w:color w:val="0C6060"/>
          <w:sz w:val="30"/>
          <w:szCs w:val="30"/>
        </w:rPr>
        <w:t xml:space="preserve">6.2 المرأة في الإطار الاستخلافي: خليفة بفطرة مختصة</w:t>
      </w:r>
    </w:p>
    <w:p>
      <w:pPr>
        <w:bidi/>
        <w:spacing w:after="110" w:before="110" w:line="336"/>
        <w:ind w:firstLine="720"/>
        <w:jc w:val="both"/>
      </w:pPr>
      <w:r>
        <w:rPr>
          <w:rFonts w:ascii="Traditional Arabic" w:cs="Traditional Arabic" w:eastAsia="Traditional Arabic" w:hAnsi="Traditional Arabic"/>
          <w:b w:val="false"/>
          <w:bCs w:val="false"/>
          <w:i w:val="false"/>
          <w:iCs w:val="false"/>
          <w:color w:val="111111"/>
          <w:sz w:val="26"/>
          <w:szCs w:val="26"/>
        </w:rPr>
        <w:t xml:space="preserve">الوحي القرآني حدّد الاستخلاف مهمةً إنسانية مطلقة لا تُخصَّص بجنس: «إني جاعل في الأرض خليفة» — والخليفة في النص القرآني إنسان لا ذكر ولا أنثى. ثم تُفصّل السنة النبوية المسؤولية: «كلكم راعٍ وكلكم مسؤول عن رعيته» — والمرأة راعية في بيتها زوجها ومسؤولة، والأم «جنة تحت أقدامها».</w:t>
      </w:r>
    </w:p>
    <w:p>
      <w:pPr>
        <w:pBdr>
          <w:top w:val="single" w:color="1A5C35" w:sz="3"/>
          <w:left w:val="thick" w:color="1A5C35" w:sz="12"/>
          <w:bottom w:val="single" w:color="1A5C35" w:sz="3"/>
          <w:right w:val="single" w:color="1A5C35" w:sz="3"/>
        </w:pBdr>
        <w:shd w:fill="E8F5EE" w:val="clear"/>
        <w:bidi/>
        <w:spacing w:after="160" w:before="160"/>
        <w:ind w:left="360" w:right="360"/>
        <w:jc w:val="both"/>
      </w:pPr>
      <w:r>
        <w:rPr>
          <w:rFonts w:ascii="Traditional Arabic" w:cs="Traditional Arabic" w:eastAsia="Traditional Arabic" w:hAnsi="Traditional Arabic"/>
          <w:b w:val="false"/>
          <w:bCs w:val="false"/>
          <w:i/>
          <w:iCs/>
          <w:color w:val="0A2E12"/>
          <w:sz w:val="24"/>
          <w:szCs w:val="24"/>
        </w:rPr>
        <w:t xml:space="preserve">«كُلُّكُمْ رَاعٍ وَكُلُّكُمْ مَسْؤُولٌ عَنْ رَعِيَّتِهِ»</w:t>
      </w:r>
      <w:r>
        <w:rPr>
          <w:rFonts w:ascii="Traditional Arabic" w:cs="Traditional Arabic" w:eastAsia="Traditional Arabic" w:hAnsi="Traditional Arabic"/>
          <w:b w:val="false"/>
          <w:bCs w:val="false"/>
          <w:i w:val="false"/>
          <w:iCs w:val="false"/>
          <w:color w:val="1A5C35"/>
          <w:sz w:val="20"/>
          <w:szCs w:val="20"/>
        </w:rPr>
        <w:t xml:space="preserve">  (رواه البخاري ومسلم، صحيح البخاري رقم 893) — الاستخلاف مسؤولية مشتركة بلا تراتب بين الجنسين</w:t>
      </w:r>
    </w:p>
    <w:p>
      <w:pPr>
        <w:bidi/>
        <w:spacing w:after="110" w:before="110" w:line="336"/>
        <w:ind w:firstLine="720"/>
        <w:jc w:val="both"/>
      </w:pPr>
      <w:r>
        <w:rPr>
          <w:rFonts w:ascii="Traditional Arabic" w:cs="Traditional Arabic" w:eastAsia="Traditional Arabic" w:hAnsi="Traditional Arabic"/>
          <w:b w:val="false"/>
          <w:bCs w:val="false"/>
          <w:i w:val="false"/>
          <w:iCs w:val="false"/>
          <w:color w:val="111111"/>
          <w:sz w:val="26"/>
          <w:szCs w:val="26"/>
        </w:rPr>
        <w:t xml:space="preserve">وما تُبيّنه الأبحاث —حين تُقرأ بعيون استخلافية— هو أن أنماط الإدراك قد تتباين نسبياً في المتوسطات، وأن هذا التباين —إن صحّ— لا يُعني تراتباً بل تكاملاً. كما أن يد اليمين ليست «أفضل» من يد اليسار بل هما «يدان» تعملان معاً لتُنجز ما لا تستطيع إحداهما منفردة.</w:t>
      </w:r>
    </w:p>
    <w:p>
      <w:pPr>
        <w:pBdr>
          <w:top w:val="single" w:color="8B6914" w:sz="4"/>
          <w:left w:val="thick" w:color="8B6914" w:sz="12"/>
          <w:bottom w:val="single" w:color="8B6914" w:sz="4"/>
          <w:right w:val="thick" w:color="8B6914" w:sz="12"/>
        </w:pBdr>
        <w:shd w:fill="FCF7E8" w:val="clear"/>
        <w:bidi/>
        <w:spacing w:after="180" w:before="180"/>
        <w:ind w:left="360" w:right="360"/>
        <w:jc w:val="center"/>
      </w:pPr>
      <w:r>
        <w:rPr>
          <w:rFonts w:ascii="Traditional Arabic" w:cs="Traditional Arabic" w:eastAsia="Traditional Arabic" w:hAnsi="Traditional Arabic"/>
          <w:b/>
          <w:bCs/>
          <w:i w:val="false"/>
          <w:iCs w:val="false"/>
          <w:color w:val="3B2000"/>
          <w:sz w:val="29"/>
          <w:szCs w:val="29"/>
        </w:rPr>
        <w:t xml:space="preserve">يَا أَيُّهَا النَّاسُ إِنَّا خَلَقْنَاكُم مِّن ذَكَرٍ وَأُنثَى وَجَعَلْنَاكُمْ شُعُوبًا وَقَبَائِلَ لِتَعَارَفُوا</w:t>
      </w:r>
      <w:r>
        <w:rPr>
          <w:rFonts w:ascii="Traditional Arabic" w:cs="Traditional Arabic" w:eastAsia="Traditional Arabic" w:hAnsi="Traditional Arabic"/>
          <w:b w:val="false"/>
          <w:bCs w:val="false"/>
          <w:i/>
          <w:iCs/>
          <w:color w:val="8B6914"/>
          <w:sz w:val="21"/>
          <w:szCs w:val="21"/>
        </w:rPr>
        <w:t xml:space="preserve">  (الحجرات: 13) — الاختلاف لغاية التعارف والتكامل لا لغاية التراتب</w:t>
      </w:r>
    </w:p>
    <w:p>
      <w:pPr>
        <w:pBdr>
          <w:bottom w:val="single" w:color="0C6060" w:sz="4" w:space="3"/>
        </w:pBdr>
        <w:bidi/>
        <w:spacing w:after="130" w:before="220"/>
      </w:pPr>
      <w:r>
        <w:rPr>
          <w:rFonts w:ascii="Traditional Arabic" w:cs="Traditional Arabic" w:eastAsia="Traditional Arabic" w:hAnsi="Traditional Arabic"/>
          <w:b/>
          <w:bCs/>
          <w:i w:val="false"/>
          <w:iCs w:val="false"/>
          <w:color w:val="0C6060"/>
          <w:sz w:val="30"/>
          <w:szCs w:val="30"/>
        </w:rPr>
        <w:t xml:space="preserve">6.3 نقد ثقافوية الاستشهاد بالفروق</w:t>
      </w:r>
    </w:p>
    <w:p>
      <w:pPr>
        <w:bidi/>
        <w:spacing w:after="110" w:before="110" w:line="336"/>
        <w:ind w:firstLine="720"/>
        <w:jc w:val="both"/>
      </w:pPr>
      <w:r>
        <w:rPr>
          <w:rFonts w:ascii="Traditional Arabic" w:cs="Traditional Arabic" w:eastAsia="Traditional Arabic" w:hAnsi="Traditional Arabic"/>
          <w:b w:val="false"/>
          <w:bCs w:val="false"/>
          <w:i w:val="false"/>
          <w:iCs w:val="false"/>
          <w:color w:val="111111"/>
          <w:sz w:val="26"/>
          <w:szCs w:val="26"/>
        </w:rPr>
        <w:t xml:space="preserve">يُلاحَظ في أدبيات كثيرة —علمانية ودينية على حد سواء— توظيف نتائج الفروق بين الجنسين لتبرير أوضاع اجتماعية قائمة. الطرف الأول يستشهد بها لإثبات «التكوين» الطبيعي للأدوار. والطرف الثاني يستشهد بها لإثبات نفيه. كلاهما يرتكب الخطأ المنهجي ذاته: الانتقاء الانتقائي للنتائج التي تُؤيّد الموقف المسبق، وإغفال التعقيد والتحفظات.</w:t>
      </w:r>
    </w:p>
    <w:p>
      <w:pPr>
        <w:bidi/>
        <w:spacing w:after="110" w:before="110" w:line="336"/>
        <w:ind w:firstLine="720"/>
        <w:jc w:val="both"/>
      </w:pPr>
      <w:r>
        <w:rPr>
          <w:rFonts w:ascii="Traditional Arabic" w:cs="Traditional Arabic" w:eastAsia="Traditional Arabic" w:hAnsi="Traditional Arabic"/>
          <w:b w:val="false"/>
          <w:bCs w:val="false"/>
          <w:i w:val="false"/>
          <w:iCs w:val="false"/>
          <w:color w:val="111111"/>
          <w:sz w:val="26"/>
          <w:szCs w:val="26"/>
        </w:rPr>
        <w:t xml:space="preserve">والموقف الاستخلافي يرفض هذا التوظيف الاتجاهي ويقبل العلم بما فيه من تعقيد وتحفظات وحدود، مُؤمناً بأن الحق لا يحتاج إلى انتقاء الأدلة. فإذا أثبت العلم غداً أن لا فرق بنيوي جوهري بين دماغ المرأة والرجل، لا يتزعزع الإطار الاستخلافي لأنه لم يُبنَ أصلاً على هذه الفروق بل على الوحي.</w:t>
      </w:r>
    </w:p>
    <w:p>
      <w:pPr>
        <w:pageBreakBefore/>
        <w:pBdr>
          <w:bottom w:val="thick" w:color="8B6914" w:sz="10" w:space="5"/>
        </w:pBdr>
        <w:bidi/>
        <w:spacing w:after="160" w:before="240"/>
      </w:pPr>
      <w:r>
        <w:rPr>
          <w:rFonts w:ascii="Traditional Arabic" w:cs="Traditional Arabic" w:eastAsia="Traditional Arabic" w:hAnsi="Traditional Arabic"/>
          <w:b/>
          <w:bCs/>
          <w:i w:val="false"/>
          <w:iCs w:val="false"/>
          <w:color w:val="0B1F45"/>
          <w:sz w:val="36"/>
          <w:szCs w:val="36"/>
        </w:rPr>
        <w:t xml:space="preserve">خاتمة — علم متواضع في خدمة إنسانية كريمة</w:t>
      </w:r>
    </w:p>
    <w:p>
      <w:pPr>
        <w:bidi/>
        <w:spacing w:after="110" w:before="110" w:line="336"/>
        <w:ind w:firstLine="720"/>
        <w:jc w:val="both"/>
      </w:pPr>
      <w:r>
        <w:rPr>
          <w:rFonts w:ascii="Traditional Arabic" w:cs="Traditional Arabic" w:eastAsia="Traditional Arabic" w:hAnsi="Traditional Arabic"/>
          <w:b w:val="false"/>
          <w:bCs w:val="false"/>
          <w:i w:val="false"/>
          <w:iCs w:val="false"/>
          <w:color w:val="111111"/>
          <w:sz w:val="26"/>
          <w:szCs w:val="26"/>
        </w:rPr>
        <w:t xml:space="preserve">يُمثّل الفصل الأصلي خطوة نقدية واجبة في تصحيح المبالغات التي شاعت في أدبيات الفروق بين الجنسين في الدماغ. وهذا التعميق يُضيف طبقتين فوق تلك الخطوة: طبقة منهجية تُشخّص الخلل في بنية الحقل البحثي ذاته، وطبقة أبستيمولوجية تُعيد صياغة السؤال كلياً من منظور استخلافي.</w:t>
      </w:r>
    </w:p>
    <w:p>
      <w:pPr>
        <w:bidi/>
        <w:spacing w:after="110" w:before="110" w:line="336"/>
        <w:ind w:firstLine="720"/>
        <w:jc w:val="both"/>
      </w:pPr>
      <w:r>
        <w:rPr>
          <w:rFonts w:ascii="Traditional Arabic" w:cs="Traditional Arabic" w:eastAsia="Traditional Arabic" w:hAnsi="Traditional Arabic"/>
          <w:b w:val="false"/>
          <w:bCs w:val="false"/>
          <w:i w:val="false"/>
          <w:iCs w:val="false"/>
          <w:color w:val="111111"/>
          <w:sz w:val="26"/>
          <w:szCs w:val="26"/>
        </w:rPr>
        <w:t xml:space="preserve">الخلاصة العلمية: ثمة فروق حقيقية بين متوسطات المجموعتين في بعض الأبعاد البيولوجية-العصبية، لكنها صغيرة، ومتداخلة، ومحاطة بعدم يقين منهجي، ويُفسّرها جزئياً عوامل غير بيولوجية، وأهم من كل ذلك: حجمها أصغر بكثير من التباين داخل كل مجموعة على حدة. وبناء عليها سياسات تعليمية أو اجتماعية ثنائية الجنس هو استخدام العلم بما لا يحتمله.</w:t>
      </w:r>
    </w:p>
    <w:p>
      <w:pPr>
        <w:bidi/>
        <w:spacing w:after="110" w:before="110" w:line="336"/>
        <w:ind w:firstLine="720"/>
        <w:jc w:val="both"/>
      </w:pPr>
      <w:r>
        <w:rPr>
          <w:rFonts w:ascii="Traditional Arabic" w:cs="Traditional Arabic" w:eastAsia="Traditional Arabic" w:hAnsi="Traditional Arabic"/>
          <w:b w:val="false"/>
          <w:bCs w:val="false"/>
          <w:i w:val="false"/>
          <w:iCs w:val="false"/>
          <w:color w:val="111111"/>
          <w:sz w:val="26"/>
          <w:szCs w:val="26"/>
        </w:rPr>
        <w:t xml:space="preserve">والخلاصة الاستخلافية: التنوع في الفطرة الإدراكية —سواء كان مرتبطاً بالجنس أو مستقلاً عنه— هو آية من آيات الله في الأنفس. والعلم الصالح هو الذي يُعيننا على قراءة هذه الآية لخدمة العمران، لا الذي يُوظّفها في سجالات التراتب.</w:t>
      </w:r>
    </w:p>
    <w:p>
      <w:pPr>
        <w:pBdr>
          <w:top w:val="single" w:color="8B6914" w:sz="4"/>
          <w:left w:val="thick" w:color="8B6914" w:sz="12"/>
          <w:bottom w:val="single" w:color="8B6914" w:sz="4"/>
          <w:right w:val="thick" w:color="8B6914" w:sz="12"/>
        </w:pBdr>
        <w:shd w:fill="FCF7E8" w:val="clear"/>
        <w:bidi/>
        <w:spacing w:after="180" w:before="180"/>
        <w:ind w:left="360" w:right="360"/>
        <w:jc w:val="center"/>
      </w:pPr>
      <w:r>
        <w:rPr>
          <w:rFonts w:ascii="Traditional Arabic" w:cs="Traditional Arabic" w:eastAsia="Traditional Arabic" w:hAnsi="Traditional Arabic"/>
          <w:b/>
          <w:bCs/>
          <w:i w:val="false"/>
          <w:iCs w:val="false"/>
          <w:color w:val="3B2000"/>
          <w:sz w:val="29"/>
          <w:szCs w:val="29"/>
        </w:rPr>
        <w:t xml:space="preserve">سَنُرِيهِمْ آيَاتِنَا فِي الْآفَاقِ وَفِي أَنفُسِهِمْ حَتَّى يَتَبَيَّنَ لَهُمْ أَنَّهُ الْحَقُّ</w:t>
      </w:r>
      <w:r>
        <w:rPr>
          <w:rFonts w:ascii="Traditional Arabic" w:cs="Traditional Arabic" w:eastAsia="Traditional Arabic" w:hAnsi="Traditional Arabic"/>
          <w:b w:val="false"/>
          <w:bCs w:val="false"/>
          <w:i/>
          <w:iCs/>
          <w:color w:val="8B6914"/>
          <w:sz w:val="21"/>
          <w:szCs w:val="21"/>
        </w:rPr>
        <w:t xml:space="preserve">  (فصلت: 53)</w:t>
      </w:r>
    </w:p>
    <w:p>
      <w:pPr>
        <w:bidi/>
        <w:spacing w:after="120" w:before="280"/>
        <w:jc w:val="center"/>
      </w:pPr>
      <w:r>
        <w:rPr>
          <w:rFonts w:ascii="Traditional Arabic" w:cs="Traditional Arabic" w:eastAsia="Traditional Arabic" w:hAnsi="Traditional Arabic"/>
          <w:b/>
          <w:bCs/>
          <w:i w:val="false"/>
          <w:iCs w:val="false"/>
          <w:color w:val="8B6914"/>
          <w:sz w:val="28"/>
          <w:szCs w:val="28"/>
        </w:rPr>
        <w:t xml:space="preserve">وما توفيقي إلا بالله، عليه توكلت وإليه أنيب.</w:t>
      </w:r>
    </w:p>
    <w:p>
      <w:r>
        <w:br w:type="page"/>
      </w:r>
    </w:p>
    <w:p>
      <w:pPr>
        <w:pageBreakBefore/>
        <w:pBdr>
          <w:bottom w:val="thick" w:color="8B6914" w:sz="10" w:space="5"/>
        </w:pBdr>
        <w:bidi/>
        <w:spacing w:after="160" w:before="240"/>
      </w:pPr>
      <w:r>
        <w:rPr>
          <w:rFonts w:ascii="Traditional Arabic" w:cs="Traditional Arabic" w:eastAsia="Traditional Arabic" w:hAnsi="Traditional Arabic"/>
          <w:b/>
          <w:bCs/>
          <w:i w:val="false"/>
          <w:iCs w:val="false"/>
          <w:color w:val="0B1F45"/>
          <w:sz w:val="36"/>
          <w:szCs w:val="36"/>
        </w:rPr>
        <w:t xml:space="preserve">قائمة المراجع — توثيق APA</w:t>
      </w:r>
    </w:p>
    <w:p>
      <w:pPr>
        <w:pBdr>
          <w:bottom w:val="single" w:color="0C6060" w:sz="4" w:space="3"/>
        </w:pBdr>
        <w:bidi/>
        <w:spacing w:after="130" w:before="220"/>
      </w:pPr>
      <w:r>
        <w:rPr>
          <w:rFonts w:ascii="Traditional Arabic" w:cs="Traditional Arabic" w:eastAsia="Traditional Arabic" w:hAnsi="Traditional Arabic"/>
          <w:b/>
          <w:bCs/>
          <w:i w:val="false"/>
          <w:iCs w:val="false"/>
          <w:color w:val="0C6060"/>
          <w:sz w:val="30"/>
          <w:szCs w:val="30"/>
        </w:rPr>
        <w:t xml:space="preserve">أولاً: المراجع الأساسية في الفصل الأصلي (موسَّعة)</w:t>
      </w:r>
    </w:p>
    <w:p>
      <w:pPr>
        <w:bidi w:val="false"/>
        <w:spacing w:after="90" w:before="90" w:line="290"/>
        <w:ind w:left="720" w:hanging="720"/>
        <w:jc w:val="left"/>
      </w:pPr>
      <w:r>
        <w:rPr>
          <w:rFonts w:ascii="Times New Roman" w:cs="Times New Roman" w:eastAsia="Times New Roman" w:hAnsi="Times New Roman"/>
          <w:b w:val="false"/>
          <w:bCs w:val="false"/>
          <w:i w:val="false"/>
          <w:iCs w:val="false"/>
          <w:color w:val="222222"/>
          <w:sz w:val="19"/>
          <w:szCs w:val="19"/>
        </w:rPr>
        <w:t xml:space="preserve">Ingalhalikar, M., Smith, A., Parker, D., Satterthwaite, T. D., Elliott, M. A., Ruparel, K., ... &amp; Verma, R. (2014). Sex differences in the structural connectome of the human brain. Proceedings of the National Academy of Sciences, 111(2), 823–828. https://doi.org/10.1073/pnas.1316909110</w:t>
      </w:r>
    </w:p>
    <w:p>
      <w:pPr>
        <w:bidi w:val="false"/>
        <w:spacing w:after="90" w:before="90" w:line="290"/>
        <w:ind w:left="720" w:hanging="720"/>
        <w:jc w:val="left"/>
      </w:pPr>
      <w:r>
        <w:rPr>
          <w:rFonts w:ascii="Times New Roman" w:cs="Times New Roman" w:eastAsia="Times New Roman" w:hAnsi="Times New Roman"/>
          <w:b w:val="false"/>
          <w:bCs w:val="false"/>
          <w:i w:val="false"/>
          <w:iCs w:val="false"/>
          <w:color w:val="222222"/>
          <w:sz w:val="19"/>
          <w:szCs w:val="19"/>
        </w:rPr>
        <w:t xml:space="preserve">Davatzikos, C., &amp; Resnick, S. M. (1998). Sex differences in anatomic measures of interhemispheric connectivity: Correlations with cognition in women but not men. Cerebral Cortex, 8(7), 635–640.</w:t>
      </w:r>
    </w:p>
    <w:p>
      <w:pPr>
        <w:bidi w:val="false"/>
        <w:spacing w:after="90" w:before="90" w:line="290"/>
        <w:ind w:left="720" w:hanging="720"/>
        <w:jc w:val="left"/>
      </w:pPr>
      <w:r>
        <w:rPr>
          <w:rFonts w:ascii="Times New Roman" w:cs="Times New Roman" w:eastAsia="Times New Roman" w:hAnsi="Times New Roman"/>
          <w:b w:val="false"/>
          <w:bCs w:val="false"/>
          <w:i w:val="false"/>
          <w:iCs w:val="false"/>
          <w:color w:val="222222"/>
          <w:sz w:val="19"/>
          <w:szCs w:val="19"/>
        </w:rPr>
        <w:t xml:space="preserve">Kanaan, R. A., Allin, M., Picchioni, M., Shergill, S. S., &amp; McGuire, P. K. (2014). A critical re-examination of sexual dimorphism in the corpus callosum microstructure. NeuroImage, 85, 895–901.</w:t>
      </w:r>
    </w:p>
    <w:p>
      <w:pPr>
        <w:bidi w:val="false"/>
        <w:spacing w:after="90" w:before="90" w:line="290"/>
        <w:ind w:left="720" w:hanging="720"/>
        <w:jc w:val="left"/>
      </w:pPr>
      <w:r>
        <w:rPr>
          <w:rFonts w:ascii="Times New Roman" w:cs="Times New Roman" w:eastAsia="Times New Roman" w:hAnsi="Times New Roman"/>
          <w:b w:val="false"/>
          <w:bCs w:val="false"/>
          <w:i w:val="false"/>
          <w:iCs w:val="false"/>
          <w:color w:val="222222"/>
          <w:sz w:val="19"/>
          <w:szCs w:val="19"/>
        </w:rPr>
        <w:t xml:space="preserve">Schmithorst, V. J., &amp; Holland, S. K. (2007). Sex differences in the development of neuroanatomical functional connectivity underlying verbal fluency. Brain and Language, 102(3), 262–273.</w:t>
      </w:r>
    </w:p>
    <w:p>
      <w:pPr>
        <w:bidi w:val="false"/>
        <w:spacing w:after="90" w:before="90" w:line="290"/>
        <w:ind w:left="720" w:hanging="720"/>
        <w:jc w:val="left"/>
      </w:pPr>
      <w:r>
        <w:rPr>
          <w:rFonts w:ascii="Times New Roman" w:cs="Times New Roman" w:eastAsia="Times New Roman" w:hAnsi="Times New Roman"/>
          <w:b w:val="false"/>
          <w:bCs w:val="false"/>
          <w:i w:val="false"/>
          <w:iCs w:val="false"/>
          <w:color w:val="222222"/>
          <w:sz w:val="19"/>
          <w:szCs w:val="19"/>
        </w:rPr>
        <w:t xml:space="preserve">Hyde, J. S. (2005). The gender similarities hypothesis. American Psychologist, 60(6), 581–592. https://doi.org/10.1037/0003-066X.60.6.581</w:t>
      </w:r>
    </w:p>
    <w:p>
      <w:pPr>
        <w:bidi w:val="false"/>
        <w:spacing w:after="90" w:before="90" w:line="290"/>
        <w:ind w:left="720" w:hanging="720"/>
        <w:jc w:val="left"/>
      </w:pPr>
      <w:r>
        <w:rPr>
          <w:rFonts w:ascii="Times New Roman" w:cs="Times New Roman" w:eastAsia="Times New Roman" w:hAnsi="Times New Roman"/>
          <w:b w:val="false"/>
          <w:bCs w:val="false"/>
          <w:i w:val="false"/>
          <w:iCs w:val="false"/>
          <w:color w:val="222222"/>
          <w:sz w:val="19"/>
          <w:szCs w:val="19"/>
        </w:rPr>
        <w:t xml:space="preserve">Tschernegg, M., Neuper, C., Schmidt, R., Wood, G., Kronbichler, M., Fazekas, F., ... &amp; Koini, M. (2017). fMRI to probe sex-related differences in brain function with multitasking. PLOS ONE, 12(7), e0181554.</w:t>
      </w:r>
    </w:p>
    <w:p>
      <w:pPr>
        <w:pBdr>
          <w:bottom w:val="single" w:color="0C6060" w:sz="4" w:space="3"/>
        </w:pBdr>
        <w:bidi/>
        <w:spacing w:after="130" w:before="220"/>
      </w:pPr>
      <w:r>
        <w:rPr>
          <w:rFonts w:ascii="Traditional Arabic" w:cs="Traditional Arabic" w:eastAsia="Traditional Arabic" w:hAnsi="Traditional Arabic"/>
          <w:b/>
          <w:bCs/>
          <w:i w:val="false"/>
          <w:iCs w:val="false"/>
          <w:color w:val="0C6060"/>
          <w:sz w:val="30"/>
          <w:szCs w:val="30"/>
        </w:rPr>
        <w:t xml:space="preserve">ثانياً: المراجع الجديدة للتعميق</w:t>
      </w:r>
    </w:p>
    <w:p>
      <w:pPr>
        <w:bidi w:val="false"/>
        <w:spacing w:after="90" w:before="90" w:line="290"/>
        <w:ind w:left="720" w:hanging="720"/>
        <w:jc w:val="left"/>
      </w:pPr>
      <w:r>
        <w:rPr>
          <w:rFonts w:ascii="Times New Roman" w:cs="Times New Roman" w:eastAsia="Times New Roman" w:hAnsi="Times New Roman"/>
          <w:b w:val="false"/>
          <w:bCs w:val="false"/>
          <w:i w:val="false"/>
          <w:iCs w:val="false"/>
          <w:color w:val="222222"/>
          <w:sz w:val="19"/>
          <w:szCs w:val="19"/>
        </w:rPr>
        <w:t xml:space="preserve">Bishop, K. M., &amp; Wahlsten, D. (1997). Sex differences in the human corpus callosum: Myth or reality? Neuroscience &amp; Biobehavioral Reviews, 21(5), 581–601.</w:t>
      </w:r>
    </w:p>
    <w:p>
      <w:pPr>
        <w:bidi w:val="false"/>
        <w:spacing w:after="90" w:before="90" w:line="290"/>
        <w:ind w:left="720" w:hanging="720"/>
        <w:jc w:val="left"/>
      </w:pPr>
      <w:r>
        <w:rPr>
          <w:rFonts w:ascii="Times New Roman" w:cs="Times New Roman" w:eastAsia="Times New Roman" w:hAnsi="Times New Roman"/>
          <w:b w:val="false"/>
          <w:bCs w:val="false"/>
          <w:i w:val="false"/>
          <w:iCs w:val="false"/>
          <w:color w:val="222222"/>
          <w:sz w:val="19"/>
          <w:szCs w:val="19"/>
        </w:rPr>
        <w:t xml:space="preserve">Fine, C. (2010). Delusions of gender: How our minds, society, and neurosexism create difference. W. W. Norton.</w:t>
      </w:r>
    </w:p>
    <w:p>
      <w:pPr>
        <w:bidi w:val="false"/>
        <w:spacing w:after="90" w:before="90" w:line="290"/>
        <w:ind w:left="720" w:hanging="720"/>
        <w:jc w:val="left"/>
      </w:pPr>
      <w:r>
        <w:rPr>
          <w:rFonts w:ascii="Times New Roman" w:cs="Times New Roman" w:eastAsia="Times New Roman" w:hAnsi="Times New Roman"/>
          <w:b w:val="false"/>
          <w:bCs w:val="false"/>
          <w:i w:val="false"/>
          <w:iCs w:val="false"/>
          <w:color w:val="222222"/>
          <w:sz w:val="19"/>
          <w:szCs w:val="19"/>
        </w:rPr>
        <w:t xml:space="preserve">Fine, C. (2017). Testosterone rex: Myths of sex, science, and society. W. W. Norton.</w:t>
      </w:r>
    </w:p>
    <w:p>
      <w:pPr>
        <w:bidi w:val="false"/>
        <w:spacing w:after="90" w:before="90" w:line="290"/>
        <w:ind w:left="720" w:hanging="720"/>
        <w:jc w:val="left"/>
      </w:pPr>
      <w:r>
        <w:rPr>
          <w:rFonts w:ascii="Times New Roman" w:cs="Times New Roman" w:eastAsia="Times New Roman" w:hAnsi="Times New Roman"/>
          <w:b w:val="false"/>
          <w:bCs w:val="false"/>
          <w:i w:val="false"/>
          <w:iCs w:val="false"/>
          <w:color w:val="222222"/>
          <w:sz w:val="19"/>
          <w:szCs w:val="19"/>
        </w:rPr>
        <w:t xml:space="preserve">Halpern, D. F. (2012). Sex differences in cognitive abilities (4th ed.). Psychology Press.</w:t>
      </w:r>
    </w:p>
    <w:p>
      <w:pPr>
        <w:bidi w:val="false"/>
        <w:spacing w:after="90" w:before="90" w:line="290"/>
        <w:ind w:left="720" w:hanging="720"/>
        <w:jc w:val="left"/>
      </w:pPr>
      <w:r>
        <w:rPr>
          <w:rFonts w:ascii="Times New Roman" w:cs="Times New Roman" w:eastAsia="Times New Roman" w:hAnsi="Times New Roman"/>
          <w:b w:val="false"/>
          <w:bCs w:val="false"/>
          <w:i w:val="false"/>
          <w:iCs w:val="false"/>
          <w:color w:val="222222"/>
          <w:sz w:val="19"/>
          <w:szCs w:val="19"/>
        </w:rPr>
        <w:t xml:space="preserve">Hammarström, A., Johansson, K., Annandale, E., Ahlgren, C., Aléx, L., Christianson, M., ... &amp; Westman, G. (2014). Central gender theoretical concepts in health research: The State of the Art. Journal of Epidemiology and Community Health, 68(2), 185–190.</w:t>
      </w:r>
    </w:p>
    <w:p>
      <w:pPr>
        <w:bidi w:val="false"/>
        <w:spacing w:after="90" w:before="90" w:line="290"/>
        <w:ind w:left="720" w:hanging="720"/>
        <w:jc w:val="left"/>
      </w:pPr>
      <w:r>
        <w:rPr>
          <w:rFonts w:ascii="Times New Roman" w:cs="Times New Roman" w:eastAsia="Times New Roman" w:hAnsi="Times New Roman"/>
          <w:b w:val="false"/>
          <w:bCs w:val="false"/>
          <w:i w:val="false"/>
          <w:iCs w:val="false"/>
          <w:color w:val="222222"/>
          <w:sz w:val="19"/>
          <w:szCs w:val="19"/>
        </w:rPr>
        <w:t xml:space="preserve">Hirnstein, M., Andrews, L., &amp; Hausmann, M. (2014). Gender-stereotyping and cognitive sex differences in mixed- and same-sex groups. Archives of Sexual Behavior, 43(8), 1663–1673.</w:t>
      </w:r>
    </w:p>
    <w:p>
      <w:pPr>
        <w:bidi w:val="false"/>
        <w:spacing w:after="90" w:before="90" w:line="290"/>
        <w:ind w:left="720" w:hanging="720"/>
        <w:jc w:val="left"/>
      </w:pPr>
      <w:r>
        <w:rPr>
          <w:rFonts w:ascii="Times New Roman" w:cs="Times New Roman" w:eastAsia="Times New Roman" w:hAnsi="Times New Roman"/>
          <w:b w:val="false"/>
          <w:bCs w:val="false"/>
          <w:i w:val="false"/>
          <w:iCs w:val="false"/>
          <w:color w:val="222222"/>
          <w:sz w:val="19"/>
          <w:szCs w:val="19"/>
        </w:rPr>
        <w:t xml:space="preserve">Hjelmervik, H., Hausmann, M., Osnes, B., Westerhausen, R., &amp; Specht, K. (2014). Resting states are resting traits — An fMRI study of sex differences and menstrual cycle effects in resting state cognitive control networks. PLOS ONE, 9(7), e103492.</w:t>
      </w:r>
    </w:p>
    <w:p>
      <w:pPr>
        <w:bidi w:val="false"/>
        <w:spacing w:after="90" w:before="90" w:line="290"/>
        <w:ind w:left="720" w:hanging="720"/>
        <w:jc w:val="left"/>
      </w:pPr>
      <w:r>
        <w:rPr>
          <w:rFonts w:ascii="Times New Roman" w:cs="Times New Roman" w:eastAsia="Times New Roman" w:hAnsi="Times New Roman"/>
          <w:b w:val="false"/>
          <w:bCs w:val="false"/>
          <w:i w:val="false"/>
          <w:iCs w:val="false"/>
          <w:color w:val="222222"/>
          <w:sz w:val="19"/>
          <w:szCs w:val="19"/>
        </w:rPr>
        <w:t xml:space="preserve">Joel, D., Berman, Z., Tavor, I., Wexler, N., Gaber, O., Stein, Y., ... &amp; Assaf, Y. (2015). Sex beyond the genitalia: The human brain mosaic. Proceedings of the National Academy of Sciences, 112(50), 15468–15473. https://doi.org/10.1073/pnas.1509654112</w:t>
      </w:r>
    </w:p>
    <w:p>
      <w:pPr>
        <w:bidi w:val="false"/>
        <w:spacing w:after="90" w:before="90" w:line="290"/>
        <w:ind w:left="720" w:hanging="720"/>
        <w:jc w:val="left"/>
      </w:pPr>
      <w:r>
        <w:rPr>
          <w:rFonts w:ascii="Times New Roman" w:cs="Times New Roman" w:eastAsia="Times New Roman" w:hAnsi="Times New Roman"/>
          <w:b w:val="false"/>
          <w:bCs w:val="false"/>
          <w:i w:val="false"/>
          <w:iCs w:val="false"/>
          <w:color w:val="222222"/>
          <w:sz w:val="19"/>
          <w:szCs w:val="19"/>
        </w:rPr>
        <w:t xml:space="preserve">Linn, M. C., &amp; Petersen, A. C. (1985). Emergence and characterization of sex differences in spatial ability: A meta-analysis. Child Development, 56(6), 1479–1498.</w:t>
      </w:r>
    </w:p>
    <w:p>
      <w:pPr>
        <w:bidi w:val="false"/>
        <w:spacing w:after="90" w:before="90" w:line="290"/>
        <w:ind w:left="720" w:hanging="720"/>
        <w:jc w:val="left"/>
      </w:pPr>
      <w:r>
        <w:rPr>
          <w:rFonts w:ascii="Times New Roman" w:cs="Times New Roman" w:eastAsia="Times New Roman" w:hAnsi="Times New Roman"/>
          <w:b w:val="false"/>
          <w:bCs w:val="false"/>
          <w:i w:val="false"/>
          <w:iCs w:val="false"/>
          <w:color w:val="222222"/>
          <w:sz w:val="19"/>
          <w:szCs w:val="19"/>
        </w:rPr>
        <w:t xml:space="preserve">Open Science Collaboration. (2015). Estimating the reproducibility of psychological science. Science, 349(6251), aac4716. https://doi.org/10.1126/science.aac4716</w:t>
      </w:r>
    </w:p>
    <w:p>
      <w:pPr>
        <w:bidi w:val="false"/>
        <w:spacing w:after="90" w:before="90" w:line="290"/>
        <w:ind w:left="720" w:hanging="720"/>
        <w:jc w:val="left"/>
      </w:pPr>
      <w:r>
        <w:rPr>
          <w:rFonts w:ascii="Times New Roman" w:cs="Times New Roman" w:eastAsia="Times New Roman" w:hAnsi="Times New Roman"/>
          <w:b w:val="false"/>
          <w:bCs w:val="false"/>
          <w:i w:val="false"/>
          <w:iCs w:val="false"/>
          <w:color w:val="222222"/>
          <w:sz w:val="19"/>
          <w:szCs w:val="19"/>
        </w:rPr>
        <w:t xml:space="preserve">Rippon, G. (2019). The gendered brain: The new neuroscience that shatters the myth of the female brain. Bodley Head.</w:t>
      </w:r>
    </w:p>
    <w:p>
      <w:pPr>
        <w:bidi w:val="false"/>
        <w:spacing w:after="90" w:before="90" w:line="290"/>
        <w:ind w:left="720" w:hanging="720"/>
        <w:jc w:val="left"/>
      </w:pPr>
      <w:r>
        <w:rPr>
          <w:rFonts w:ascii="Times New Roman" w:cs="Times New Roman" w:eastAsia="Times New Roman" w:hAnsi="Times New Roman"/>
          <w:b w:val="false"/>
          <w:bCs w:val="false"/>
          <w:i w:val="false"/>
          <w:iCs w:val="false"/>
          <w:color w:val="222222"/>
          <w:sz w:val="19"/>
          <w:szCs w:val="19"/>
        </w:rPr>
        <w:t xml:space="preserve">Van Anders, S. M., &amp; Goldey, K. L. (2010). Testosterone and partnering are linked via relationship status for women and 'relationship orientation' for men. Hormones and Behavior, 58(5), 820–826.</w:t>
      </w:r>
    </w:p>
    <w:p>
      <w:pPr>
        <w:bidi w:val="false"/>
        <w:spacing w:after="90" w:before="90" w:line="290"/>
        <w:ind w:left="720" w:hanging="720"/>
        <w:jc w:val="left"/>
      </w:pPr>
      <w:r>
        <w:rPr>
          <w:rFonts w:ascii="Times New Roman" w:cs="Times New Roman" w:eastAsia="Times New Roman" w:hAnsi="Times New Roman"/>
          <w:b w:val="false"/>
          <w:bCs w:val="false"/>
          <w:i w:val="false"/>
          <w:iCs w:val="false"/>
          <w:color w:val="222222"/>
          <w:sz w:val="19"/>
          <w:szCs w:val="19"/>
        </w:rPr>
        <w:t xml:space="preserve">Voyer, D., Voyer, S., &amp; Bryden, M. P. (1995). Magnitude of sex differences in spatial abilities: A meta-analysis and consideration of critical variables. Psychological Bulletin, 117(2), 250–270.</w:t>
      </w:r>
    </w:p>
    <w:p>
      <w:pPr>
        <w:pBdr>
          <w:bottom w:val="single" w:color="0C6060" w:sz="4" w:space="3"/>
        </w:pBdr>
        <w:bidi/>
        <w:spacing w:after="130" w:before="220"/>
      </w:pPr>
      <w:r>
        <w:rPr>
          <w:rFonts w:ascii="Traditional Arabic" w:cs="Traditional Arabic" w:eastAsia="Traditional Arabic" w:hAnsi="Traditional Arabic"/>
          <w:b/>
          <w:bCs/>
          <w:i w:val="false"/>
          <w:iCs w:val="false"/>
          <w:color w:val="0C6060"/>
          <w:sz w:val="30"/>
          <w:szCs w:val="30"/>
        </w:rPr>
        <w:t xml:space="preserve">ثالثاً: المراجع الإسلامية والاستخلافية</w:t>
      </w:r>
    </w:p>
    <w:p>
      <w:pPr>
        <w:bidi/>
        <w:spacing w:after="90" w:before="90" w:line="290"/>
        <w:ind w:left="360"/>
        <w:jc w:val="both"/>
      </w:pPr>
      <w:r>
        <w:rPr>
          <w:rFonts w:ascii="Traditional Arabic" w:cs="Traditional Arabic" w:eastAsia="Traditional Arabic" w:hAnsi="Traditional Arabic"/>
          <w:b w:val="false"/>
          <w:bCs w:val="false"/>
          <w:i w:val="false"/>
          <w:iCs w:val="false"/>
          <w:color w:val="111111"/>
          <w:sz w:val="22"/>
          <w:szCs w:val="22"/>
        </w:rPr>
        <w:t xml:space="preserve">الزراع، ع. (د.ت.). علم النفس الاستخلافي: البروتوكول العلاجي TLRT والأضلاع الثمانية. [مخطوط قيد النشر].</w:t>
      </w:r>
    </w:p>
    <w:p>
      <w:pPr>
        <w:bidi/>
        <w:spacing w:after="90" w:before="90" w:line="290"/>
        <w:ind w:left="360"/>
        <w:jc w:val="both"/>
      </w:pPr>
      <w:r>
        <w:rPr>
          <w:rFonts w:ascii="Traditional Arabic" w:cs="Traditional Arabic" w:eastAsia="Traditional Arabic" w:hAnsi="Traditional Arabic"/>
          <w:b w:val="false"/>
          <w:bCs w:val="false"/>
          <w:i w:val="false"/>
          <w:iCs w:val="false"/>
          <w:color w:val="111111"/>
          <w:sz w:val="22"/>
          <w:szCs w:val="22"/>
        </w:rPr>
        <w:t xml:space="preserve">الغزالي، م. (1967). إحياء علوم الدين (الجزء الثالث). دار المعرفة.</w:t>
      </w:r>
    </w:p>
    <w:p>
      <w:pPr>
        <w:bidi/>
        <w:spacing w:after="90" w:before="90" w:line="290"/>
        <w:ind w:left="360"/>
        <w:jc w:val="both"/>
      </w:pPr>
      <w:r>
        <w:rPr>
          <w:rFonts w:ascii="Traditional Arabic" w:cs="Traditional Arabic" w:eastAsia="Traditional Arabic" w:hAnsi="Traditional Arabic"/>
          <w:b w:val="false"/>
          <w:bCs w:val="false"/>
          <w:i w:val="false"/>
          <w:iCs w:val="false"/>
          <w:color w:val="111111"/>
          <w:sz w:val="22"/>
          <w:szCs w:val="22"/>
        </w:rPr>
        <w:t xml:space="preserve">ابن القيم الجوزية، م. (1994). مدارج السالكين (الجزء الأول). دار الكتاب العربي.</w:t>
      </w:r>
    </w:p>
    <w:p>
      <w:pPr>
        <w:bidi/>
        <w:spacing w:after="90" w:before="90" w:line="290"/>
        <w:ind w:left="360"/>
        <w:jc w:val="both"/>
      </w:pPr>
      <w:r>
        <w:rPr>
          <w:rFonts w:ascii="Traditional Arabic" w:cs="Traditional Arabic" w:eastAsia="Traditional Arabic" w:hAnsi="Traditional Arabic"/>
          <w:b w:val="false"/>
          <w:bCs w:val="false"/>
          <w:i w:val="false"/>
          <w:iCs w:val="false"/>
          <w:color w:val="111111"/>
          <w:sz w:val="22"/>
          <w:szCs w:val="22"/>
        </w:rPr>
        <w:t xml:space="preserve">الطبري، م. (2001). جامع البيان عن تأويل آي القرآن (تحقيق: أحمد شاكر). مؤسسة الرسالة.</w:t>
      </w:r>
    </w:p>
    <w:sectPr>
      <w:headerReference w:type="default" r:id="rId7"/>
      <w:footerReference w:type="default" r:id="rId8"/>
      <w:pgSz w:w="11906" w:h="16838" w:orient="portrait"/>
      <w:pgMar w:top="1440" w:right="1800" w:bottom="1440" w:left="18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0C6060" w:sz="3" w:space="4"/>
      </w:pBdr>
      <w:jc w:val="center"/>
    </w:pPr>
    <w:r>
      <w:rPr>
        <w:rFonts w:ascii="Times New Roman" w:cs="Times New Roman" w:eastAsia="Times New Roman" w:hAnsi="Times New Roman"/>
        <w:b w:val="false"/>
        <w:bCs w:val="false"/>
        <w:i w:val="false"/>
        <w:iCs w:val="false"/>
        <w:color w:val="777777"/>
        <w:sz w:val="18"/>
        <w:szCs w:val="18"/>
      </w:rPr>
      <w:t xml:space="preserve">ص </w:t>
    </w:r>
    <w:r>
      <w:rPr>
        <w:rFonts w:ascii="Times New Roman" w:cs="Times New Roman" w:eastAsia="Times New Roman" w:hAnsi="Times New Roman"/>
        <w:color w:val="777777"/>
        <w:sz w:val="18"/>
        <w:szCs w:val="18"/>
      </w:rPr>
      <w:fldChar w:fldCharType="begin"/>
      <w:instrText xml:space="preserve">PAGE</w:instrText>
      <w:fldChar w:fldCharType="separate"/>
      <w:fldChar w:fldCharType="end"/>
    </w:r>
    <w:r>
      <w:rPr>
        <w:rFonts w:ascii="Times New Roman" w:cs="Times New Roman" w:eastAsia="Times New Roman" w:hAnsi="Times New Roman"/>
        <w:b w:val="false"/>
        <w:bCs w:val="false"/>
        <w:i w:val="false"/>
        <w:iCs w:val="false"/>
        <w:color w:val="0C6060"/>
        <w:sz w:val="18"/>
        <w:szCs w:val="18"/>
      </w:rPr>
      <w:t xml:space="preserve"> | علم النفس الاستخلافي</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8B6914" w:sz="4" w:space="4"/>
      </w:pBdr>
      <w:bidi/>
      <w:jc w:val="center"/>
    </w:pPr>
    <w:r>
      <w:rPr>
        <w:rFonts w:ascii="Traditional Arabic" w:cs="Traditional Arabic" w:eastAsia="Traditional Arabic" w:hAnsi="Traditional Arabic"/>
        <w:b/>
        <w:bCs/>
        <w:i w:val="false"/>
        <w:iCs w:val="false"/>
        <w:color w:val="0B1F45"/>
        <w:sz w:val="20"/>
        <w:szCs w:val="20"/>
      </w:rPr>
      <w:t xml:space="preserve">سيكولوجية المرأة: قراءة نقدية استخلافية</w:t>
    </w:r>
    <w:r>
      <w:rPr>
        <w:rFonts w:ascii="Traditional Arabic" w:cs="Traditional Arabic" w:eastAsia="Traditional Arabic" w:hAnsi="Traditional Arabic"/>
        <w:b w:val="false"/>
        <w:bCs w:val="false"/>
        <w:i w:val="false"/>
        <w:iCs w:val="false"/>
        <w:color w:val="8B6914"/>
        <w:sz w:val="20"/>
        <w:szCs w:val="20"/>
      </w:rPr>
      <w:t xml:space="preserve"> | </w:t>
    </w:r>
    <w:r>
      <w:rPr>
        <w:rFonts w:ascii="Traditional Arabic" w:cs="Traditional Arabic" w:eastAsia="Traditional Arabic" w:hAnsi="Traditional Arabic"/>
        <w:b w:val="false"/>
        <w:bCs w:val="false"/>
        <w:i w:val="false"/>
        <w:iCs w:val="false"/>
        <w:color w:val="0C6060"/>
        <w:sz w:val="19"/>
        <w:szCs w:val="19"/>
      </w:rPr>
      <w:t xml:space="preserve">الفصل الثاني — التعميق الأكاديمي</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raditional Arabic" w:cs="Traditional Arabic" w:eastAsia="Traditional Arabic" w:hAnsi="Traditional Arabic"/>
        <w:sz w:val="26"/>
        <w:szCs w:val="26"/>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2026-06-01T03:40:27.407Z</dcterms:created>
  <dcterms:modified xsi:type="dcterms:W3CDTF">2026-06-01T03:40:27.416Z</dcterms:modified>
</cp:coreProperties>
</file>

<file path=docProps/custom.xml><?xml version="1.0" encoding="utf-8"?>
<Properties xmlns="http://schemas.openxmlformats.org/officeDocument/2006/custom-properties" xmlns:vt="http://schemas.openxmlformats.org/officeDocument/2006/docPropsVTypes"/>
</file>