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E7B85" w14:textId="77777777" w:rsidR="008F62F0" w:rsidRDefault="008F62F0">
      <w:pPr>
        <w:spacing w:before="1200" w:after="200"/>
      </w:pPr>
    </w:p>
    <w:p w14:paraId="0FC56B52" w14:textId="77777777" w:rsidR="008F62F0" w:rsidRDefault="00000000">
      <w:pPr>
        <w:spacing w:after="60"/>
        <w:jc w:val="center"/>
      </w:pPr>
      <w:r>
        <w:rPr>
          <w:rFonts w:ascii="Traditional Arabic" w:eastAsia="Traditional Arabic" w:hAnsi="Traditional Arabic" w:cs="Traditional Arabic"/>
          <w:b/>
          <w:bCs/>
          <w:color w:val="1B3A5C"/>
          <w:sz w:val="44"/>
          <w:szCs w:val="44"/>
        </w:rPr>
        <w:t>علم النفس الاستخلافي</w:t>
      </w:r>
    </w:p>
    <w:p w14:paraId="23B2DFA3" w14:textId="77777777" w:rsidR="008F62F0" w:rsidRDefault="00000000">
      <w:pPr>
        <w:spacing w:after="240"/>
        <w:jc w:val="center"/>
      </w:pPr>
      <w:r>
        <w:rPr>
          <w:rFonts w:ascii="Traditional Arabic" w:eastAsia="Traditional Arabic" w:hAnsi="Traditional Arabic" w:cs="Traditional Arabic"/>
          <w:color w:val="1A7A6E"/>
          <w:sz w:val="28"/>
          <w:szCs w:val="28"/>
        </w:rPr>
        <w:t>العلاج بحرث المصالحة التحويلية (TLRT)</w:t>
      </w:r>
    </w:p>
    <w:p w14:paraId="203A488F" w14:textId="77777777" w:rsidR="008F62F0" w:rsidRDefault="00000000">
      <w:pPr>
        <w:pBdr>
          <w:top w:val="single" w:sz="14" w:space="8" w:color="B8860B"/>
          <w:bottom w:val="single" w:sz="14" w:space="8" w:color="B8860B"/>
        </w:pBdr>
        <w:spacing w:after="60"/>
        <w:jc w:val="center"/>
      </w:pPr>
      <w:r>
        <w:rPr>
          <w:rFonts w:ascii="Traditional Arabic" w:eastAsia="Traditional Arabic" w:hAnsi="Traditional Arabic" w:cs="Traditional Arabic"/>
          <w:b/>
          <w:bCs/>
          <w:color w:val="B8860B"/>
          <w:sz w:val="40"/>
          <w:szCs w:val="40"/>
        </w:rPr>
        <w:t>الجزء الخامس</w:t>
      </w:r>
    </w:p>
    <w:p w14:paraId="76FE4F57" w14:textId="77777777" w:rsidR="008F62F0" w:rsidRDefault="008F62F0">
      <w:pPr>
        <w:spacing w:before="60" w:after="60"/>
      </w:pPr>
    </w:p>
    <w:p w14:paraId="1536C20E" w14:textId="77777777" w:rsidR="008F62F0" w:rsidRDefault="00000000">
      <w:pPr>
        <w:spacing w:after="80"/>
        <w:jc w:val="center"/>
      </w:pPr>
      <w:r>
        <w:rPr>
          <w:rFonts w:ascii="Traditional Arabic" w:eastAsia="Traditional Arabic" w:hAnsi="Traditional Arabic" w:cs="Traditional Arabic"/>
          <w:b/>
          <w:bCs/>
          <w:color w:val="2E6DA4"/>
          <w:sz w:val="32"/>
          <w:szCs w:val="32"/>
        </w:rPr>
        <w:t>التطبيقات البحثية والتكامل المنهجي</w:t>
      </w:r>
    </w:p>
    <w:p w14:paraId="70BF59E4" w14:textId="77777777" w:rsidR="008F62F0" w:rsidRDefault="008F62F0">
      <w:pPr>
        <w:spacing w:before="400" w:after="120"/>
      </w:pPr>
    </w:p>
    <w:p w14:paraId="77E8729D" w14:textId="77777777" w:rsidR="008F62F0" w:rsidRDefault="00000000">
      <w:pPr>
        <w:jc w:val="center"/>
      </w:pPr>
      <w:r>
        <w:rPr>
          <w:rFonts w:ascii="Traditional Arabic" w:eastAsia="Traditional Arabic" w:hAnsi="Traditional Arabic" w:cs="Traditional Arabic"/>
          <w:color w:val="555555"/>
          <w:sz w:val="24"/>
          <w:szCs w:val="24"/>
        </w:rPr>
        <w:t>إعداد: عبد السلام الزراع</w:t>
      </w:r>
    </w:p>
    <w:p w14:paraId="2B81FBBB" w14:textId="77777777" w:rsidR="008F62F0" w:rsidRDefault="00000000">
      <w:pPr>
        <w:jc w:val="center"/>
      </w:pPr>
      <w:r>
        <w:rPr>
          <w:rFonts w:ascii="Calibri" w:eastAsia="Calibri" w:hAnsi="Calibri" w:cs="Calibri"/>
          <w:color w:val="555555"/>
          <w:sz w:val="24"/>
          <w:szCs w:val="24"/>
        </w:rPr>
        <w:t>2026</w:t>
      </w:r>
    </w:p>
    <w:p w14:paraId="34A2F0CD" w14:textId="76F0E511" w:rsidR="008F62F0" w:rsidRDefault="00000000">
      <w:pPr>
        <w:pageBreakBefore/>
        <w:pBdr>
          <w:top w:val="single" w:sz="18" w:space="6" w:color="B8860B"/>
          <w:bottom w:val="single" w:sz="18" w:space="6" w:color="B8860B"/>
        </w:pBdr>
        <w:shd w:val="clear" w:color="auto" w:fill="1B3A5C"/>
        <w:spacing w:before="320" w:after="320"/>
        <w:jc w:val="center"/>
      </w:pPr>
      <w:r>
        <w:rPr>
          <w:rFonts w:ascii="Traditional Arabic" w:eastAsia="Traditional Arabic" w:hAnsi="Traditional Arabic" w:cs="Traditional Arabic"/>
          <w:b/>
          <w:bCs/>
          <w:color w:val="FFFFFF"/>
          <w:sz w:val="38"/>
          <w:szCs w:val="38"/>
        </w:rPr>
        <w:t xml:space="preserve"> بناء مقياس «النفس اللوّامة» تأصيل قرآني وتقنين سيكومتري</w:t>
      </w:r>
    </w:p>
    <w:p w14:paraId="69FCC754"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9.1  مدخل منهجي: من التأصيل إلى القياس</w:t>
      </w:r>
    </w:p>
    <w:p w14:paraId="2177E012" w14:textId="77777777" w:rsidR="008F62F0" w:rsidRDefault="00000000">
      <w:pPr>
        <w:spacing w:before="40" w:after="80"/>
        <w:jc w:val="right"/>
      </w:pPr>
      <w:r>
        <w:rPr>
          <w:rFonts w:ascii="Traditional Arabic" w:eastAsia="Traditional Arabic" w:hAnsi="Traditional Arabic" w:cs="Traditional Arabic"/>
          <w:color w:val="1A1A1A"/>
          <w:sz w:val="24"/>
          <w:szCs w:val="24"/>
        </w:rPr>
        <w:t>يمثل هذا الفصل نقلة نوعية في مسار العلاج بحرث المصالحة التحويلية (TLRT)، إذ ينتقل بالمفهوم المحوري «النفس اللوّامة» من حيز التنظير الفلسفي والتراثي إلى فضاء القياس التجريبي والممارسة الإكلينيكية المُسندة بالبرهان. وقد استند اقتراح هذا الموقع إلى جملة اعتبارات منهجية ونظرية مؤسِّسة:</w:t>
      </w:r>
    </w:p>
    <w:p w14:paraId="0EDBE45D" w14:textId="77777777" w:rsidR="008F62F0" w:rsidRDefault="008F62F0">
      <w:pPr>
        <w:spacing w:before="80" w:after="40"/>
      </w:pPr>
    </w:p>
    <w:p w14:paraId="24D484C0"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أولاً: الانتقال من التأصيل إلى القياس</w:t>
      </w:r>
    </w:p>
    <w:p w14:paraId="07F57FBD" w14:textId="77777777" w:rsidR="008F62F0" w:rsidRDefault="00000000">
      <w:pPr>
        <w:spacing w:before="40" w:after="80"/>
        <w:jc w:val="right"/>
      </w:pPr>
      <w:r>
        <w:rPr>
          <w:rFonts w:ascii="Traditional Arabic" w:eastAsia="Traditional Arabic" w:hAnsi="Traditional Arabic" w:cs="Traditional Arabic"/>
          <w:color w:val="1A1A1A"/>
          <w:sz w:val="24"/>
          <w:szCs w:val="24"/>
        </w:rPr>
        <w:t>بعد أن قُدِّم مفهوم النفس اللوّامة في الفصول السابقة بوصفه أحد الأركان النظرية للنموذج، آن الأوان لاستكمال الحلقة المنهجية بالانتقال من سؤال «ما هي النفس اللوّامة؟» إلى سؤال «كيف نقيسها؟». وهذا الانتقال شرط ضروري لأي نموذج علاجي يطمح إلى الحضور في الأوساط الأكاديمية والبحثية المعاصرة.</w:t>
      </w:r>
    </w:p>
    <w:p w14:paraId="70321BCC"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ثانياً: سد فجوة منهجية في الدليل</w:t>
      </w:r>
    </w:p>
    <w:p w14:paraId="4D614C68" w14:textId="77777777" w:rsidR="008F62F0" w:rsidRDefault="00000000">
      <w:pPr>
        <w:spacing w:before="40" w:after="80"/>
        <w:jc w:val="right"/>
      </w:pPr>
      <w:r>
        <w:rPr>
          <w:rFonts w:ascii="Traditional Arabic" w:eastAsia="Traditional Arabic" w:hAnsi="Traditional Arabic" w:cs="Traditional Arabic"/>
          <w:color w:val="1A1A1A"/>
          <w:sz w:val="24"/>
          <w:szCs w:val="24"/>
        </w:rPr>
        <w:t>يقدم الدليل حتى الآن نظرية متكاملة عن الذنب وتحويله (الفصول 1-6)، ومقارنات مع مدارس علاجية ونفسية متعددة، وتطبيقات عملية متنوعة. بيد أن البعد القياسي الذي يسمح للباحثين والممارسين بتقييم مدى حضور هذه السمة لدى المرضى وقياس تحولاتها عبر مراحل العلاج ظل غائباً. وهذا الفصل يسد هذه الفجوة بدقة منهجية.</w:t>
      </w:r>
    </w:p>
    <w:p w14:paraId="28BD0FD1"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ثالثاً: دعم «المرحلة الأولى: التشخيص الوجودي»</w:t>
      </w:r>
    </w:p>
    <w:p w14:paraId="78149D30" w14:textId="77777777" w:rsidR="008F62F0" w:rsidRDefault="00000000">
      <w:pPr>
        <w:spacing w:before="40" w:after="80"/>
        <w:jc w:val="right"/>
      </w:pPr>
      <w:r>
        <w:rPr>
          <w:rFonts w:ascii="Traditional Arabic" w:eastAsia="Traditional Arabic" w:hAnsi="Traditional Arabic" w:cs="Traditional Arabic"/>
          <w:color w:val="1A1A1A"/>
          <w:sz w:val="24"/>
          <w:szCs w:val="24"/>
        </w:rPr>
        <w:t>يرتبط المقياس المقترح عضوياً بالمرحلة الأولى من TLRT، إذ يؤدي وظيفة مزدوجة: (أ) أداة مساعدة في التشخيص الأولي لتمييز المريض ذي النفس اللوّامة الصحية من المريض الغارق في الذنب المرضي؛ (ب) مؤشراً كمياً للتغير العلاجي عبر تطبيقه قبلياً وبعدياً لقياس مدى تحول اللوم الداخلي من طاقة شالّة إلى دافعية بناءة.</w:t>
      </w:r>
    </w:p>
    <w:p w14:paraId="49DF3997"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9.2  القيمة العلمية المضافة للفصل</w:t>
      </w:r>
    </w:p>
    <w:p w14:paraId="13B13923" w14:textId="77777777" w:rsidR="008F62F0" w:rsidRDefault="00000000">
      <w:pPr>
        <w:pStyle w:val="a4"/>
        <w:numPr>
          <w:ilvl w:val="0"/>
          <w:numId w:val="2"/>
        </w:numPr>
        <w:spacing w:before="40" w:after="60"/>
        <w:jc w:val="right"/>
      </w:pPr>
      <w:r>
        <w:rPr>
          <w:rFonts w:ascii="Traditional Arabic" w:eastAsia="Traditional Arabic" w:hAnsi="Traditional Arabic" w:cs="Traditional Arabic"/>
          <w:color w:val="1A1A1A"/>
          <w:sz w:val="24"/>
          <w:szCs w:val="24"/>
        </w:rPr>
        <w:t>القيمة النظرية: توثيق التكامل المعرفي – يقدم الفصل نموذجاً للتكامل غير الاختزالي بين التراث الإسلامي (مفهوم النفس اللوّامة كما ورد في التفاسير المعتبرة) وعلم النفس المعاصر (ما وراء المعرفة، الهوية الأخلاقية، نظرية المشاعر). ولا يقف هذا التكامل عند حدود الاستعراض المقارن، بل يبلغ مستوى «الهندسة القياسية» التي تترجم المفاهيم الدينية إلى مؤشرات سلوكية قابلة للملاحظة والقياس.</w:t>
      </w:r>
    </w:p>
    <w:p w14:paraId="10E9C10B" w14:textId="77777777" w:rsidR="008F62F0" w:rsidRDefault="00000000">
      <w:pPr>
        <w:pStyle w:val="a4"/>
        <w:numPr>
          <w:ilvl w:val="0"/>
          <w:numId w:val="2"/>
        </w:numPr>
        <w:spacing w:before="40" w:after="60"/>
        <w:jc w:val="right"/>
      </w:pPr>
      <w:r>
        <w:rPr>
          <w:rFonts w:ascii="Traditional Arabic" w:eastAsia="Traditional Arabic" w:hAnsi="Traditional Arabic" w:cs="Traditional Arabic"/>
          <w:color w:val="1A1A1A"/>
          <w:sz w:val="24"/>
          <w:szCs w:val="24"/>
        </w:rPr>
        <w:t>القيمة المنهجية: إطار إجرائي للبناء – يتضمن الفصل خطوات منهجية محددة لبناء المقياس تشمل: التأصيل النظري، وبناء الصورة الأولية، وتحكيم المحتوى، وتقييم الخصائص السيكومترية، والدراسات المقارنة. وهذه الخطوات تمنح الباحثين إطاراً إجرائياً جاهزاً للتطبيق.</w:t>
      </w:r>
    </w:p>
    <w:p w14:paraId="729F87DA" w14:textId="77777777" w:rsidR="008F62F0" w:rsidRDefault="00000000">
      <w:pPr>
        <w:pStyle w:val="a4"/>
        <w:numPr>
          <w:ilvl w:val="0"/>
          <w:numId w:val="2"/>
        </w:numPr>
        <w:spacing w:before="40" w:after="60"/>
        <w:jc w:val="right"/>
      </w:pPr>
      <w:r>
        <w:rPr>
          <w:rFonts w:ascii="Traditional Arabic" w:eastAsia="Traditional Arabic" w:hAnsi="Traditional Arabic" w:cs="Traditional Arabic"/>
          <w:color w:val="1A1A1A"/>
          <w:sz w:val="24"/>
          <w:szCs w:val="24"/>
        </w:rPr>
        <w:t>القيمة الإكلينيكية: أداة تشخيصية مستقبلية – عند اكتمال بناء المقياس وتقنينه على عينات عربية وإسلامية متنوعة، يمكن أن يصبح: (أ) أداة مساعدة في العيادات النفسية ذات التوجه التكاملي؛ (ب) وسيلة لقياس التقدم العلاجي في بروتوكول TLRT؛ (ج) أداة بحثية لدراسة العلاقة بين النفس اللوّامة ومتغيرات كالتدين وجودة الحياة والصحة النفسية.</w:t>
      </w:r>
    </w:p>
    <w:p w14:paraId="6D2BB39F" w14:textId="77777777" w:rsidR="008F62F0" w:rsidRDefault="00000000">
      <w:pPr>
        <w:pStyle w:val="a4"/>
        <w:numPr>
          <w:ilvl w:val="0"/>
          <w:numId w:val="2"/>
        </w:numPr>
        <w:spacing w:before="40" w:after="60"/>
        <w:jc w:val="right"/>
      </w:pPr>
      <w:r>
        <w:rPr>
          <w:rFonts w:ascii="Traditional Arabic" w:eastAsia="Traditional Arabic" w:hAnsi="Traditional Arabic" w:cs="Traditional Arabic"/>
          <w:color w:val="1A1A1A"/>
          <w:sz w:val="24"/>
          <w:szCs w:val="24"/>
        </w:rPr>
        <w:t>القيمة التكاملية مع فصول المقارنة – يشكل هذا الفصل جسراً بين الفصل الثامن (التأصيل النظري للنفس اللوّامة) والفصول العلاجية (التطبيق العملي للمفاهيم)، مما يمنح الدليل تماسكاً بنائياً متدرجاً.</w:t>
      </w:r>
    </w:p>
    <w:p w14:paraId="4096DD83"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9.3  التحليل النقدي لبنية الفصل المقترح وسبل تطويره</w:t>
      </w:r>
    </w:p>
    <w:p w14:paraId="76BCC314"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9.3.1  نقاط القوة</w:t>
      </w:r>
    </w:p>
    <w:p w14:paraId="4294C3F6" w14:textId="77777777" w:rsidR="008F62F0" w:rsidRDefault="00000000">
      <w:pPr>
        <w:pStyle w:val="a4"/>
        <w:numPr>
          <w:ilvl w:val="0"/>
          <w:numId w:val="3"/>
        </w:numPr>
        <w:spacing w:before="40" w:after="60"/>
        <w:jc w:val="right"/>
      </w:pPr>
      <w:r>
        <w:rPr>
          <w:rFonts w:ascii="Traditional Arabic" w:eastAsia="Traditional Arabic" w:hAnsi="Traditional Arabic" w:cs="Traditional Arabic"/>
          <w:color w:val="1A1A1A"/>
          <w:sz w:val="24"/>
          <w:szCs w:val="24"/>
        </w:rPr>
        <w:t>الدقة التحليلية: تفكيك مفهوم النفس اللوّامة إلى أربعة أبعاد (وجودي، معياري، انفعالي، سلوكي) تفكيك محكم يصلح قاعدة نظرية لبناء المقياس.</w:t>
      </w:r>
    </w:p>
    <w:p w14:paraId="602E8B35" w14:textId="77777777" w:rsidR="008F62F0" w:rsidRDefault="00000000">
      <w:pPr>
        <w:pStyle w:val="a4"/>
        <w:numPr>
          <w:ilvl w:val="0"/>
          <w:numId w:val="3"/>
        </w:numPr>
        <w:spacing w:before="40" w:after="60"/>
        <w:jc w:val="right"/>
      </w:pPr>
      <w:r>
        <w:rPr>
          <w:rFonts w:ascii="Traditional Arabic" w:eastAsia="Traditional Arabic" w:hAnsi="Traditional Arabic" w:cs="Traditional Arabic"/>
          <w:color w:val="1A1A1A"/>
          <w:sz w:val="24"/>
          <w:szCs w:val="24"/>
        </w:rPr>
        <w:t>المقابلات العلمية: الجدول الذي يربط الأبعاد القرآنية بالمفاهيم النفسية المعاصرة (مثل الربط بين «اللوم» و«ما وراء المعرفة») يمثل نموذجاً للتكامل غير الاختزالي.</w:t>
      </w:r>
    </w:p>
    <w:p w14:paraId="749F5E19" w14:textId="77777777" w:rsidR="008F62F0" w:rsidRDefault="00000000">
      <w:pPr>
        <w:pStyle w:val="a4"/>
        <w:numPr>
          <w:ilvl w:val="0"/>
          <w:numId w:val="3"/>
        </w:numPr>
        <w:spacing w:before="40" w:after="60"/>
        <w:jc w:val="right"/>
      </w:pPr>
      <w:r>
        <w:rPr>
          <w:rFonts w:ascii="Traditional Arabic" w:eastAsia="Traditional Arabic" w:hAnsi="Traditional Arabic" w:cs="Traditional Arabic"/>
          <w:color w:val="1A1A1A"/>
          <w:sz w:val="24"/>
          <w:szCs w:val="24"/>
        </w:rPr>
        <w:t>التمييز بين الصحي والمرضي: التأكيد على أن النفس اللوّامة ليست مرادفاً لـ«العصاب الوسواسي» بل هي «ضمير حي فعّال» يمثل جوهر الفصل وقيمته الإكلينيكية.</w:t>
      </w:r>
    </w:p>
    <w:p w14:paraId="20E9C9DD" w14:textId="77777777" w:rsidR="008F62F0" w:rsidRDefault="00000000">
      <w:pPr>
        <w:pStyle w:val="a4"/>
        <w:numPr>
          <w:ilvl w:val="0"/>
          <w:numId w:val="3"/>
        </w:numPr>
        <w:spacing w:before="40" w:after="60"/>
        <w:jc w:val="right"/>
      </w:pPr>
      <w:r>
        <w:rPr>
          <w:rFonts w:ascii="Traditional Arabic" w:eastAsia="Traditional Arabic" w:hAnsi="Traditional Arabic" w:cs="Traditional Arabic"/>
          <w:color w:val="1A1A1A"/>
          <w:sz w:val="24"/>
          <w:szCs w:val="24"/>
        </w:rPr>
        <w:t>المنهجية الواضحة: خطوات البحث المقترحة (خمس مراحل) تصلح لأن تكون بروتوكولاً بحثياً متكاملاً.</w:t>
      </w:r>
    </w:p>
    <w:p w14:paraId="43F1E29A"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9.3.2  نقاط تحتاج إلى تطوير</w:t>
      </w:r>
    </w:p>
    <w:p w14:paraId="318EF414" w14:textId="77777777" w:rsidR="008F62F0" w:rsidRDefault="00000000">
      <w:pPr>
        <w:pStyle w:val="a4"/>
        <w:numPr>
          <w:ilvl w:val="0"/>
          <w:numId w:val="4"/>
        </w:numPr>
        <w:spacing w:before="40" w:after="60"/>
        <w:jc w:val="right"/>
      </w:pPr>
      <w:r>
        <w:rPr>
          <w:rFonts w:ascii="Traditional Arabic" w:eastAsia="Traditional Arabic" w:hAnsi="Traditional Arabic" w:cs="Traditional Arabic"/>
          <w:color w:val="1A1A1A"/>
          <w:sz w:val="24"/>
          <w:szCs w:val="24"/>
        </w:rPr>
        <w:t>استعراض المقاييس الحالية: ذُكرت أسماء مقاييس (TOSCA-3، مقياس الهوية الأخلاقية) دون شرح كافٍ لمحتواها. يُقترح إضافة فقرة موجزة عن كل مقياس تشمل: المؤلفين، الأبعاد، الخصائص السيكومترية الأساسية، وأوجه الشبه والاختلاف مع المقياس المقترح.</w:t>
      </w:r>
    </w:p>
    <w:p w14:paraId="54367DB4" w14:textId="77777777" w:rsidR="008F62F0" w:rsidRDefault="00000000">
      <w:pPr>
        <w:pStyle w:val="a4"/>
        <w:numPr>
          <w:ilvl w:val="0"/>
          <w:numId w:val="4"/>
        </w:numPr>
        <w:spacing w:before="40" w:after="60"/>
        <w:jc w:val="right"/>
      </w:pPr>
      <w:r>
        <w:rPr>
          <w:rFonts w:ascii="Traditional Arabic" w:eastAsia="Traditional Arabic" w:hAnsi="Traditional Arabic" w:cs="Traditional Arabic"/>
          <w:color w:val="1A1A1A"/>
          <w:sz w:val="24"/>
          <w:szCs w:val="24"/>
        </w:rPr>
        <w:t>أمثلة الفقرات: الأمثلة المقدمة (4-5 فقرات) جيدة لكنها قليلة. يمكن إضافة 2-3 فقرات لكل محور لتوضيح التنوع الممكن في صياغة البنود، مع مراعاة الاتجاهين الإيجابي والسلبي.</w:t>
      </w:r>
    </w:p>
    <w:p w14:paraId="49814572" w14:textId="77777777" w:rsidR="008F62F0" w:rsidRDefault="00000000">
      <w:pPr>
        <w:pStyle w:val="a4"/>
        <w:numPr>
          <w:ilvl w:val="0"/>
          <w:numId w:val="4"/>
        </w:numPr>
        <w:spacing w:before="40" w:after="60"/>
        <w:jc w:val="right"/>
      </w:pPr>
      <w:r>
        <w:rPr>
          <w:rFonts w:ascii="Traditional Arabic" w:eastAsia="Traditional Arabic" w:hAnsi="Traditional Arabic" w:cs="Traditional Arabic"/>
          <w:color w:val="1A1A1A"/>
          <w:sz w:val="24"/>
          <w:szCs w:val="24"/>
        </w:rPr>
        <w:t>مسألة «الخجل» في سياق النفس اللوّامة: يحتاج التمييز بين «الذنب» و«الخجل» إلى مزيد من التوضيح. هل يمكن أن تتضمن النفس اللوّامة درجة معينة من الخجل البناء الذي لا يصل إلى حد تحطيم الذات؟ هذا النقاش ضروري لتحديد حدود المفهوم.</w:t>
      </w:r>
    </w:p>
    <w:p w14:paraId="7F520532" w14:textId="77777777" w:rsidR="008F62F0" w:rsidRDefault="00000000">
      <w:pPr>
        <w:pStyle w:val="a4"/>
        <w:numPr>
          <w:ilvl w:val="0"/>
          <w:numId w:val="4"/>
        </w:numPr>
        <w:spacing w:before="40" w:after="60"/>
        <w:jc w:val="right"/>
      </w:pPr>
      <w:r>
        <w:rPr>
          <w:rFonts w:ascii="Traditional Arabic" w:eastAsia="Traditional Arabic" w:hAnsi="Traditional Arabic" w:cs="Traditional Arabic"/>
          <w:color w:val="1A1A1A"/>
          <w:sz w:val="24"/>
          <w:szCs w:val="24"/>
        </w:rPr>
        <w:t>التحليل العاملي التوكيدي (CFA): ذُكرت الأداة دون شرح لكيفية استخدامها لاختبار البنية العاملية للمقياس. يُقترح إضافة إشارة موجزة عن مؤشرات المطابقة الأساسية (CFI، RMSEA، SRMR) وقيمها المرجعية.</w:t>
      </w:r>
    </w:p>
    <w:p w14:paraId="089E46C1" w14:textId="77777777" w:rsidR="008F62F0" w:rsidRDefault="00000000">
      <w:pPr>
        <w:pStyle w:val="a4"/>
        <w:numPr>
          <w:ilvl w:val="0"/>
          <w:numId w:val="4"/>
        </w:numPr>
        <w:spacing w:before="40" w:after="60"/>
        <w:jc w:val="right"/>
      </w:pPr>
      <w:r>
        <w:rPr>
          <w:rFonts w:ascii="Traditional Arabic" w:eastAsia="Traditional Arabic" w:hAnsi="Traditional Arabic" w:cs="Traditional Arabic"/>
          <w:color w:val="1A1A1A"/>
          <w:sz w:val="24"/>
          <w:szCs w:val="24"/>
        </w:rPr>
        <w:t>الخصوصية الثقافية والرغبة الاجتماعية: كيف يمكن ضمان أن المقياس يقيس النفس اللوّامة فعلاً، وليس مجرد تديُّن ظاهري أو رغبة في إرضاء المجتمع؟ يحتاج الفصل إلى فقرة عن استراتيجيات التحكم في «الرغبة الاجتماعية» (Social Desirability)، كتضمين مقياس مستقل لها أو صياغة فقرات متوازنة الاتجاه.</w:t>
      </w:r>
    </w:p>
    <w:p w14:paraId="3B0D09B2"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9.3.3  اقتراحات للتوسع</w:t>
      </w:r>
    </w:p>
    <w:p w14:paraId="7E39B240" w14:textId="77777777" w:rsidR="008F62F0" w:rsidRDefault="00000000">
      <w:pPr>
        <w:pStyle w:val="a4"/>
        <w:numPr>
          <w:ilvl w:val="0"/>
          <w:numId w:val="5"/>
        </w:numPr>
        <w:spacing w:before="40" w:after="60"/>
        <w:jc w:val="right"/>
      </w:pPr>
      <w:r>
        <w:rPr>
          <w:rFonts w:ascii="Traditional Arabic" w:eastAsia="Traditional Arabic" w:hAnsi="Traditional Arabic" w:cs="Traditional Arabic"/>
          <w:color w:val="1A1A1A"/>
          <w:sz w:val="24"/>
          <w:szCs w:val="24"/>
        </w:rPr>
        <w:t>دراسة حالة تجريبية (افتراضية): إضافة مثال لكيفية تطبيق المقياس على مريض من دراسات الحالة السابقة، وكيف يمكن أن تُسهم نتائجه في التشخيص أو قياس التغير العلاجي.</w:t>
      </w:r>
    </w:p>
    <w:p w14:paraId="0678311F" w14:textId="77777777" w:rsidR="008F62F0" w:rsidRDefault="00000000">
      <w:pPr>
        <w:pStyle w:val="a4"/>
        <w:numPr>
          <w:ilvl w:val="0"/>
          <w:numId w:val="5"/>
        </w:numPr>
        <w:spacing w:before="40" w:after="60"/>
        <w:jc w:val="right"/>
      </w:pPr>
      <w:r>
        <w:rPr>
          <w:rFonts w:ascii="Traditional Arabic" w:eastAsia="Traditional Arabic" w:hAnsi="Traditional Arabic" w:cs="Traditional Arabic"/>
          <w:color w:val="1A1A1A"/>
          <w:sz w:val="24"/>
          <w:szCs w:val="24"/>
        </w:rPr>
        <w:t>الربط بمراحل TLRT: توضيح كيف يمكن استخدام نتائج المقياس في كل مرحلة علاجية. مثلاً: ارتفاع درجة «اللوم البناء» في المحور الثالث قد يعني استعداداً أكبر لمرحلة التحويل الطاقي، بينما ارتفاع درجة «اللوم الهدام» قد يستدعي التركيز على إعادة بناء صورة الله أولاً.</w:t>
      </w:r>
    </w:p>
    <w:p w14:paraId="4C012D14" w14:textId="77777777" w:rsidR="008F62F0" w:rsidRDefault="00000000">
      <w:pPr>
        <w:pStyle w:val="a4"/>
        <w:numPr>
          <w:ilvl w:val="0"/>
          <w:numId w:val="5"/>
        </w:numPr>
        <w:spacing w:before="40" w:after="60"/>
        <w:jc w:val="right"/>
      </w:pPr>
      <w:r>
        <w:rPr>
          <w:rFonts w:ascii="Traditional Arabic" w:eastAsia="Traditional Arabic" w:hAnsi="Traditional Arabic" w:cs="Traditional Arabic"/>
          <w:color w:val="1A1A1A"/>
          <w:sz w:val="24"/>
          <w:szCs w:val="24"/>
        </w:rPr>
        <w:t>تطوير نسخة مختصرة: اقتراح إمكانية تطوير نسخة مختصرة (10-15 فقرة) للاستخدام السريري السريع، مع الحفاظ على الخصائص السيكومترية الأساسية.</w:t>
      </w:r>
    </w:p>
    <w:p w14:paraId="642B48A8"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9.4  بطاقة تعريف المقياس (نموذج مقترح)</w:t>
      </w:r>
    </w:p>
    <w:p w14:paraId="6B8F408D" w14:textId="77777777" w:rsidR="008F62F0" w:rsidRDefault="008F62F0">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26"/>
      </w:tblGrid>
      <w:tr w:rsidR="008F62F0" w14:paraId="6CBE4DE2" w14:textId="77777777">
        <w:tblPrEx>
          <w:tblCellMar>
            <w:top w:w="0" w:type="dxa"/>
            <w:bottom w:w="0" w:type="dxa"/>
          </w:tblCellMar>
        </w:tblPrEx>
        <w:tc>
          <w:tcPr>
            <w:tcW w:w="2600" w:type="dxa"/>
            <w:tcBorders>
              <w:top w:val="single" w:sz="4" w:space="0" w:color="B0C4DE"/>
              <w:left w:val="single" w:sz="4" w:space="0" w:color="B0C4DE"/>
              <w:bottom w:val="single" w:sz="4" w:space="0" w:color="B0C4DE"/>
              <w:right w:val="single" w:sz="4" w:space="0" w:color="B0C4DE"/>
            </w:tcBorders>
            <w:shd w:val="clear" w:color="auto" w:fill="1B3A5C"/>
            <w:tcMar>
              <w:top w:w="90" w:type="dxa"/>
              <w:left w:w="150" w:type="dxa"/>
              <w:bottom w:w="90" w:type="dxa"/>
              <w:right w:w="150" w:type="dxa"/>
            </w:tcMar>
            <w:vAlign w:val="center"/>
          </w:tcPr>
          <w:p w14:paraId="71AC5429" w14:textId="77777777" w:rsidR="008F62F0" w:rsidRDefault="00000000">
            <w:pPr>
              <w:jc w:val="right"/>
            </w:pPr>
            <w:r>
              <w:rPr>
                <w:rFonts w:ascii="Traditional Arabic" w:eastAsia="Traditional Arabic" w:hAnsi="Traditional Arabic" w:cs="Traditional Arabic"/>
                <w:b/>
                <w:bCs/>
                <w:color w:val="FFFFFF"/>
                <w:sz w:val="23"/>
                <w:szCs w:val="23"/>
              </w:rPr>
              <w:t>العنصر</w:t>
            </w:r>
          </w:p>
        </w:tc>
        <w:tc>
          <w:tcPr>
            <w:tcW w:w="6426" w:type="dxa"/>
            <w:tcBorders>
              <w:top w:val="single" w:sz="4" w:space="0" w:color="B0C4DE"/>
              <w:left w:val="single" w:sz="4" w:space="0" w:color="B0C4DE"/>
              <w:bottom w:val="single" w:sz="4" w:space="0" w:color="B0C4DE"/>
              <w:right w:val="single" w:sz="4" w:space="0" w:color="B0C4DE"/>
            </w:tcBorders>
            <w:shd w:val="clear" w:color="auto" w:fill="1B3A5C"/>
            <w:tcMar>
              <w:top w:w="90" w:type="dxa"/>
              <w:left w:w="150" w:type="dxa"/>
              <w:bottom w:w="90" w:type="dxa"/>
              <w:right w:w="150" w:type="dxa"/>
            </w:tcMar>
            <w:vAlign w:val="center"/>
          </w:tcPr>
          <w:p w14:paraId="7B259B28" w14:textId="77777777" w:rsidR="008F62F0" w:rsidRDefault="00000000">
            <w:pPr>
              <w:jc w:val="right"/>
            </w:pPr>
            <w:r>
              <w:rPr>
                <w:rFonts w:ascii="Traditional Arabic" w:eastAsia="Traditional Arabic" w:hAnsi="Traditional Arabic" w:cs="Traditional Arabic"/>
                <w:b/>
                <w:bCs/>
                <w:color w:val="FFFFFF"/>
                <w:sz w:val="23"/>
                <w:szCs w:val="23"/>
              </w:rPr>
              <w:t>الوصف</w:t>
            </w:r>
          </w:p>
        </w:tc>
      </w:tr>
      <w:tr w:rsidR="008F62F0" w14:paraId="79758A70" w14:textId="77777777">
        <w:tblPrEx>
          <w:tblCellMar>
            <w:top w:w="0" w:type="dxa"/>
            <w:bottom w:w="0" w:type="dxa"/>
          </w:tblCellMar>
        </w:tblPrEx>
        <w:tc>
          <w:tcPr>
            <w:tcW w:w="26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5BBEB6C9" w14:textId="77777777" w:rsidR="008F62F0" w:rsidRDefault="00000000">
            <w:pPr>
              <w:jc w:val="right"/>
            </w:pPr>
            <w:r>
              <w:rPr>
                <w:rFonts w:ascii="Traditional Arabic" w:eastAsia="Traditional Arabic" w:hAnsi="Traditional Arabic" w:cs="Traditional Arabic"/>
                <w:color w:val="1A1A1A"/>
                <w:sz w:val="22"/>
                <w:szCs w:val="22"/>
              </w:rPr>
              <w:t>اسم المقياس</w:t>
            </w:r>
          </w:p>
        </w:tc>
        <w:tc>
          <w:tcPr>
            <w:tcW w:w="64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3E771536" w14:textId="77777777" w:rsidR="008F62F0" w:rsidRDefault="00000000">
            <w:pPr>
              <w:jc w:val="right"/>
            </w:pPr>
            <w:r>
              <w:rPr>
                <w:rFonts w:ascii="Traditional Arabic" w:eastAsia="Traditional Arabic" w:hAnsi="Traditional Arabic" w:cs="Traditional Arabic"/>
                <w:color w:val="1A1A1A"/>
                <w:sz w:val="22"/>
                <w:szCs w:val="22"/>
              </w:rPr>
              <w:t>مقياس النفس اللوّامة  (Échelle de l'Âme Blâmeuse – EAB)</w:t>
            </w:r>
          </w:p>
        </w:tc>
      </w:tr>
      <w:tr w:rsidR="008F62F0" w14:paraId="6170DA0F" w14:textId="77777777">
        <w:tblPrEx>
          <w:tblCellMar>
            <w:top w:w="0" w:type="dxa"/>
            <w:bottom w:w="0" w:type="dxa"/>
          </w:tblCellMar>
        </w:tblPrEx>
        <w:tc>
          <w:tcPr>
            <w:tcW w:w="26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2D4CD204" w14:textId="77777777" w:rsidR="008F62F0" w:rsidRDefault="00000000">
            <w:pPr>
              <w:jc w:val="right"/>
            </w:pPr>
            <w:r>
              <w:rPr>
                <w:rFonts w:ascii="Traditional Arabic" w:eastAsia="Traditional Arabic" w:hAnsi="Traditional Arabic" w:cs="Traditional Arabic"/>
                <w:color w:val="1A1A1A"/>
                <w:sz w:val="22"/>
                <w:szCs w:val="22"/>
              </w:rPr>
              <w:t>البناء النظري</w:t>
            </w:r>
          </w:p>
        </w:tc>
        <w:tc>
          <w:tcPr>
            <w:tcW w:w="64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7721A982" w14:textId="77777777" w:rsidR="008F62F0" w:rsidRDefault="00000000">
            <w:pPr>
              <w:jc w:val="right"/>
            </w:pPr>
            <w:r>
              <w:rPr>
                <w:rFonts w:ascii="Traditional Arabic" w:eastAsia="Traditional Arabic" w:hAnsi="Traditional Arabic" w:cs="Traditional Arabic"/>
                <w:color w:val="1A1A1A"/>
                <w:sz w:val="22"/>
                <w:szCs w:val="22"/>
              </w:rPr>
              <w:t>أربعة أبعاد: وجودي (وعي ذاتي)، معياري (تقييم أخلاقي)، انفعالي (استجابة وجدانية)، سلوكي (دافعية للتصحيح)</w:t>
            </w:r>
          </w:p>
        </w:tc>
      </w:tr>
      <w:tr w:rsidR="008F62F0" w14:paraId="770AEC83" w14:textId="77777777">
        <w:tblPrEx>
          <w:tblCellMar>
            <w:top w:w="0" w:type="dxa"/>
            <w:bottom w:w="0" w:type="dxa"/>
          </w:tblCellMar>
        </w:tblPrEx>
        <w:tc>
          <w:tcPr>
            <w:tcW w:w="26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416A58A0" w14:textId="77777777" w:rsidR="008F62F0" w:rsidRDefault="00000000">
            <w:pPr>
              <w:jc w:val="right"/>
            </w:pPr>
            <w:r>
              <w:rPr>
                <w:rFonts w:ascii="Traditional Arabic" w:eastAsia="Traditional Arabic" w:hAnsi="Traditional Arabic" w:cs="Traditional Arabic"/>
                <w:color w:val="1A1A1A"/>
                <w:sz w:val="22"/>
                <w:szCs w:val="22"/>
              </w:rPr>
              <w:t>عدد الفقرات المقترح</w:t>
            </w:r>
          </w:p>
        </w:tc>
        <w:tc>
          <w:tcPr>
            <w:tcW w:w="64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27D6D089" w14:textId="77777777" w:rsidR="008F62F0" w:rsidRDefault="00000000">
            <w:pPr>
              <w:jc w:val="right"/>
            </w:pPr>
            <w:r>
              <w:rPr>
                <w:rFonts w:ascii="Traditional Arabic" w:eastAsia="Traditional Arabic" w:hAnsi="Traditional Arabic" w:cs="Traditional Arabic"/>
                <w:color w:val="1A1A1A"/>
                <w:sz w:val="22"/>
                <w:szCs w:val="22"/>
              </w:rPr>
              <w:t>20-24 فقرة (5-6 لكل بعد)</w:t>
            </w:r>
          </w:p>
        </w:tc>
      </w:tr>
      <w:tr w:rsidR="008F62F0" w14:paraId="497485EF" w14:textId="77777777">
        <w:tblPrEx>
          <w:tblCellMar>
            <w:top w:w="0" w:type="dxa"/>
            <w:bottom w:w="0" w:type="dxa"/>
          </w:tblCellMar>
        </w:tblPrEx>
        <w:tc>
          <w:tcPr>
            <w:tcW w:w="26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79204822" w14:textId="77777777" w:rsidR="008F62F0" w:rsidRDefault="00000000">
            <w:pPr>
              <w:jc w:val="right"/>
            </w:pPr>
            <w:r>
              <w:rPr>
                <w:rFonts w:ascii="Traditional Arabic" w:eastAsia="Traditional Arabic" w:hAnsi="Traditional Arabic" w:cs="Traditional Arabic"/>
                <w:color w:val="1A1A1A"/>
                <w:sz w:val="22"/>
                <w:szCs w:val="22"/>
              </w:rPr>
              <w:t>المقياس المستخدم</w:t>
            </w:r>
          </w:p>
        </w:tc>
        <w:tc>
          <w:tcPr>
            <w:tcW w:w="64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667C4BCB" w14:textId="77777777" w:rsidR="008F62F0" w:rsidRDefault="00000000">
            <w:pPr>
              <w:jc w:val="right"/>
            </w:pPr>
            <w:r>
              <w:rPr>
                <w:rFonts w:ascii="Traditional Arabic" w:eastAsia="Traditional Arabic" w:hAnsi="Traditional Arabic" w:cs="Traditional Arabic"/>
                <w:color w:val="1A1A1A"/>
                <w:sz w:val="22"/>
                <w:szCs w:val="22"/>
              </w:rPr>
              <w:t>ليكرت خماسي (1 = لا أوافق بشدة، 5 = أوافق بشدة)</w:t>
            </w:r>
          </w:p>
        </w:tc>
      </w:tr>
      <w:tr w:rsidR="008F62F0" w14:paraId="5808A62E" w14:textId="77777777">
        <w:tblPrEx>
          <w:tblCellMar>
            <w:top w:w="0" w:type="dxa"/>
            <w:bottom w:w="0" w:type="dxa"/>
          </w:tblCellMar>
        </w:tblPrEx>
        <w:tc>
          <w:tcPr>
            <w:tcW w:w="26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1642FDD7" w14:textId="77777777" w:rsidR="008F62F0" w:rsidRDefault="00000000">
            <w:pPr>
              <w:jc w:val="right"/>
            </w:pPr>
            <w:r>
              <w:rPr>
                <w:rFonts w:ascii="Traditional Arabic" w:eastAsia="Traditional Arabic" w:hAnsi="Traditional Arabic" w:cs="Traditional Arabic"/>
                <w:color w:val="1A1A1A"/>
                <w:sz w:val="22"/>
                <w:szCs w:val="22"/>
              </w:rPr>
              <w:t>المقاييس المستأنس بها</w:t>
            </w:r>
          </w:p>
        </w:tc>
        <w:tc>
          <w:tcPr>
            <w:tcW w:w="64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2310D6AE" w14:textId="77777777" w:rsidR="008F62F0" w:rsidRDefault="00000000">
            <w:pPr>
              <w:jc w:val="right"/>
            </w:pPr>
            <w:r>
              <w:rPr>
                <w:rFonts w:ascii="Traditional Arabic" w:eastAsia="Traditional Arabic" w:hAnsi="Traditional Arabic" w:cs="Traditional Arabic"/>
                <w:color w:val="1A1A1A"/>
                <w:sz w:val="22"/>
                <w:szCs w:val="22"/>
              </w:rPr>
              <w:t>TOSCA-3 (قياس الذنب)،  مقياس الهوية الأخلاقية (Aquino &amp; Reed, 2002)</w:t>
            </w:r>
          </w:p>
        </w:tc>
      </w:tr>
      <w:tr w:rsidR="008F62F0" w14:paraId="15515DAD" w14:textId="77777777">
        <w:tblPrEx>
          <w:tblCellMar>
            <w:top w:w="0" w:type="dxa"/>
            <w:bottom w:w="0" w:type="dxa"/>
          </w:tblCellMar>
        </w:tblPrEx>
        <w:tc>
          <w:tcPr>
            <w:tcW w:w="26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5EDC0BCD" w14:textId="77777777" w:rsidR="008F62F0" w:rsidRDefault="00000000">
            <w:pPr>
              <w:jc w:val="right"/>
            </w:pPr>
            <w:r>
              <w:rPr>
                <w:rFonts w:ascii="Traditional Arabic" w:eastAsia="Traditional Arabic" w:hAnsi="Traditional Arabic" w:cs="Traditional Arabic"/>
                <w:color w:val="1A1A1A"/>
                <w:sz w:val="22"/>
                <w:szCs w:val="22"/>
              </w:rPr>
              <w:t>مجالات الاستخدام</w:t>
            </w:r>
          </w:p>
        </w:tc>
        <w:tc>
          <w:tcPr>
            <w:tcW w:w="64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3ABD9030" w14:textId="77777777" w:rsidR="008F62F0" w:rsidRDefault="00000000">
            <w:pPr>
              <w:jc w:val="right"/>
            </w:pPr>
            <w:r>
              <w:rPr>
                <w:rFonts w:ascii="Traditional Arabic" w:eastAsia="Traditional Arabic" w:hAnsi="Traditional Arabic" w:cs="Traditional Arabic"/>
                <w:color w:val="1A1A1A"/>
                <w:sz w:val="22"/>
                <w:szCs w:val="22"/>
              </w:rPr>
              <w:t>التشخيص في TLRT، قياس التغير العلاجي، البحوث في سيكولوجية الدين والأخلاق</w:t>
            </w:r>
          </w:p>
        </w:tc>
      </w:tr>
    </w:tbl>
    <w:p w14:paraId="6D838053" w14:textId="77777777" w:rsidR="008F62F0" w:rsidRDefault="00000000">
      <w:pPr>
        <w:spacing w:before="20" w:after="80"/>
        <w:ind w:left="200" w:right="200"/>
        <w:jc w:val="right"/>
      </w:pPr>
      <w:r>
        <w:rPr>
          <w:rFonts w:ascii="Traditional Arabic" w:eastAsia="Traditional Arabic" w:hAnsi="Traditional Arabic" w:cs="Traditional Arabic"/>
          <w:i/>
          <w:iCs/>
          <w:color w:val="1A7A6E"/>
          <w:sz w:val="22"/>
          <w:szCs w:val="22"/>
        </w:rPr>
        <w:t>(TLRT، 2026، الدليل النظري والإكلينيكي)</w:t>
      </w:r>
    </w:p>
    <w:p w14:paraId="68DEDF1E" w14:textId="77777777" w:rsidR="008F62F0" w:rsidRDefault="00000000">
      <w:pPr>
        <w:pageBreakBefore/>
        <w:pBdr>
          <w:top w:val="single" w:sz="18" w:space="6" w:color="B8860B"/>
          <w:bottom w:val="single" w:sz="18" w:space="6" w:color="B8860B"/>
        </w:pBdr>
        <w:shd w:val="clear" w:color="auto" w:fill="1B3A5C"/>
        <w:spacing w:before="320" w:after="320"/>
        <w:jc w:val="center"/>
      </w:pPr>
      <w:r>
        <w:rPr>
          <w:rFonts w:ascii="Traditional Arabic" w:eastAsia="Traditional Arabic" w:hAnsi="Traditional Arabic" w:cs="Traditional Arabic"/>
          <w:b/>
          <w:bCs/>
          <w:color w:val="FFFFFF"/>
          <w:sz w:val="38"/>
          <w:szCs w:val="38"/>
        </w:rPr>
        <w:t>الفصل العاشر آليات تقييم فاعلية العلاج بحرث المصالحة التحويلية مؤشرات كمية ونوعية</w:t>
      </w:r>
    </w:p>
    <w:p w14:paraId="4922828D"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10.1  مدخل: ضرورة التقويم في النماذج التكاملية</w:t>
      </w:r>
    </w:p>
    <w:p w14:paraId="4BF73057" w14:textId="77777777" w:rsidR="008F62F0" w:rsidRDefault="00000000">
      <w:pPr>
        <w:spacing w:before="40" w:after="80"/>
        <w:jc w:val="right"/>
      </w:pPr>
      <w:r>
        <w:rPr>
          <w:rFonts w:ascii="Traditional Arabic" w:eastAsia="Traditional Arabic" w:hAnsi="Traditional Arabic" w:cs="Traditional Arabic"/>
          <w:color w:val="1A1A1A"/>
          <w:sz w:val="24"/>
          <w:szCs w:val="24"/>
        </w:rPr>
        <w:t>تواجه النماذج العلاجية التكاملية التي تستند إلى مرجعيات دينية وروحية تحدياً مزدوجاً: فهي من ناحية مطالبة بإثبات فاعليتها وفق معايير البحث الإكلينيكي المعاصر، ومن ناحية أخرى مطالبة بالحفاظ على أصالتها المنهجية وعدم اختزال أهدافها الروحية والوجودية في مؤشرات كمية مجردة.</w:t>
      </w:r>
    </w:p>
    <w:p w14:paraId="650660A1" w14:textId="77777777" w:rsidR="008F62F0" w:rsidRDefault="00000000">
      <w:pPr>
        <w:spacing w:before="40" w:after="80"/>
        <w:jc w:val="right"/>
      </w:pPr>
      <w:r>
        <w:rPr>
          <w:rFonts w:ascii="Traditional Arabic" w:eastAsia="Traditional Arabic" w:hAnsi="Traditional Arabic" w:cs="Traditional Arabic"/>
          <w:color w:val="1A1A1A"/>
          <w:sz w:val="24"/>
          <w:szCs w:val="24"/>
        </w:rPr>
        <w:t>وهذا الفصل يقدم إطاراً متوازناً لتقييم فاعلية TLRT يجمع بين المؤشرات الكمية (السيكومترية) والمؤشرات النوعية (الظاهراتية والسردية)، في وحدة منهجية تعكس تعقد التجربة الإنسانية وعمقها.</w:t>
      </w:r>
    </w:p>
    <w:p w14:paraId="40B5F753"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10.2  المؤشرات الكمية المقترحة</w:t>
      </w:r>
    </w:p>
    <w:p w14:paraId="1FDE0824"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10.2.1  مقاييس عامة للصحة النفسية</w:t>
      </w:r>
    </w:p>
    <w:p w14:paraId="23EB1084" w14:textId="77777777" w:rsidR="008F62F0" w:rsidRDefault="00000000">
      <w:pPr>
        <w:pStyle w:val="a4"/>
        <w:numPr>
          <w:ilvl w:val="0"/>
          <w:numId w:val="6"/>
        </w:numPr>
        <w:spacing w:before="40" w:after="60"/>
        <w:jc w:val="right"/>
      </w:pPr>
      <w:r>
        <w:rPr>
          <w:rFonts w:ascii="Traditional Arabic" w:eastAsia="Traditional Arabic" w:hAnsi="Traditional Arabic" w:cs="Traditional Arabic"/>
          <w:color w:val="1A1A1A"/>
          <w:sz w:val="24"/>
          <w:szCs w:val="24"/>
        </w:rPr>
        <w:t>مقياس الاكتئاب (BDI-II أو PHQ-9)</w:t>
      </w:r>
    </w:p>
    <w:p w14:paraId="0BE55DB7" w14:textId="77777777" w:rsidR="008F62F0" w:rsidRDefault="00000000">
      <w:pPr>
        <w:pStyle w:val="a4"/>
        <w:numPr>
          <w:ilvl w:val="0"/>
          <w:numId w:val="6"/>
        </w:numPr>
        <w:spacing w:before="40" w:after="60"/>
        <w:jc w:val="right"/>
      </w:pPr>
      <w:r>
        <w:rPr>
          <w:rFonts w:ascii="Traditional Arabic" w:eastAsia="Traditional Arabic" w:hAnsi="Traditional Arabic" w:cs="Traditional Arabic"/>
          <w:color w:val="1A1A1A"/>
          <w:sz w:val="24"/>
          <w:szCs w:val="24"/>
        </w:rPr>
        <w:t>مقياس القلق (GAD-7)</w:t>
      </w:r>
    </w:p>
    <w:p w14:paraId="7948ED13" w14:textId="77777777" w:rsidR="008F62F0" w:rsidRDefault="00000000">
      <w:pPr>
        <w:pStyle w:val="a4"/>
        <w:numPr>
          <w:ilvl w:val="0"/>
          <w:numId w:val="6"/>
        </w:numPr>
        <w:spacing w:before="40" w:after="60"/>
        <w:jc w:val="right"/>
      </w:pPr>
      <w:r>
        <w:rPr>
          <w:rFonts w:ascii="Traditional Arabic" w:eastAsia="Traditional Arabic" w:hAnsi="Traditional Arabic" w:cs="Traditional Arabic"/>
          <w:color w:val="1A1A1A"/>
          <w:sz w:val="24"/>
          <w:szCs w:val="24"/>
        </w:rPr>
        <w:t>مقياس جودة الحياة (WHOQOL-BREF)</w:t>
      </w:r>
    </w:p>
    <w:p w14:paraId="7DBBE98F" w14:textId="77777777" w:rsidR="008F62F0" w:rsidRDefault="00000000">
      <w:pPr>
        <w:pStyle w:val="a4"/>
        <w:numPr>
          <w:ilvl w:val="0"/>
          <w:numId w:val="6"/>
        </w:numPr>
        <w:spacing w:before="40" w:after="60"/>
        <w:jc w:val="right"/>
      </w:pPr>
      <w:r>
        <w:rPr>
          <w:rFonts w:ascii="Traditional Arabic" w:eastAsia="Traditional Arabic" w:hAnsi="Traditional Arabic" w:cs="Traditional Arabic"/>
          <w:color w:val="1A1A1A"/>
          <w:sz w:val="24"/>
          <w:szCs w:val="24"/>
        </w:rPr>
        <w:t>مقياس الرفاه النفسي (Ryff's Psychological Well-Being Scales)</w:t>
      </w:r>
    </w:p>
    <w:p w14:paraId="2CFC164D"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10.2.2  مقاييس نوعية مرتبطة بآليات TLRT</w:t>
      </w:r>
    </w:p>
    <w:p w14:paraId="5DF04B7B" w14:textId="77777777" w:rsidR="008F62F0" w:rsidRDefault="00000000">
      <w:pPr>
        <w:pStyle w:val="a4"/>
        <w:numPr>
          <w:ilvl w:val="0"/>
          <w:numId w:val="7"/>
        </w:numPr>
        <w:spacing w:before="40" w:after="60"/>
        <w:jc w:val="right"/>
      </w:pPr>
      <w:r>
        <w:rPr>
          <w:rFonts w:ascii="Traditional Arabic" w:eastAsia="Traditional Arabic" w:hAnsi="Traditional Arabic" w:cs="Traditional Arabic"/>
          <w:color w:val="1A1A1A"/>
          <w:sz w:val="24"/>
          <w:szCs w:val="24"/>
        </w:rPr>
        <w:t>مقياس الذنب المرضي: يمكن استخدام مقياس TOSCA-3 لتمييز الذنب التكيفي من الذنب غير التكيفي.</w:t>
      </w:r>
    </w:p>
    <w:p w14:paraId="668CA0C5" w14:textId="77777777" w:rsidR="008F62F0" w:rsidRDefault="00000000">
      <w:pPr>
        <w:pStyle w:val="a4"/>
        <w:numPr>
          <w:ilvl w:val="0"/>
          <w:numId w:val="7"/>
        </w:numPr>
        <w:spacing w:before="40" w:after="60"/>
        <w:jc w:val="right"/>
      </w:pPr>
      <w:r>
        <w:rPr>
          <w:rFonts w:ascii="Traditional Arabic" w:eastAsia="Traditional Arabic" w:hAnsi="Traditional Arabic" w:cs="Traditional Arabic"/>
          <w:color w:val="1A1A1A"/>
          <w:sz w:val="24"/>
          <w:szCs w:val="24"/>
        </w:rPr>
        <w:t>مقياس مسامحة الذات (Self-Forgiveness Scale).</w:t>
      </w:r>
    </w:p>
    <w:p w14:paraId="3C00A5C5" w14:textId="77777777" w:rsidR="008F62F0" w:rsidRDefault="00000000">
      <w:pPr>
        <w:pStyle w:val="a4"/>
        <w:numPr>
          <w:ilvl w:val="0"/>
          <w:numId w:val="7"/>
        </w:numPr>
        <w:spacing w:before="40" w:after="60"/>
        <w:jc w:val="right"/>
      </w:pPr>
      <w:r>
        <w:rPr>
          <w:rFonts w:ascii="Traditional Arabic" w:eastAsia="Traditional Arabic" w:hAnsi="Traditional Arabic" w:cs="Traditional Arabic"/>
          <w:color w:val="1A1A1A"/>
          <w:sz w:val="24"/>
          <w:szCs w:val="24"/>
        </w:rPr>
        <w:t>مقياس النمو ما بعد الصدمة (PTGI) – إذ يشترك تحويل الذنب مع النمو ما بعد الصدمة في آلية إعادة بناء المعنى.</w:t>
      </w:r>
    </w:p>
    <w:p w14:paraId="7FE4483C" w14:textId="77777777" w:rsidR="008F62F0" w:rsidRDefault="00000000">
      <w:pPr>
        <w:pStyle w:val="a4"/>
        <w:numPr>
          <w:ilvl w:val="0"/>
          <w:numId w:val="7"/>
        </w:numPr>
        <w:spacing w:before="40" w:after="60"/>
        <w:jc w:val="right"/>
      </w:pPr>
      <w:r>
        <w:rPr>
          <w:rFonts w:ascii="Traditional Arabic" w:eastAsia="Traditional Arabic" w:hAnsi="Traditional Arabic" w:cs="Traditional Arabic"/>
          <w:color w:val="1A1A1A"/>
          <w:sz w:val="24"/>
          <w:szCs w:val="24"/>
        </w:rPr>
        <w:t>مقياس التدين والروحانية (مثل مقياس القوة الروحية أو مقياس التدين الداخلي/الخارجي).</w:t>
      </w:r>
    </w:p>
    <w:p w14:paraId="73B4258C" w14:textId="77777777" w:rsidR="008F62F0" w:rsidRDefault="00000000">
      <w:pPr>
        <w:pStyle w:val="a4"/>
        <w:numPr>
          <w:ilvl w:val="0"/>
          <w:numId w:val="7"/>
        </w:numPr>
        <w:spacing w:before="40" w:after="60"/>
        <w:jc w:val="right"/>
      </w:pPr>
      <w:r>
        <w:rPr>
          <w:rFonts w:ascii="Traditional Arabic" w:eastAsia="Traditional Arabic" w:hAnsi="Traditional Arabic" w:cs="Traditional Arabic"/>
          <w:color w:val="1A1A1A"/>
          <w:sz w:val="24"/>
          <w:szCs w:val="24"/>
        </w:rPr>
        <w:t>مقياس النفس اللوّامة (EAB) – المؤشر النوعي المركزي للتغير في TLRT.</w:t>
      </w:r>
    </w:p>
    <w:p w14:paraId="61116085"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10.3  المؤشرات النوعية المقترحة</w:t>
      </w:r>
    </w:p>
    <w:p w14:paraId="72B0C779"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10.3.1  تحليل السرديات (Narrative Analysis)</w:t>
      </w:r>
    </w:p>
    <w:p w14:paraId="02E16226" w14:textId="77777777" w:rsidR="008F62F0" w:rsidRDefault="00000000">
      <w:pPr>
        <w:pStyle w:val="a4"/>
        <w:numPr>
          <w:ilvl w:val="0"/>
          <w:numId w:val="8"/>
        </w:numPr>
        <w:spacing w:before="40" w:after="60"/>
        <w:jc w:val="right"/>
      </w:pPr>
      <w:r>
        <w:rPr>
          <w:rFonts w:ascii="Traditional Arabic" w:eastAsia="Traditional Arabic" w:hAnsi="Traditional Arabic" w:cs="Traditional Arabic"/>
          <w:color w:val="1A1A1A"/>
          <w:sz w:val="24"/>
          <w:szCs w:val="24"/>
        </w:rPr>
        <w:t>تحليل التغير في بنية السردية الذاتية قبل العلاج وبعده: من سردية «الضحية» أو «الجاني» إلى سردية «الناجي» و«المحوِّل».</w:t>
      </w:r>
    </w:p>
    <w:p w14:paraId="1B7F0294" w14:textId="77777777" w:rsidR="008F62F0" w:rsidRDefault="00000000">
      <w:pPr>
        <w:pStyle w:val="a4"/>
        <w:numPr>
          <w:ilvl w:val="0"/>
          <w:numId w:val="8"/>
        </w:numPr>
        <w:spacing w:before="40" w:after="60"/>
        <w:jc w:val="right"/>
      </w:pPr>
      <w:r>
        <w:rPr>
          <w:rFonts w:ascii="Traditional Arabic" w:eastAsia="Traditional Arabic" w:hAnsi="Traditional Arabic" w:cs="Traditional Arabic"/>
          <w:color w:val="1A1A1A"/>
          <w:sz w:val="24"/>
          <w:szCs w:val="24"/>
        </w:rPr>
        <w:t>مؤشرات لغوية: تكرار كلمات من قبيل «ندم، ذنب، عقاب» مقابل «تعلمت، سامحت، أعطيت».</w:t>
      </w:r>
    </w:p>
    <w:p w14:paraId="7292B923"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10.3.2  المقابلات شبه المقننة</w:t>
      </w:r>
    </w:p>
    <w:p w14:paraId="01D56E9A" w14:textId="77777777" w:rsidR="008F62F0" w:rsidRDefault="00000000">
      <w:pPr>
        <w:spacing w:before="40" w:after="80"/>
        <w:jc w:val="right"/>
      </w:pPr>
      <w:r>
        <w:rPr>
          <w:rFonts w:ascii="Traditional Arabic" w:eastAsia="Traditional Arabic" w:hAnsi="Traditional Arabic" w:cs="Traditional Arabic"/>
          <w:color w:val="1A1A1A"/>
          <w:sz w:val="24"/>
          <w:szCs w:val="24"/>
        </w:rPr>
        <w:t>أسئلة مفتوحة تستكشف التغير في: صورة الذات، صورة الله، المعنى المستخلص من المعاناة، والتوجه نحو المستقبل.</w:t>
      </w:r>
    </w:p>
    <w:p w14:paraId="7400B939"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10.3.3  دراسة الحالة المتعمقة</w:t>
      </w:r>
    </w:p>
    <w:p w14:paraId="5ACEB126" w14:textId="77777777" w:rsidR="008F62F0" w:rsidRDefault="00000000">
      <w:pPr>
        <w:spacing w:before="40" w:after="80"/>
        <w:jc w:val="right"/>
      </w:pPr>
      <w:r>
        <w:rPr>
          <w:rFonts w:ascii="Traditional Arabic" w:eastAsia="Traditional Arabic" w:hAnsi="Traditional Arabic" w:cs="Traditional Arabic"/>
          <w:color w:val="1A1A1A"/>
          <w:sz w:val="24"/>
          <w:szCs w:val="24"/>
        </w:rPr>
        <w:t>توثيق مسار مريض واحد عبر المراحل الخمس لـ TLRT باستخدام مزيج من القياسات الكمية والمقابلات النوعية، مما يمنح الباحث صورة ثرية وعمقاً ظاهراتياً لا تتيحه المقاييس وحدها.</w:t>
      </w:r>
    </w:p>
    <w:p w14:paraId="466EEFB9"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10.4  تصميم بحثي مقترح لدراسة الفاعلية</w:t>
      </w:r>
    </w:p>
    <w:p w14:paraId="28EF5BC8" w14:textId="77777777" w:rsidR="008F62F0" w:rsidRDefault="00000000">
      <w:pPr>
        <w:spacing w:before="40" w:after="80"/>
        <w:jc w:val="right"/>
      </w:pPr>
      <w:r>
        <w:rPr>
          <w:rFonts w:ascii="Traditional Arabic" w:eastAsia="Traditional Arabic" w:hAnsi="Traditional Arabic" w:cs="Traditional Arabic"/>
          <w:color w:val="1A1A1A"/>
          <w:sz w:val="24"/>
          <w:szCs w:val="24"/>
        </w:rPr>
        <w:t>يقترح تصميم قبلي-بعدي مع مجموعة ضابطة على قائمة انتظار، على النحو الآتي:</w:t>
      </w:r>
    </w:p>
    <w:p w14:paraId="01A0DDC1" w14:textId="77777777" w:rsidR="008F62F0" w:rsidRDefault="008F62F0">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8F62F0" w14:paraId="39423C72"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1B3A5C"/>
            <w:tcMar>
              <w:top w:w="90" w:type="dxa"/>
              <w:left w:w="150" w:type="dxa"/>
              <w:bottom w:w="90" w:type="dxa"/>
              <w:right w:w="150" w:type="dxa"/>
            </w:tcMar>
            <w:vAlign w:val="center"/>
          </w:tcPr>
          <w:p w14:paraId="1367DD47" w14:textId="77777777" w:rsidR="008F62F0" w:rsidRDefault="00000000">
            <w:pPr>
              <w:jc w:val="center"/>
            </w:pPr>
            <w:r>
              <w:rPr>
                <w:rFonts w:ascii="Traditional Arabic" w:eastAsia="Traditional Arabic" w:hAnsi="Traditional Arabic" w:cs="Traditional Arabic"/>
                <w:b/>
                <w:bCs/>
                <w:color w:val="FFFFFF"/>
                <w:sz w:val="23"/>
                <w:szCs w:val="23"/>
              </w:rPr>
              <w:t>المرحلة</w:t>
            </w:r>
          </w:p>
        </w:tc>
        <w:tc>
          <w:tcPr>
            <w:tcW w:w="6026" w:type="dxa"/>
            <w:tcBorders>
              <w:top w:val="single" w:sz="4" w:space="0" w:color="B0C4DE"/>
              <w:left w:val="single" w:sz="4" w:space="0" w:color="B0C4DE"/>
              <w:bottom w:val="single" w:sz="4" w:space="0" w:color="B0C4DE"/>
              <w:right w:val="single" w:sz="4" w:space="0" w:color="B0C4DE"/>
            </w:tcBorders>
            <w:shd w:val="clear" w:color="auto" w:fill="1B3A5C"/>
            <w:tcMar>
              <w:top w:w="90" w:type="dxa"/>
              <w:left w:w="150" w:type="dxa"/>
              <w:bottom w:w="90" w:type="dxa"/>
              <w:right w:w="150" w:type="dxa"/>
            </w:tcMar>
            <w:vAlign w:val="center"/>
          </w:tcPr>
          <w:p w14:paraId="12A0AE0F" w14:textId="77777777" w:rsidR="008F62F0" w:rsidRDefault="00000000">
            <w:pPr>
              <w:jc w:val="center"/>
            </w:pPr>
            <w:r>
              <w:rPr>
                <w:rFonts w:ascii="Traditional Arabic" w:eastAsia="Traditional Arabic" w:hAnsi="Traditional Arabic" w:cs="Traditional Arabic"/>
                <w:b/>
                <w:bCs/>
                <w:color w:val="FFFFFF"/>
                <w:sz w:val="23"/>
                <w:szCs w:val="23"/>
              </w:rPr>
              <w:t>الإجراء</w:t>
            </w:r>
          </w:p>
        </w:tc>
      </w:tr>
      <w:tr w:rsidR="008F62F0" w14:paraId="16F13CFD"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3D15AC15" w14:textId="77777777" w:rsidR="008F62F0" w:rsidRDefault="00000000">
            <w:pPr>
              <w:jc w:val="center"/>
            </w:pPr>
            <w:r>
              <w:rPr>
                <w:rFonts w:ascii="Traditional Arabic" w:eastAsia="Traditional Arabic" w:hAnsi="Traditional Arabic" w:cs="Traditional Arabic"/>
                <w:color w:val="1A1A1A"/>
                <w:sz w:val="22"/>
                <w:szCs w:val="22"/>
              </w:rPr>
              <w:t>1 – التقييم القبلي</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03776884" w14:textId="77777777" w:rsidR="008F62F0" w:rsidRDefault="00000000">
            <w:pPr>
              <w:jc w:val="center"/>
            </w:pPr>
            <w:r>
              <w:rPr>
                <w:rFonts w:ascii="Traditional Arabic" w:eastAsia="Traditional Arabic" w:hAnsi="Traditional Arabic" w:cs="Traditional Arabic"/>
                <w:color w:val="1A1A1A"/>
                <w:sz w:val="22"/>
                <w:szCs w:val="22"/>
              </w:rPr>
              <w:t>تطبيق حزمة المقاييس الكمية + إجراء مقابلة سردية</w:t>
            </w:r>
          </w:p>
        </w:tc>
      </w:tr>
      <w:tr w:rsidR="008F62F0" w14:paraId="65988B4F"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3FBD6FC1" w14:textId="77777777" w:rsidR="008F62F0" w:rsidRDefault="00000000">
            <w:pPr>
              <w:jc w:val="center"/>
            </w:pPr>
            <w:r>
              <w:rPr>
                <w:rFonts w:ascii="Traditional Arabic" w:eastAsia="Traditional Arabic" w:hAnsi="Traditional Arabic" w:cs="Traditional Arabic"/>
                <w:color w:val="1A1A1A"/>
                <w:sz w:val="22"/>
                <w:szCs w:val="22"/>
              </w:rPr>
              <w:t>2 – التدخل العلاجي</w:t>
            </w:r>
          </w:p>
        </w:tc>
        <w:tc>
          <w:tcPr>
            <w:tcW w:w="60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617521A4" w14:textId="77777777" w:rsidR="008F62F0" w:rsidRDefault="00000000">
            <w:pPr>
              <w:jc w:val="center"/>
            </w:pPr>
            <w:r>
              <w:rPr>
                <w:rFonts w:ascii="Traditional Arabic" w:eastAsia="Traditional Arabic" w:hAnsi="Traditional Arabic" w:cs="Traditional Arabic"/>
                <w:color w:val="1A1A1A"/>
                <w:sz w:val="22"/>
                <w:szCs w:val="22"/>
              </w:rPr>
              <w:t>تطبيق بروتوكول TLRT (12-16 جلسة)</w:t>
            </w:r>
          </w:p>
        </w:tc>
      </w:tr>
      <w:tr w:rsidR="008F62F0" w14:paraId="475970B4"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282543C5" w14:textId="77777777" w:rsidR="008F62F0" w:rsidRDefault="00000000">
            <w:pPr>
              <w:jc w:val="center"/>
            </w:pPr>
            <w:r>
              <w:rPr>
                <w:rFonts w:ascii="Traditional Arabic" w:eastAsia="Traditional Arabic" w:hAnsi="Traditional Arabic" w:cs="Traditional Arabic"/>
                <w:color w:val="1A1A1A"/>
                <w:sz w:val="22"/>
                <w:szCs w:val="22"/>
              </w:rPr>
              <w:t>3 – التقييم البعدي الفوري</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38A5AFE3" w14:textId="77777777" w:rsidR="008F62F0" w:rsidRDefault="00000000">
            <w:pPr>
              <w:jc w:val="center"/>
            </w:pPr>
            <w:r>
              <w:rPr>
                <w:rFonts w:ascii="Traditional Arabic" w:eastAsia="Traditional Arabic" w:hAnsi="Traditional Arabic" w:cs="Traditional Arabic"/>
                <w:color w:val="1A1A1A"/>
                <w:sz w:val="22"/>
                <w:szCs w:val="22"/>
              </w:rPr>
              <w:t>إعادة تطبيق المقاييس والمقابلة السردية</w:t>
            </w:r>
          </w:p>
        </w:tc>
      </w:tr>
      <w:tr w:rsidR="008F62F0" w14:paraId="0C58E081"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4D45900B" w14:textId="77777777" w:rsidR="008F62F0" w:rsidRDefault="00000000">
            <w:pPr>
              <w:jc w:val="center"/>
            </w:pPr>
            <w:r>
              <w:rPr>
                <w:rFonts w:ascii="Traditional Arabic" w:eastAsia="Traditional Arabic" w:hAnsi="Traditional Arabic" w:cs="Traditional Arabic"/>
                <w:color w:val="1A1A1A"/>
                <w:sz w:val="22"/>
                <w:szCs w:val="22"/>
              </w:rPr>
              <w:t>4 – التقييم التتبعي</w:t>
            </w:r>
          </w:p>
        </w:tc>
        <w:tc>
          <w:tcPr>
            <w:tcW w:w="60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00B3C9FF" w14:textId="77777777" w:rsidR="008F62F0" w:rsidRDefault="00000000">
            <w:pPr>
              <w:jc w:val="center"/>
            </w:pPr>
            <w:r>
              <w:rPr>
                <w:rFonts w:ascii="Traditional Arabic" w:eastAsia="Traditional Arabic" w:hAnsi="Traditional Arabic" w:cs="Traditional Arabic"/>
                <w:color w:val="1A1A1A"/>
                <w:sz w:val="22"/>
                <w:szCs w:val="22"/>
              </w:rPr>
              <w:t>بعد 3-6 أشهر لقياس استدامة التغير العلاجي</w:t>
            </w:r>
          </w:p>
        </w:tc>
      </w:tr>
    </w:tbl>
    <w:p w14:paraId="48A9766D" w14:textId="77777777" w:rsidR="008F62F0" w:rsidRDefault="00000000">
      <w:pPr>
        <w:pageBreakBefore/>
        <w:pBdr>
          <w:top w:val="single" w:sz="18" w:space="6" w:color="B8860B"/>
          <w:bottom w:val="single" w:sz="18" w:space="6" w:color="B8860B"/>
        </w:pBdr>
        <w:shd w:val="clear" w:color="auto" w:fill="1B3A5C"/>
        <w:spacing w:before="320" w:after="320"/>
        <w:jc w:val="center"/>
      </w:pPr>
      <w:r>
        <w:rPr>
          <w:rFonts w:ascii="Traditional Arabic" w:eastAsia="Traditional Arabic" w:hAnsi="Traditional Arabic" w:cs="Traditional Arabic"/>
          <w:b/>
          <w:bCs/>
          <w:color w:val="FFFFFF"/>
          <w:sz w:val="38"/>
          <w:szCs w:val="38"/>
        </w:rPr>
        <w:t>الفصل الحادي عشر المرحلة الثالثة: التحويل الطاقي (Energy Transmutation)</w:t>
      </w:r>
    </w:p>
    <w:p w14:paraId="28311678"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11.1  الأساس النظري</w:t>
      </w:r>
    </w:p>
    <w:p w14:paraId="7E37B3CF" w14:textId="77777777" w:rsidR="008F62F0" w:rsidRDefault="00000000">
      <w:pPr>
        <w:spacing w:before="40" w:after="80"/>
        <w:jc w:val="right"/>
      </w:pPr>
      <w:r>
        <w:rPr>
          <w:rFonts w:ascii="Traditional Arabic" w:eastAsia="Traditional Arabic" w:hAnsi="Traditional Arabic" w:cs="Traditional Arabic"/>
          <w:color w:val="1A1A1A"/>
          <w:sz w:val="24"/>
          <w:szCs w:val="24"/>
        </w:rPr>
        <w:t>تُعدّ هذه المرحلة قلب نموذج TLRT وأكثر مراحله ابتكاراً، حيث تتحول فيها البصيرة إلى فعل والندم إلى عطاء. وتستند إلى أربعة منابع نظرية متكاملة:</w:t>
      </w:r>
    </w:p>
    <w:p w14:paraId="39FA1193" w14:textId="77777777" w:rsidR="008F62F0" w:rsidRDefault="008F62F0">
      <w:pPr>
        <w:spacing w:before="80" w:after="40"/>
      </w:pPr>
    </w:p>
    <w:p w14:paraId="4980F42B"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أولاً: نظرية التسامي عند فرويد (Sublimation)</w:t>
      </w:r>
    </w:p>
    <w:p w14:paraId="7323DF33" w14:textId="77777777" w:rsidR="008F62F0" w:rsidRDefault="00000000">
      <w:pPr>
        <w:spacing w:before="40" w:after="80"/>
        <w:jc w:val="right"/>
      </w:pPr>
      <w:r>
        <w:rPr>
          <w:rFonts w:ascii="Traditional Arabic" w:eastAsia="Traditional Arabic" w:hAnsi="Traditional Arabic" w:cs="Traditional Arabic"/>
          <w:color w:val="1A1A1A"/>
          <w:sz w:val="24"/>
          <w:szCs w:val="24"/>
        </w:rPr>
        <w:t>تحويل الطاقة الغريزية – لا سيما المرتبطة بالذنب والعدوان – إلى نشاط اجتماعي مقبول ومنتج. وقد ذهب فرويد (1930) إلى أن الحضارة نفسها قائمة على تحويل الطاقة الغريزية إلى إبداع وعمل.</w:t>
      </w:r>
    </w:p>
    <w:p w14:paraId="42368F9A" w14:textId="77777777" w:rsidR="008F62F0" w:rsidRDefault="00000000">
      <w:pPr>
        <w:spacing w:before="20" w:after="80"/>
        <w:ind w:left="200" w:right="200"/>
        <w:jc w:val="right"/>
      </w:pPr>
      <w:r>
        <w:rPr>
          <w:rFonts w:ascii="Traditional Arabic" w:eastAsia="Traditional Arabic" w:hAnsi="Traditional Arabic" w:cs="Traditional Arabic"/>
          <w:i/>
          <w:iCs/>
          <w:color w:val="1A7A6E"/>
          <w:sz w:val="22"/>
          <w:szCs w:val="22"/>
        </w:rPr>
        <w:t>(Freud, 1930)</w:t>
      </w:r>
    </w:p>
    <w:p w14:paraId="422FEC53"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ثانياً: العلاج بالمعنى عند فرانكل (Logotherapy)</w:t>
      </w:r>
    </w:p>
    <w:p w14:paraId="4389FCC6" w14:textId="77777777" w:rsidR="008F62F0" w:rsidRDefault="00000000">
      <w:pPr>
        <w:spacing w:before="40" w:after="80"/>
        <w:jc w:val="right"/>
      </w:pPr>
      <w:r>
        <w:rPr>
          <w:rFonts w:ascii="Traditional Arabic" w:eastAsia="Traditional Arabic" w:hAnsi="Traditional Arabic" w:cs="Traditional Arabic"/>
          <w:color w:val="1A1A1A"/>
          <w:sz w:val="24"/>
          <w:szCs w:val="24"/>
        </w:rPr>
        <w:t>مفهوم «تحويل المعاناة إلى إنجاز»، حيث يمكن للإنسان أن يستخرج معنى من معاناته يحوّلها إلى قوة دافعة للحياة وللعطاء.</w:t>
      </w:r>
    </w:p>
    <w:p w14:paraId="1FB322DB" w14:textId="77777777" w:rsidR="008F62F0" w:rsidRDefault="00000000">
      <w:pPr>
        <w:spacing w:before="20" w:after="80"/>
        <w:ind w:left="200" w:right="200"/>
        <w:jc w:val="right"/>
      </w:pPr>
      <w:r>
        <w:rPr>
          <w:rFonts w:ascii="Traditional Arabic" w:eastAsia="Traditional Arabic" w:hAnsi="Traditional Arabic" w:cs="Traditional Arabic"/>
          <w:i/>
          <w:iCs/>
          <w:color w:val="1A7A6E"/>
          <w:sz w:val="22"/>
          <w:szCs w:val="22"/>
        </w:rPr>
        <w:t>(Frankl, 1946)</w:t>
      </w:r>
    </w:p>
    <w:p w14:paraId="364CE6C1"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ثالثاً: علم النفس الإيجابي</w:t>
      </w:r>
    </w:p>
    <w:p w14:paraId="3F3D409F" w14:textId="77777777" w:rsidR="008F62F0" w:rsidRDefault="00000000">
      <w:pPr>
        <w:spacing w:before="40" w:after="80"/>
        <w:jc w:val="right"/>
      </w:pPr>
      <w:r>
        <w:rPr>
          <w:rFonts w:ascii="Traditional Arabic" w:eastAsia="Traditional Arabic" w:hAnsi="Traditional Arabic" w:cs="Traditional Arabic"/>
          <w:color w:val="1A1A1A"/>
          <w:sz w:val="24"/>
          <w:szCs w:val="24"/>
        </w:rPr>
        <w:t>مفهوم «الازدهار» (Flourishing) من خلال استثمار نقاط القوة وتحويل المشاعر السلبية إلى طاقة إيجابية دافعة للنمو الشخصي والمجتمعي.</w:t>
      </w:r>
    </w:p>
    <w:p w14:paraId="2BE4EAAE" w14:textId="77777777" w:rsidR="008F62F0" w:rsidRDefault="00000000">
      <w:pPr>
        <w:spacing w:before="20" w:after="80"/>
        <w:ind w:left="200" w:right="200"/>
        <w:jc w:val="right"/>
      </w:pPr>
      <w:r>
        <w:rPr>
          <w:rFonts w:ascii="Traditional Arabic" w:eastAsia="Traditional Arabic" w:hAnsi="Traditional Arabic" w:cs="Traditional Arabic"/>
          <w:i/>
          <w:iCs/>
          <w:color w:val="1A7A6E"/>
          <w:sz w:val="22"/>
          <w:szCs w:val="22"/>
        </w:rPr>
        <w:t>(Seligman, 2011)</w:t>
      </w:r>
    </w:p>
    <w:p w14:paraId="080BE3AA"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رابعاً: الفكر الإسلامي – ثلاثة مفاهيم محورية</w:t>
      </w:r>
    </w:p>
    <w:p w14:paraId="4B29AB0D" w14:textId="77777777" w:rsidR="008F62F0" w:rsidRDefault="00000000">
      <w:pPr>
        <w:pStyle w:val="a4"/>
        <w:numPr>
          <w:ilvl w:val="0"/>
          <w:numId w:val="9"/>
        </w:numPr>
        <w:spacing w:before="40" w:after="60"/>
        <w:jc w:val="right"/>
      </w:pPr>
      <w:r>
        <w:rPr>
          <w:rFonts w:ascii="Traditional Arabic" w:eastAsia="Traditional Arabic" w:hAnsi="Traditional Arabic" w:cs="Traditional Arabic"/>
          <w:color w:val="1A1A1A"/>
          <w:sz w:val="24"/>
          <w:szCs w:val="24"/>
        </w:rPr>
        <w:t>الكفارة: ربط شرعي بين الذنب والفعل التعويضي (كفارة اليمين، كفارة الجماع في نهار رمضان).</w:t>
      </w:r>
    </w:p>
    <w:p w14:paraId="1893F7B4" w14:textId="77777777" w:rsidR="008F62F0" w:rsidRDefault="00000000">
      <w:pPr>
        <w:pStyle w:val="a4"/>
        <w:numPr>
          <w:ilvl w:val="0"/>
          <w:numId w:val="9"/>
        </w:numPr>
        <w:spacing w:before="40" w:after="60"/>
        <w:jc w:val="right"/>
      </w:pPr>
      <w:r>
        <w:rPr>
          <w:rFonts w:ascii="Traditional Arabic" w:eastAsia="Traditional Arabic" w:hAnsi="Traditional Arabic" w:cs="Traditional Arabic"/>
          <w:color w:val="1A1A1A"/>
          <w:sz w:val="24"/>
          <w:szCs w:val="24"/>
        </w:rPr>
        <w:t>الحسنات يذهبن السيئات: كما في الحديث النبوي الشريف «وأتبع السيئة الحسنة تمحها»، مما يؤسس لفكرة أن الفعل الإيجابي يمحو أثر السلبي.</w:t>
      </w:r>
    </w:p>
    <w:p w14:paraId="7F927008" w14:textId="77777777" w:rsidR="008F62F0" w:rsidRDefault="00000000">
      <w:pPr>
        <w:pStyle w:val="a4"/>
        <w:numPr>
          <w:ilvl w:val="0"/>
          <w:numId w:val="9"/>
        </w:numPr>
        <w:spacing w:before="40" w:after="60"/>
        <w:jc w:val="right"/>
      </w:pPr>
      <w:r>
        <w:rPr>
          <w:rFonts w:ascii="Traditional Arabic" w:eastAsia="Traditional Arabic" w:hAnsi="Traditional Arabic" w:cs="Traditional Arabic"/>
          <w:color w:val="1A1A1A"/>
          <w:sz w:val="24"/>
          <w:szCs w:val="24"/>
        </w:rPr>
        <w:t>إبدال السيئات حسنات:</w:t>
      </w:r>
    </w:p>
    <w:p w14:paraId="2FE0D33A" w14:textId="77777777" w:rsidR="008F62F0" w:rsidRDefault="00000000">
      <w:pPr>
        <w:pBdr>
          <w:left w:val="single" w:sz="12" w:space="6" w:color="2E7D32"/>
          <w:right w:val="single" w:sz="12" w:space="6" w:color="2E7D32"/>
        </w:pBdr>
        <w:spacing w:before="140" w:after="140"/>
        <w:ind w:left="600" w:right="600"/>
        <w:jc w:val="center"/>
      </w:pPr>
      <w:r>
        <w:rPr>
          <w:rFonts w:ascii="Traditional Arabic" w:eastAsia="Traditional Arabic" w:hAnsi="Traditional Arabic" w:cs="Traditional Arabic"/>
          <w:b/>
          <w:bCs/>
          <w:color w:val="2E7D32"/>
          <w:sz w:val="26"/>
          <w:szCs w:val="26"/>
        </w:rPr>
        <w:t>﴿إِلَّا مَن تَابَ وَآمَنَ وَعَمِلَ عَمَلًا صَالِحًا فَأُوْلَـٰئِكَ يُبَدِّلُ اللَّهُ سَيِّئَاتِهِمْ حَسَنَاتٍ﴾  [الفرقان: 70]</w:t>
      </w:r>
    </w:p>
    <w:p w14:paraId="5F141656" w14:textId="77777777" w:rsidR="008F62F0" w:rsidRDefault="00000000">
      <w:pPr>
        <w:spacing w:before="40" w:after="80"/>
        <w:jc w:val="right"/>
      </w:pPr>
      <w:r>
        <w:rPr>
          <w:rFonts w:ascii="Traditional Arabic" w:eastAsia="Traditional Arabic" w:hAnsi="Traditional Arabic" w:cs="Traditional Arabic"/>
          <w:color w:val="1A1A1A"/>
          <w:sz w:val="24"/>
          <w:szCs w:val="24"/>
        </w:rPr>
        <w:t>وهي أرقى مراحل التحويل حيث يتحول الذنب نفسه إلى حسنة.</w:t>
      </w:r>
    </w:p>
    <w:p w14:paraId="20A9B8E9" w14:textId="77777777" w:rsidR="008F62F0" w:rsidRDefault="008F62F0">
      <w:pPr>
        <w:spacing w:before="100" w:after="60"/>
      </w:pPr>
    </w:p>
    <w:p w14:paraId="2A278A0E" w14:textId="77777777" w:rsidR="008F62F0" w:rsidRDefault="00000000">
      <w:pPr>
        <w:pBdr>
          <w:left w:val="single" w:sz="14" w:space="6" w:color="B8860B"/>
          <w:right w:val="single" w:sz="14" w:space="6" w:color="B8860B"/>
        </w:pBdr>
        <w:spacing w:before="120" w:after="120"/>
        <w:ind w:left="800" w:right="800"/>
        <w:jc w:val="right"/>
      </w:pPr>
      <w:r>
        <w:rPr>
          <w:rFonts w:ascii="Traditional Arabic" w:eastAsia="Traditional Arabic" w:hAnsi="Traditional Arabic" w:cs="Traditional Arabic"/>
          <w:b/>
          <w:bCs/>
          <w:i/>
          <w:iCs/>
          <w:color w:val="2C2C2C"/>
          <w:sz w:val="24"/>
          <w:szCs w:val="24"/>
        </w:rPr>
        <w:t>الافتراض المركزي: الطاقة النفسية المرتبطة بالذنب (الندم، الحزن، الخوف، جلد الذات) يمكن «توجيهها» وليس فقط «تفريغها» أو «كبتها». الندم ليس مجرد شعور سلبي يجب التخلص منه، بل هو وقود يمكن استخدامه لتحريك عجلة الحياة في اتجاه جديد.</w:t>
      </w:r>
    </w:p>
    <w:p w14:paraId="49E7F288"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11.2  الأهداف العلاجية</w:t>
      </w:r>
    </w:p>
    <w:p w14:paraId="62503521" w14:textId="77777777" w:rsidR="008F62F0" w:rsidRDefault="00000000">
      <w:pPr>
        <w:pStyle w:val="a4"/>
        <w:numPr>
          <w:ilvl w:val="0"/>
          <w:numId w:val="10"/>
        </w:numPr>
        <w:spacing w:before="40" w:after="60"/>
        <w:jc w:val="right"/>
      </w:pPr>
      <w:r>
        <w:rPr>
          <w:rFonts w:ascii="Traditional Arabic" w:eastAsia="Traditional Arabic" w:hAnsi="Traditional Arabic" w:cs="Traditional Arabic"/>
          <w:color w:val="1A1A1A"/>
          <w:sz w:val="24"/>
          <w:szCs w:val="24"/>
        </w:rPr>
        <w:t>تحويل طاقة الندم إلى دافع للعمل البناء.</w:t>
      </w:r>
    </w:p>
    <w:p w14:paraId="3A131824" w14:textId="77777777" w:rsidR="008F62F0" w:rsidRDefault="00000000">
      <w:pPr>
        <w:pStyle w:val="a4"/>
        <w:numPr>
          <w:ilvl w:val="0"/>
          <w:numId w:val="10"/>
        </w:numPr>
        <w:spacing w:before="40" w:after="60"/>
        <w:jc w:val="right"/>
      </w:pPr>
      <w:r>
        <w:rPr>
          <w:rFonts w:ascii="Traditional Arabic" w:eastAsia="Traditional Arabic" w:hAnsi="Traditional Arabic" w:cs="Traditional Arabic"/>
          <w:color w:val="1A1A1A"/>
          <w:sz w:val="24"/>
          <w:szCs w:val="24"/>
        </w:rPr>
        <w:t>بناء «جسر سلوكي» يربط بين الذنب الماضي والفعل الحاضر.</w:t>
      </w:r>
    </w:p>
    <w:p w14:paraId="0991FF2A" w14:textId="77777777" w:rsidR="008F62F0" w:rsidRDefault="00000000">
      <w:pPr>
        <w:pStyle w:val="a4"/>
        <w:numPr>
          <w:ilvl w:val="0"/>
          <w:numId w:val="10"/>
        </w:numPr>
        <w:spacing w:before="40" w:after="60"/>
        <w:jc w:val="right"/>
      </w:pPr>
      <w:r>
        <w:rPr>
          <w:rFonts w:ascii="Traditional Arabic" w:eastAsia="Traditional Arabic" w:hAnsi="Traditional Arabic" w:cs="Traditional Arabic"/>
          <w:color w:val="1A1A1A"/>
          <w:sz w:val="24"/>
          <w:szCs w:val="24"/>
        </w:rPr>
        <w:t>تصميم «مشروع كفارة إبداعية» يحول الخطأ إلى مصدر خير.</w:t>
      </w:r>
    </w:p>
    <w:p w14:paraId="40F698D1" w14:textId="77777777" w:rsidR="008F62F0" w:rsidRDefault="00000000">
      <w:pPr>
        <w:pStyle w:val="a4"/>
        <w:numPr>
          <w:ilvl w:val="0"/>
          <w:numId w:val="10"/>
        </w:numPr>
        <w:spacing w:before="40" w:after="60"/>
        <w:jc w:val="right"/>
      </w:pPr>
      <w:r>
        <w:rPr>
          <w:rFonts w:ascii="Traditional Arabic" w:eastAsia="Traditional Arabic" w:hAnsi="Traditional Arabic" w:cs="Traditional Arabic"/>
          <w:color w:val="1A1A1A"/>
          <w:sz w:val="24"/>
          <w:szCs w:val="24"/>
        </w:rPr>
        <w:t>تحقيق التعويض الحي (Living Amends) حيثما أمكن.</w:t>
      </w:r>
    </w:p>
    <w:p w14:paraId="4F516A5C" w14:textId="77777777" w:rsidR="008F62F0" w:rsidRDefault="00000000">
      <w:pPr>
        <w:pStyle w:val="a4"/>
        <w:numPr>
          <w:ilvl w:val="0"/>
          <w:numId w:val="10"/>
        </w:numPr>
        <w:spacing w:before="40" w:after="60"/>
        <w:jc w:val="right"/>
      </w:pPr>
      <w:r>
        <w:rPr>
          <w:rFonts w:ascii="Traditional Arabic" w:eastAsia="Traditional Arabic" w:hAnsi="Traditional Arabic" w:cs="Traditional Arabic"/>
          <w:color w:val="1A1A1A"/>
          <w:sz w:val="24"/>
          <w:szCs w:val="24"/>
        </w:rPr>
        <w:t>كسر دائرة «الندم السلبي» واستبدالها بدائرة «العطاء الإيجابي».</w:t>
      </w:r>
    </w:p>
    <w:p w14:paraId="016A1C80" w14:textId="77777777" w:rsidR="008F62F0" w:rsidRDefault="00000000">
      <w:pPr>
        <w:pStyle w:val="a4"/>
        <w:numPr>
          <w:ilvl w:val="0"/>
          <w:numId w:val="10"/>
        </w:numPr>
        <w:spacing w:before="40" w:after="60"/>
        <w:jc w:val="right"/>
      </w:pPr>
      <w:r>
        <w:rPr>
          <w:rFonts w:ascii="Traditional Arabic" w:eastAsia="Traditional Arabic" w:hAnsi="Traditional Arabic" w:cs="Traditional Arabic"/>
          <w:color w:val="1A1A1A"/>
          <w:sz w:val="24"/>
          <w:szCs w:val="24"/>
        </w:rPr>
        <w:t>تمكين المريض من تجربة ذاته كمصدر خير لا كمجرد مصدر شر.</w:t>
      </w:r>
    </w:p>
    <w:p w14:paraId="5ED3FC24"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11.3  الآليات الديناميكية</w:t>
      </w:r>
    </w:p>
    <w:p w14:paraId="057CE047"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11.3.1  آلية الجسر السلوكي (Behavioral Bridge)</w:t>
      </w:r>
    </w:p>
    <w:p w14:paraId="22B4B1A7" w14:textId="77777777" w:rsidR="008F62F0" w:rsidRDefault="00000000">
      <w:pPr>
        <w:spacing w:before="40" w:after="80"/>
        <w:jc w:val="right"/>
      </w:pPr>
      <w:r>
        <w:rPr>
          <w:rFonts w:ascii="Traditional Arabic" w:eastAsia="Traditional Arabic" w:hAnsi="Traditional Arabic" w:cs="Traditional Arabic"/>
          <w:color w:val="1A1A1A"/>
          <w:sz w:val="24"/>
          <w:szCs w:val="24"/>
        </w:rPr>
        <w:t>تقوم هذه الآلية المركزية على فكرة أن كل ذنب يمكن أن «يُجسَّر» إلى فعل نقيض. والفعل النقيض ليس عقاباً، بل هو:</w:t>
      </w:r>
    </w:p>
    <w:p w14:paraId="09100D71" w14:textId="77777777" w:rsidR="008F62F0" w:rsidRDefault="00000000">
      <w:pPr>
        <w:pStyle w:val="a4"/>
        <w:numPr>
          <w:ilvl w:val="0"/>
          <w:numId w:val="11"/>
        </w:numPr>
        <w:spacing w:before="40" w:after="60"/>
        <w:jc w:val="right"/>
      </w:pPr>
      <w:r>
        <w:rPr>
          <w:rFonts w:ascii="Traditional Arabic" w:eastAsia="Traditional Arabic" w:hAnsi="Traditional Arabic" w:cs="Traditional Arabic"/>
          <w:color w:val="1A1A1A"/>
          <w:sz w:val="24"/>
          <w:szCs w:val="24"/>
        </w:rPr>
        <w:t>رمزياً: يعكس القيمة المضادة للذنب (من كذب ← مشروع نزاهة؛ من خان أمانة ← مشروع أمانة؛ من آذى والديه ← رعاية مسنين).</w:t>
      </w:r>
    </w:p>
    <w:p w14:paraId="47E05D40" w14:textId="77777777" w:rsidR="008F62F0" w:rsidRDefault="00000000">
      <w:pPr>
        <w:pStyle w:val="a4"/>
        <w:numPr>
          <w:ilvl w:val="0"/>
          <w:numId w:val="11"/>
        </w:numPr>
        <w:spacing w:before="40" w:after="60"/>
        <w:jc w:val="right"/>
      </w:pPr>
      <w:r>
        <w:rPr>
          <w:rFonts w:ascii="Traditional Arabic" w:eastAsia="Traditional Arabic" w:hAnsi="Traditional Arabic" w:cs="Traditional Arabic"/>
          <w:color w:val="1A1A1A"/>
          <w:sz w:val="24"/>
          <w:szCs w:val="24"/>
        </w:rPr>
        <w:t>واقعياً: يقدم نفعاً حقيقياً للآخرين، مما يحول الطاقة السلبية إلى طاقة إيجابية ملموسة.</w:t>
      </w:r>
    </w:p>
    <w:p w14:paraId="056638BF" w14:textId="77777777" w:rsidR="008F62F0" w:rsidRDefault="00000000">
      <w:pPr>
        <w:pStyle w:val="a4"/>
        <w:numPr>
          <w:ilvl w:val="0"/>
          <w:numId w:val="11"/>
        </w:numPr>
        <w:spacing w:before="40" w:after="60"/>
        <w:jc w:val="right"/>
      </w:pPr>
      <w:r>
        <w:rPr>
          <w:rFonts w:ascii="Traditional Arabic" w:eastAsia="Traditional Arabic" w:hAnsi="Traditional Arabic" w:cs="Traditional Arabic"/>
          <w:color w:val="1A1A1A"/>
          <w:sz w:val="24"/>
          <w:szCs w:val="24"/>
        </w:rPr>
        <w:t>نفسياً: يحول هوية المريض من «فاعل شر» إلى «فاعل خير»، مما يعيد بناء تقدير الذات.</w:t>
      </w:r>
    </w:p>
    <w:p w14:paraId="3D9B985B"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خطوات بناء الجسر السلوكي:</w:t>
      </w:r>
    </w:p>
    <w:p w14:paraId="1530B1E7" w14:textId="77777777" w:rsidR="008F62F0" w:rsidRDefault="008F62F0">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026"/>
      </w:tblGrid>
      <w:tr w:rsidR="008F62F0" w14:paraId="2B19EBFC" w14:textId="77777777">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1B3A5C"/>
            <w:tcMar>
              <w:top w:w="90" w:type="dxa"/>
              <w:left w:w="150" w:type="dxa"/>
              <w:bottom w:w="90" w:type="dxa"/>
              <w:right w:w="150" w:type="dxa"/>
            </w:tcMar>
            <w:vAlign w:val="center"/>
          </w:tcPr>
          <w:p w14:paraId="0825B267" w14:textId="77777777" w:rsidR="008F62F0" w:rsidRDefault="00000000">
            <w:pPr>
              <w:jc w:val="center"/>
            </w:pPr>
            <w:r>
              <w:rPr>
                <w:rFonts w:ascii="Traditional Arabic" w:eastAsia="Traditional Arabic" w:hAnsi="Traditional Arabic" w:cs="Traditional Arabic"/>
                <w:b/>
                <w:bCs/>
                <w:color w:val="FFFFFF"/>
                <w:sz w:val="23"/>
                <w:szCs w:val="23"/>
              </w:rPr>
              <w:t>الخطوة</w:t>
            </w:r>
          </w:p>
        </w:tc>
        <w:tc>
          <w:tcPr>
            <w:tcW w:w="7026" w:type="dxa"/>
            <w:tcBorders>
              <w:top w:val="single" w:sz="4" w:space="0" w:color="B0C4DE"/>
              <w:left w:val="single" w:sz="4" w:space="0" w:color="B0C4DE"/>
              <w:bottom w:val="single" w:sz="4" w:space="0" w:color="B0C4DE"/>
              <w:right w:val="single" w:sz="4" w:space="0" w:color="B0C4DE"/>
            </w:tcBorders>
            <w:shd w:val="clear" w:color="auto" w:fill="1B3A5C"/>
            <w:tcMar>
              <w:top w:w="90" w:type="dxa"/>
              <w:left w:w="150" w:type="dxa"/>
              <w:bottom w:w="90" w:type="dxa"/>
              <w:right w:w="150" w:type="dxa"/>
            </w:tcMar>
            <w:vAlign w:val="center"/>
          </w:tcPr>
          <w:p w14:paraId="2939D7D6" w14:textId="77777777" w:rsidR="008F62F0" w:rsidRDefault="00000000">
            <w:pPr>
              <w:jc w:val="center"/>
            </w:pPr>
            <w:r>
              <w:rPr>
                <w:rFonts w:ascii="Traditional Arabic" w:eastAsia="Traditional Arabic" w:hAnsi="Traditional Arabic" w:cs="Traditional Arabic"/>
                <w:b/>
                <w:bCs/>
                <w:color w:val="FFFFFF"/>
                <w:sz w:val="23"/>
                <w:szCs w:val="23"/>
              </w:rPr>
              <w:t>الإجراء</w:t>
            </w:r>
          </w:p>
        </w:tc>
      </w:tr>
      <w:tr w:rsidR="008F62F0" w14:paraId="58CF8C87" w14:textId="77777777">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1C7EE1B7" w14:textId="77777777" w:rsidR="008F62F0" w:rsidRDefault="00000000">
            <w:pPr>
              <w:jc w:val="center"/>
            </w:pPr>
            <w:r>
              <w:rPr>
                <w:rFonts w:ascii="Traditional Arabic" w:eastAsia="Traditional Arabic" w:hAnsi="Traditional Arabic" w:cs="Traditional Arabic"/>
                <w:color w:val="1A1A1A"/>
                <w:sz w:val="22"/>
                <w:szCs w:val="22"/>
              </w:rPr>
              <w:t>1 – تحديد الذنب</w:t>
            </w:r>
          </w:p>
        </w:tc>
        <w:tc>
          <w:tcPr>
            <w:tcW w:w="70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4AA5E1AD" w14:textId="77777777" w:rsidR="008F62F0" w:rsidRDefault="00000000">
            <w:pPr>
              <w:jc w:val="center"/>
            </w:pPr>
            <w:r>
              <w:rPr>
                <w:rFonts w:ascii="Traditional Arabic" w:eastAsia="Traditional Arabic" w:hAnsi="Traditional Arabic" w:cs="Traditional Arabic"/>
                <w:color w:val="1A1A1A"/>
                <w:sz w:val="22"/>
                <w:szCs w:val="22"/>
              </w:rPr>
              <w:t>كتابة الذنب بدقة: ماذا فعلت؟ من المتضرر؟ متى؟ أين؟</w:t>
            </w:r>
          </w:p>
        </w:tc>
      </w:tr>
      <w:tr w:rsidR="008F62F0" w14:paraId="005945F8" w14:textId="77777777">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2D4EF95A" w14:textId="77777777" w:rsidR="008F62F0" w:rsidRDefault="00000000">
            <w:pPr>
              <w:jc w:val="center"/>
            </w:pPr>
            <w:r>
              <w:rPr>
                <w:rFonts w:ascii="Traditional Arabic" w:eastAsia="Traditional Arabic" w:hAnsi="Traditional Arabic" w:cs="Traditional Arabic"/>
                <w:color w:val="1A1A1A"/>
                <w:sz w:val="22"/>
                <w:szCs w:val="22"/>
              </w:rPr>
              <w:t>2 – تحديد القيمة المضادة</w:t>
            </w:r>
          </w:p>
        </w:tc>
        <w:tc>
          <w:tcPr>
            <w:tcW w:w="70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49C0B129" w14:textId="77777777" w:rsidR="008F62F0" w:rsidRDefault="00000000">
            <w:pPr>
              <w:jc w:val="center"/>
            </w:pPr>
            <w:r>
              <w:rPr>
                <w:rFonts w:ascii="Traditional Arabic" w:eastAsia="Traditional Arabic" w:hAnsi="Traditional Arabic" w:cs="Traditional Arabic"/>
                <w:color w:val="1A1A1A"/>
                <w:sz w:val="22"/>
                <w:szCs w:val="22"/>
              </w:rPr>
              <w:t>ما الفضيلة التي تناقض هذا الذنب؟ (كذب ← صدق، ظلم ← عدل، قطيعة ← صلة)</w:t>
            </w:r>
          </w:p>
        </w:tc>
      </w:tr>
      <w:tr w:rsidR="008F62F0" w14:paraId="5916850B" w14:textId="77777777">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7BDDE6EC" w14:textId="77777777" w:rsidR="008F62F0" w:rsidRDefault="00000000">
            <w:pPr>
              <w:jc w:val="center"/>
            </w:pPr>
            <w:r>
              <w:rPr>
                <w:rFonts w:ascii="Traditional Arabic" w:eastAsia="Traditional Arabic" w:hAnsi="Traditional Arabic" w:cs="Traditional Arabic"/>
                <w:color w:val="1A1A1A"/>
                <w:sz w:val="22"/>
                <w:szCs w:val="22"/>
              </w:rPr>
              <w:t>3 – العصف الذهني للأفعال</w:t>
            </w:r>
          </w:p>
        </w:tc>
        <w:tc>
          <w:tcPr>
            <w:tcW w:w="70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0AF0F5E8" w14:textId="77777777" w:rsidR="008F62F0" w:rsidRDefault="00000000">
            <w:pPr>
              <w:jc w:val="center"/>
            </w:pPr>
            <w:r>
              <w:rPr>
                <w:rFonts w:ascii="Traditional Arabic" w:eastAsia="Traditional Arabic" w:hAnsi="Traditional Arabic" w:cs="Traditional Arabic"/>
                <w:color w:val="1A1A1A"/>
                <w:sz w:val="22"/>
                <w:szCs w:val="22"/>
              </w:rPr>
              <w:t>كتابة كل الأفعال الممكنة التي تعبر عن هذه الفضيلة</w:t>
            </w:r>
          </w:p>
        </w:tc>
      </w:tr>
      <w:tr w:rsidR="008F62F0" w14:paraId="5EBE88A4" w14:textId="77777777">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4FFAE6F0" w14:textId="77777777" w:rsidR="008F62F0" w:rsidRDefault="00000000">
            <w:pPr>
              <w:jc w:val="center"/>
            </w:pPr>
            <w:r>
              <w:rPr>
                <w:rFonts w:ascii="Traditional Arabic" w:eastAsia="Traditional Arabic" w:hAnsi="Traditional Arabic" w:cs="Traditional Arabic"/>
                <w:color w:val="1A1A1A"/>
                <w:sz w:val="22"/>
                <w:szCs w:val="22"/>
              </w:rPr>
              <w:t>4 – اختيار الفعل الأنسب</w:t>
            </w:r>
          </w:p>
        </w:tc>
        <w:tc>
          <w:tcPr>
            <w:tcW w:w="70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677A6D43" w14:textId="77777777" w:rsidR="008F62F0" w:rsidRDefault="00000000">
            <w:pPr>
              <w:jc w:val="center"/>
            </w:pPr>
            <w:r>
              <w:rPr>
                <w:rFonts w:ascii="Traditional Arabic" w:eastAsia="Traditional Arabic" w:hAnsi="Traditional Arabic" w:cs="Traditional Arabic"/>
                <w:color w:val="1A1A1A"/>
                <w:sz w:val="22"/>
                <w:szCs w:val="22"/>
              </w:rPr>
              <w:t>مناسب للذنب، قابل للتنفيذ، مستدام</w:t>
            </w:r>
          </w:p>
        </w:tc>
      </w:tr>
      <w:tr w:rsidR="008F62F0" w14:paraId="4F378C85" w14:textId="77777777">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4E8CEB98" w14:textId="77777777" w:rsidR="008F62F0" w:rsidRDefault="00000000">
            <w:pPr>
              <w:jc w:val="center"/>
            </w:pPr>
            <w:r>
              <w:rPr>
                <w:rFonts w:ascii="Traditional Arabic" w:eastAsia="Traditional Arabic" w:hAnsi="Traditional Arabic" w:cs="Traditional Arabic"/>
                <w:color w:val="1A1A1A"/>
                <w:sz w:val="22"/>
                <w:szCs w:val="22"/>
              </w:rPr>
              <w:t>5 – الربط الرمزي</w:t>
            </w:r>
          </w:p>
        </w:tc>
        <w:tc>
          <w:tcPr>
            <w:tcW w:w="70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0F371544" w14:textId="77777777" w:rsidR="008F62F0" w:rsidRDefault="00000000">
            <w:pPr>
              <w:jc w:val="center"/>
            </w:pPr>
            <w:r>
              <w:rPr>
                <w:rFonts w:ascii="Traditional Arabic" w:eastAsia="Traditional Arabic" w:hAnsi="Traditional Arabic" w:cs="Traditional Arabic"/>
                <w:color w:val="1A1A1A"/>
                <w:sz w:val="22"/>
                <w:szCs w:val="22"/>
              </w:rPr>
              <w:t>تسمية الفعل باسم المتضرر، عقد نية الصدقة، كتابة عهد</w:t>
            </w:r>
          </w:p>
        </w:tc>
      </w:tr>
      <w:tr w:rsidR="008F62F0" w14:paraId="726F795E" w14:textId="77777777">
        <w:tblPrEx>
          <w:tblCellMar>
            <w:top w:w="0" w:type="dxa"/>
            <w:bottom w:w="0" w:type="dxa"/>
          </w:tblCellMar>
        </w:tblPrEx>
        <w:tc>
          <w:tcPr>
            <w:tcW w:w="20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2116BAB6" w14:textId="77777777" w:rsidR="008F62F0" w:rsidRDefault="00000000">
            <w:pPr>
              <w:jc w:val="center"/>
            </w:pPr>
            <w:r>
              <w:rPr>
                <w:rFonts w:ascii="Traditional Arabic" w:eastAsia="Traditional Arabic" w:hAnsi="Traditional Arabic" w:cs="Traditional Arabic"/>
                <w:color w:val="1A1A1A"/>
                <w:sz w:val="22"/>
                <w:szCs w:val="22"/>
              </w:rPr>
              <w:t>6 – التنفيذ والتوثيق</w:t>
            </w:r>
          </w:p>
        </w:tc>
        <w:tc>
          <w:tcPr>
            <w:tcW w:w="70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00059D48" w14:textId="77777777" w:rsidR="008F62F0" w:rsidRDefault="00000000">
            <w:pPr>
              <w:jc w:val="center"/>
            </w:pPr>
            <w:r>
              <w:rPr>
                <w:rFonts w:ascii="Traditional Arabic" w:eastAsia="Traditional Arabic" w:hAnsi="Traditional Arabic" w:cs="Traditional Arabic"/>
                <w:color w:val="1A1A1A"/>
                <w:sz w:val="22"/>
                <w:szCs w:val="22"/>
              </w:rPr>
              <w:t>تنفيذ منتظم + يوميات عن المشاعر والتحديات</w:t>
            </w:r>
          </w:p>
        </w:tc>
      </w:tr>
    </w:tbl>
    <w:p w14:paraId="398FFD6B"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11.3.2  آلية التعويض بالوكالة (Vicarious Amends)</w:t>
      </w:r>
    </w:p>
    <w:p w14:paraId="63F9B348" w14:textId="77777777" w:rsidR="008F62F0" w:rsidRDefault="00000000">
      <w:pPr>
        <w:spacing w:before="40" w:after="80"/>
        <w:jc w:val="right"/>
      </w:pPr>
      <w:r>
        <w:rPr>
          <w:rFonts w:ascii="Traditional Arabic" w:eastAsia="Traditional Arabic" w:hAnsi="Traditional Arabic" w:cs="Traditional Arabic"/>
          <w:color w:val="1A1A1A"/>
          <w:sz w:val="24"/>
          <w:szCs w:val="24"/>
        </w:rPr>
        <w:t>في حالة استحالة التعويض المباشر (موت المتضرر، فقدان الأثر، استحالة الوصول)، يتم بناء تعويض «بالوكالة» وفق الصور الآتية:</w:t>
      </w:r>
    </w:p>
    <w:p w14:paraId="7D5FC0F2" w14:textId="77777777" w:rsidR="008F62F0" w:rsidRDefault="00000000">
      <w:pPr>
        <w:pStyle w:val="a4"/>
        <w:numPr>
          <w:ilvl w:val="0"/>
          <w:numId w:val="12"/>
        </w:numPr>
        <w:spacing w:before="40" w:after="60"/>
        <w:jc w:val="right"/>
      </w:pPr>
      <w:r>
        <w:rPr>
          <w:rFonts w:ascii="Traditional Arabic" w:eastAsia="Traditional Arabic" w:hAnsi="Traditional Arabic" w:cs="Traditional Arabic"/>
          <w:color w:val="1A1A1A"/>
          <w:sz w:val="24"/>
          <w:szCs w:val="24"/>
        </w:rPr>
        <w:t>التبرع باسم المتضرر لمؤسسة خيرية.</w:t>
      </w:r>
    </w:p>
    <w:p w14:paraId="5D7A046A" w14:textId="77777777" w:rsidR="008F62F0" w:rsidRDefault="00000000">
      <w:pPr>
        <w:pStyle w:val="a4"/>
        <w:numPr>
          <w:ilvl w:val="0"/>
          <w:numId w:val="12"/>
        </w:numPr>
        <w:spacing w:before="40" w:after="60"/>
        <w:jc w:val="right"/>
      </w:pPr>
      <w:r>
        <w:rPr>
          <w:rFonts w:ascii="Traditional Arabic" w:eastAsia="Traditional Arabic" w:hAnsi="Traditional Arabic" w:cs="Traditional Arabic"/>
          <w:color w:val="1A1A1A"/>
          <w:sz w:val="24"/>
          <w:szCs w:val="24"/>
        </w:rPr>
        <w:t>مساعدة آخرين في نفس الظروف (من أذى يتيماً يكفل يتيماً).</w:t>
      </w:r>
    </w:p>
    <w:p w14:paraId="2D084421" w14:textId="77777777" w:rsidR="008F62F0" w:rsidRDefault="00000000">
      <w:pPr>
        <w:pStyle w:val="a4"/>
        <w:numPr>
          <w:ilvl w:val="0"/>
          <w:numId w:val="12"/>
        </w:numPr>
        <w:spacing w:before="40" w:after="60"/>
        <w:jc w:val="right"/>
      </w:pPr>
      <w:r>
        <w:rPr>
          <w:rFonts w:ascii="Traditional Arabic" w:eastAsia="Traditional Arabic" w:hAnsi="Traditional Arabic" w:cs="Traditional Arabic"/>
          <w:color w:val="1A1A1A"/>
          <w:sz w:val="24"/>
          <w:szCs w:val="24"/>
        </w:rPr>
        <w:t>تحويل الألم الشخصي إلى دعم لقضية عامة (من تسبب بحادث سير يتطوع في التوعية المرورية).</w:t>
      </w:r>
    </w:p>
    <w:p w14:paraId="312A75DD" w14:textId="77777777" w:rsidR="008F62F0" w:rsidRDefault="00000000">
      <w:pPr>
        <w:pStyle w:val="a4"/>
        <w:numPr>
          <w:ilvl w:val="0"/>
          <w:numId w:val="12"/>
        </w:numPr>
        <w:spacing w:before="40" w:after="60"/>
        <w:jc w:val="right"/>
      </w:pPr>
      <w:r>
        <w:rPr>
          <w:rFonts w:ascii="Traditional Arabic" w:eastAsia="Traditional Arabic" w:hAnsi="Traditional Arabic" w:cs="Traditional Arabic"/>
          <w:color w:val="1A1A1A"/>
          <w:sz w:val="24"/>
          <w:szCs w:val="24"/>
        </w:rPr>
        <w:t>كتابة رسالة أو عمل فني يُخلِّد درس الخطأ وينفع الآخرين.</w:t>
      </w:r>
    </w:p>
    <w:p w14:paraId="44F86AE3"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11.3.3  آلية تحويل الهوية من الماضي إلى المستقبل</w:t>
      </w:r>
    </w:p>
    <w:p w14:paraId="09296ADF" w14:textId="77777777" w:rsidR="008F62F0" w:rsidRDefault="00000000">
      <w:pPr>
        <w:spacing w:before="40" w:after="80"/>
        <w:jc w:val="right"/>
      </w:pPr>
      <w:r>
        <w:rPr>
          <w:rFonts w:ascii="Traditional Arabic" w:eastAsia="Traditional Arabic" w:hAnsi="Traditional Arabic" w:cs="Traditional Arabic"/>
          <w:color w:val="1A1A1A"/>
          <w:sz w:val="24"/>
          <w:szCs w:val="24"/>
        </w:rPr>
        <w:t>الذنب المرضي يخلق هوية جامدة: «أنا الشخص الذي فعل كذا» (هوية ثابتة في الماضي). التحويل الطاقي يخلق هوية ديناميكية: «أنا الشخص الذي تعلم من كذا ويحول درسه إلى عطاء» (هوية مستقبلية منفتحة).</w:t>
      </w:r>
    </w:p>
    <w:p w14:paraId="14F5AFC7"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خطوات التحول الهوياتي:</w:t>
      </w:r>
    </w:p>
    <w:p w14:paraId="306512B3" w14:textId="77777777" w:rsidR="008F62F0" w:rsidRDefault="00000000">
      <w:pPr>
        <w:pStyle w:val="a4"/>
        <w:numPr>
          <w:ilvl w:val="0"/>
          <w:numId w:val="13"/>
        </w:numPr>
        <w:spacing w:before="40" w:after="60"/>
        <w:jc w:val="right"/>
      </w:pPr>
      <w:r>
        <w:rPr>
          <w:rFonts w:ascii="Traditional Arabic" w:eastAsia="Traditional Arabic" w:hAnsi="Traditional Arabic" w:cs="Traditional Arabic"/>
          <w:color w:val="1A1A1A"/>
          <w:sz w:val="24"/>
          <w:szCs w:val="24"/>
        </w:rPr>
        <w:t>الاعتراف بالفعل الماضي.</w:t>
      </w:r>
    </w:p>
    <w:p w14:paraId="308B39B7" w14:textId="77777777" w:rsidR="008F62F0" w:rsidRDefault="00000000">
      <w:pPr>
        <w:pStyle w:val="a4"/>
        <w:numPr>
          <w:ilvl w:val="0"/>
          <w:numId w:val="13"/>
        </w:numPr>
        <w:spacing w:before="40" w:after="60"/>
        <w:jc w:val="right"/>
      </w:pPr>
      <w:r>
        <w:rPr>
          <w:rFonts w:ascii="Traditional Arabic" w:eastAsia="Traditional Arabic" w:hAnsi="Traditional Arabic" w:cs="Traditional Arabic"/>
          <w:color w:val="1A1A1A"/>
          <w:sz w:val="24"/>
          <w:szCs w:val="24"/>
        </w:rPr>
        <w:t>استخلاص الدرس منه.</w:t>
      </w:r>
    </w:p>
    <w:p w14:paraId="6831EF67" w14:textId="77777777" w:rsidR="008F62F0" w:rsidRDefault="00000000">
      <w:pPr>
        <w:pStyle w:val="a4"/>
        <w:numPr>
          <w:ilvl w:val="0"/>
          <w:numId w:val="13"/>
        </w:numPr>
        <w:spacing w:before="40" w:after="60"/>
        <w:jc w:val="right"/>
      </w:pPr>
      <w:r>
        <w:rPr>
          <w:rFonts w:ascii="Traditional Arabic" w:eastAsia="Traditional Arabic" w:hAnsi="Traditional Arabic" w:cs="Traditional Arabic"/>
          <w:color w:val="1A1A1A"/>
          <w:sz w:val="24"/>
          <w:szCs w:val="24"/>
        </w:rPr>
        <w:t>بناء مشروع مستقبلي بناءً على هذا الدرس.</w:t>
      </w:r>
    </w:p>
    <w:p w14:paraId="5EBA3F06" w14:textId="77777777" w:rsidR="008F62F0" w:rsidRDefault="00000000">
      <w:pPr>
        <w:pStyle w:val="a4"/>
        <w:numPr>
          <w:ilvl w:val="0"/>
          <w:numId w:val="13"/>
        </w:numPr>
        <w:spacing w:before="40" w:after="60"/>
        <w:jc w:val="right"/>
      </w:pPr>
      <w:r>
        <w:rPr>
          <w:rFonts w:ascii="Traditional Arabic" w:eastAsia="Traditional Arabic" w:hAnsi="Traditional Arabic" w:cs="Traditional Arabic"/>
          <w:color w:val="1A1A1A"/>
          <w:sz w:val="24"/>
          <w:szCs w:val="24"/>
        </w:rPr>
        <w:t>تبني هوية جديدة تتضمن الماضي كجزء من قصة النمو.</w:t>
      </w:r>
    </w:p>
    <w:p w14:paraId="2A10A5A5"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11.3.4  آلية «النفقة النفسية» (Psychic Charity)</w:t>
      </w:r>
    </w:p>
    <w:p w14:paraId="5BAF63F6" w14:textId="77777777" w:rsidR="008F62F0" w:rsidRDefault="00000000">
      <w:pPr>
        <w:spacing w:before="40" w:after="80"/>
        <w:jc w:val="right"/>
      </w:pPr>
      <w:r>
        <w:rPr>
          <w:rFonts w:ascii="Traditional Arabic" w:eastAsia="Traditional Arabic" w:hAnsi="Traditional Arabic" w:cs="Traditional Arabic"/>
          <w:color w:val="1A1A1A"/>
          <w:sz w:val="24"/>
          <w:szCs w:val="24"/>
        </w:rPr>
        <w:t>استعارة من مفهوم النفقة المالية: كما أن المال يزكى بإنفاقه، فالطاقة النفسية «تزكى» بتحويلها إلى عطاء. الإمساك عن الإنفاق يؤدي إلى اكتناز مرضي، والإنفاق يؤدي إلى تطهير ونماء.</w:t>
      </w:r>
    </w:p>
    <w:p w14:paraId="729AB6F8"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11.3.5  آلية إعادة الاستثمار العاطفي (Emotional Reinvestment)</w:t>
      </w:r>
    </w:p>
    <w:p w14:paraId="346A49CC" w14:textId="77777777" w:rsidR="008F62F0" w:rsidRDefault="00000000">
      <w:pPr>
        <w:spacing w:before="40" w:after="80"/>
        <w:jc w:val="right"/>
      </w:pPr>
      <w:r>
        <w:rPr>
          <w:rFonts w:ascii="Traditional Arabic" w:eastAsia="Traditional Arabic" w:hAnsi="Traditional Arabic" w:cs="Traditional Arabic"/>
          <w:color w:val="1A1A1A"/>
          <w:sz w:val="24"/>
          <w:szCs w:val="24"/>
        </w:rPr>
        <w:t>كان المريض يستثمر طاقته العاطفية في اجترار الماضي. في هذه المرحلة، يتم إعادة توجيه هذا الاستثمار نحو المستقبل. العاطفة نفسها (شدة الندم) تبقى، لكن اتجاهها يتغير من التدمير الذاتي إلى البناء المجتمعي.</w:t>
      </w:r>
    </w:p>
    <w:p w14:paraId="6C9DDAC4"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11.4  التقنيات التطبيقية</w:t>
      </w:r>
    </w:p>
    <w:p w14:paraId="7EDE923A"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تقنية 1: تحليل الطاقة الكامنة</w:t>
      </w:r>
    </w:p>
    <w:p w14:paraId="3B9CB308" w14:textId="77777777" w:rsidR="008F62F0" w:rsidRDefault="00000000">
      <w:pPr>
        <w:spacing w:before="40" w:after="80"/>
        <w:jc w:val="right"/>
      </w:pPr>
      <w:r>
        <w:rPr>
          <w:rFonts w:ascii="Traditional Arabic" w:eastAsia="Traditional Arabic" w:hAnsi="Traditional Arabic" w:cs="Traditional Arabic"/>
          <w:color w:val="1A1A1A"/>
          <w:sz w:val="24"/>
          <w:szCs w:val="24"/>
        </w:rPr>
        <w:t>تهدف إلى جعل المريض يرى حجم الطاقة التي يهدرها في اجترار الذنب. الخطوات:</w:t>
      </w:r>
    </w:p>
    <w:p w14:paraId="058D0C68" w14:textId="77777777" w:rsidR="008F62F0" w:rsidRDefault="00000000">
      <w:pPr>
        <w:pStyle w:val="a4"/>
        <w:numPr>
          <w:ilvl w:val="0"/>
          <w:numId w:val="14"/>
        </w:numPr>
        <w:spacing w:before="40" w:after="60"/>
        <w:jc w:val="right"/>
      </w:pPr>
      <w:r>
        <w:rPr>
          <w:rFonts w:ascii="Traditional Arabic" w:eastAsia="Traditional Arabic" w:hAnsi="Traditional Arabic" w:cs="Traditional Arabic"/>
          <w:color w:val="1A1A1A"/>
          <w:sz w:val="24"/>
          <w:szCs w:val="24"/>
        </w:rPr>
        <w:t>سؤال المريض: «كم ساعة تفكر في هذا الذنب أسبوعياً؟»</w:t>
      </w:r>
    </w:p>
    <w:p w14:paraId="0F21A4BC" w14:textId="77777777" w:rsidR="008F62F0" w:rsidRDefault="00000000">
      <w:pPr>
        <w:pStyle w:val="a4"/>
        <w:numPr>
          <w:ilvl w:val="0"/>
          <w:numId w:val="14"/>
        </w:numPr>
        <w:spacing w:before="40" w:after="60"/>
        <w:jc w:val="right"/>
      </w:pPr>
      <w:r>
        <w:rPr>
          <w:rFonts w:ascii="Traditional Arabic" w:eastAsia="Traditional Arabic" w:hAnsi="Traditional Arabic" w:cs="Traditional Arabic"/>
          <w:color w:val="1A1A1A"/>
          <w:sz w:val="24"/>
          <w:szCs w:val="24"/>
        </w:rPr>
        <w:t>تحويل الوقت إلى «طاقة» (مثلاً: 10 ساعات أسبوعياً × 4 أسابيع = 40 ساعة طاقة مهدرة شهرياً).</w:t>
      </w:r>
    </w:p>
    <w:p w14:paraId="18B9878E" w14:textId="77777777" w:rsidR="008F62F0" w:rsidRDefault="00000000">
      <w:pPr>
        <w:pStyle w:val="a4"/>
        <w:numPr>
          <w:ilvl w:val="0"/>
          <w:numId w:val="14"/>
        </w:numPr>
        <w:spacing w:before="40" w:after="60"/>
        <w:jc w:val="right"/>
      </w:pPr>
      <w:r>
        <w:rPr>
          <w:rFonts w:ascii="Traditional Arabic" w:eastAsia="Traditional Arabic" w:hAnsi="Traditional Arabic" w:cs="Traditional Arabic"/>
          <w:color w:val="1A1A1A"/>
          <w:sz w:val="24"/>
          <w:szCs w:val="24"/>
        </w:rPr>
        <w:t>تحويل الطاقة إلى عمل: «لو استثمرت هذه الـ40 ساعة في عمل خيري، كم كان يمكن أن تنجز؟»</w:t>
      </w:r>
    </w:p>
    <w:p w14:paraId="20922276" w14:textId="77777777" w:rsidR="008F62F0" w:rsidRDefault="00000000">
      <w:pPr>
        <w:pStyle w:val="a4"/>
        <w:numPr>
          <w:ilvl w:val="0"/>
          <w:numId w:val="14"/>
        </w:numPr>
        <w:spacing w:before="40" w:after="60"/>
        <w:jc w:val="right"/>
      </w:pPr>
      <w:r>
        <w:rPr>
          <w:rFonts w:ascii="Traditional Arabic" w:eastAsia="Traditional Arabic" w:hAnsi="Traditional Arabic" w:cs="Traditional Arabic"/>
          <w:color w:val="1A1A1A"/>
          <w:sz w:val="24"/>
          <w:szCs w:val="24"/>
        </w:rPr>
        <w:t>مفارقة علاجية: «أنت تملك طاقة هائلة، لكنك توجهها لتدمير نفسك بدلاً من بناء نفسك والآخرين».</w:t>
      </w:r>
    </w:p>
    <w:p w14:paraId="2140D479"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تقنية 2: بناء الجسر السلوكي (خطوات تفصيلية)</w:t>
      </w:r>
    </w:p>
    <w:p w14:paraId="4F23E3FF" w14:textId="77777777" w:rsidR="008F62F0" w:rsidRDefault="00000000">
      <w:pPr>
        <w:spacing w:before="40" w:after="80"/>
        <w:jc w:val="right"/>
      </w:pPr>
      <w:r>
        <w:rPr>
          <w:rFonts w:ascii="Traditional Arabic" w:eastAsia="Traditional Arabic" w:hAnsi="Traditional Arabic" w:cs="Traditional Arabic"/>
          <w:color w:val="1A1A1A"/>
          <w:sz w:val="24"/>
          <w:szCs w:val="24"/>
        </w:rPr>
        <w:t>راجع الجدول التفصيلي في القسم 11.3.1 أعلاه.</w:t>
      </w:r>
    </w:p>
    <w:p w14:paraId="2EEE96C3"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تقنية 3: مشروع الكفارة الإبداعية (Creative Atonement Project)</w:t>
      </w:r>
    </w:p>
    <w:p w14:paraId="121A8A9D" w14:textId="77777777" w:rsidR="008F62F0" w:rsidRDefault="00000000">
      <w:pPr>
        <w:spacing w:before="40" w:after="80"/>
        <w:jc w:val="right"/>
      </w:pPr>
      <w:r>
        <w:rPr>
          <w:rFonts w:ascii="Traditional Arabic" w:eastAsia="Traditional Arabic" w:hAnsi="Traditional Arabic" w:cs="Traditional Arabic"/>
          <w:color w:val="1A1A1A"/>
          <w:sz w:val="24"/>
          <w:szCs w:val="24"/>
        </w:rPr>
        <w:t>هذا المشروع هو «تخرج» المريض من مرحلة الذنب إلى مرحلة العطاء، وهو مشروع شخصي طويل المدى من تصميم المريض نفسه. عناصر المشروع:</w:t>
      </w:r>
    </w:p>
    <w:p w14:paraId="1F445F5C" w14:textId="77777777" w:rsidR="008F62F0" w:rsidRDefault="00000000">
      <w:pPr>
        <w:pStyle w:val="a4"/>
        <w:numPr>
          <w:ilvl w:val="0"/>
          <w:numId w:val="15"/>
        </w:numPr>
        <w:spacing w:before="40" w:after="60"/>
        <w:jc w:val="right"/>
      </w:pPr>
      <w:r>
        <w:rPr>
          <w:rFonts w:ascii="Traditional Arabic" w:eastAsia="Traditional Arabic" w:hAnsi="Traditional Arabic" w:cs="Traditional Arabic"/>
          <w:color w:val="1A1A1A"/>
          <w:sz w:val="24"/>
          <w:szCs w:val="24"/>
        </w:rPr>
        <w:t>الاسم: يختاره المريض (مثلاً: «بصمة أبي»، «نور من ظلمة»، «صدقة جارية»).</w:t>
      </w:r>
    </w:p>
    <w:p w14:paraId="1D0B1A5A" w14:textId="77777777" w:rsidR="008F62F0" w:rsidRDefault="00000000">
      <w:pPr>
        <w:pStyle w:val="a4"/>
        <w:numPr>
          <w:ilvl w:val="0"/>
          <w:numId w:val="15"/>
        </w:numPr>
        <w:spacing w:before="40" w:after="60"/>
        <w:jc w:val="right"/>
      </w:pPr>
      <w:r>
        <w:rPr>
          <w:rFonts w:ascii="Traditional Arabic" w:eastAsia="Traditional Arabic" w:hAnsi="Traditional Arabic" w:cs="Traditional Arabic"/>
          <w:color w:val="1A1A1A"/>
          <w:sz w:val="24"/>
          <w:szCs w:val="24"/>
        </w:rPr>
        <w:t>الرسالة: جملة تصف الهدف («تحويل ألم فقدان الوالد إلى دعم لأيتام»).</w:t>
      </w:r>
    </w:p>
    <w:p w14:paraId="4DFE9E93" w14:textId="77777777" w:rsidR="008F62F0" w:rsidRDefault="00000000">
      <w:pPr>
        <w:pStyle w:val="a4"/>
        <w:numPr>
          <w:ilvl w:val="0"/>
          <w:numId w:val="15"/>
        </w:numPr>
        <w:spacing w:before="40" w:after="60"/>
        <w:jc w:val="right"/>
      </w:pPr>
      <w:r>
        <w:rPr>
          <w:rFonts w:ascii="Traditional Arabic" w:eastAsia="Traditional Arabic" w:hAnsi="Traditional Arabic" w:cs="Traditional Arabic"/>
          <w:color w:val="1A1A1A"/>
          <w:sz w:val="24"/>
          <w:szCs w:val="24"/>
        </w:rPr>
        <w:t>النشاط: وصف تفصيلي للأنشطة (توعية، تطوع، تبرع، تأسيس مبادرة).</w:t>
      </w:r>
    </w:p>
    <w:p w14:paraId="3C1649DD" w14:textId="77777777" w:rsidR="008F62F0" w:rsidRDefault="00000000">
      <w:pPr>
        <w:pStyle w:val="a4"/>
        <w:numPr>
          <w:ilvl w:val="0"/>
          <w:numId w:val="15"/>
        </w:numPr>
        <w:spacing w:before="40" w:after="60"/>
        <w:jc w:val="right"/>
      </w:pPr>
      <w:r>
        <w:rPr>
          <w:rFonts w:ascii="Traditional Arabic" w:eastAsia="Traditional Arabic" w:hAnsi="Traditional Arabic" w:cs="Traditional Arabic"/>
          <w:color w:val="1A1A1A"/>
          <w:sz w:val="24"/>
          <w:szCs w:val="24"/>
        </w:rPr>
        <w:t>الجمهور: من المستفيدون؟ (أيتام، مسنين، مرضى، طلاب).</w:t>
      </w:r>
    </w:p>
    <w:p w14:paraId="3E1C82AB" w14:textId="77777777" w:rsidR="008F62F0" w:rsidRDefault="00000000">
      <w:pPr>
        <w:pStyle w:val="a4"/>
        <w:numPr>
          <w:ilvl w:val="0"/>
          <w:numId w:val="15"/>
        </w:numPr>
        <w:spacing w:before="40" w:after="60"/>
        <w:jc w:val="right"/>
      </w:pPr>
      <w:r>
        <w:rPr>
          <w:rFonts w:ascii="Traditional Arabic" w:eastAsia="Traditional Arabic" w:hAnsi="Traditional Arabic" w:cs="Traditional Arabic"/>
          <w:color w:val="1A1A1A"/>
          <w:sz w:val="24"/>
          <w:szCs w:val="24"/>
        </w:rPr>
        <w:t>الربط بالذنب: كيف يمثل المشروع تعويضاً عن الذنب الأصلي؟</w:t>
      </w:r>
    </w:p>
    <w:p w14:paraId="66CDBCBA" w14:textId="77777777" w:rsidR="008F62F0" w:rsidRDefault="00000000">
      <w:pPr>
        <w:pStyle w:val="a4"/>
        <w:numPr>
          <w:ilvl w:val="0"/>
          <w:numId w:val="15"/>
        </w:numPr>
        <w:spacing w:before="40" w:after="60"/>
        <w:jc w:val="right"/>
      </w:pPr>
      <w:r>
        <w:rPr>
          <w:rFonts w:ascii="Traditional Arabic" w:eastAsia="Traditional Arabic" w:hAnsi="Traditional Arabic" w:cs="Traditional Arabic"/>
          <w:color w:val="1A1A1A"/>
          <w:sz w:val="24"/>
          <w:szCs w:val="24"/>
        </w:rPr>
        <w:t>مؤشرات النجاح: كيف سيعرف المريض أن المشروع ناجح؟</w:t>
      </w:r>
    </w:p>
    <w:p w14:paraId="7DCE06E8" w14:textId="77777777" w:rsidR="008F62F0" w:rsidRDefault="00000000">
      <w:pPr>
        <w:pStyle w:val="a4"/>
        <w:numPr>
          <w:ilvl w:val="0"/>
          <w:numId w:val="15"/>
        </w:numPr>
        <w:spacing w:before="40" w:after="60"/>
        <w:jc w:val="right"/>
      </w:pPr>
      <w:r>
        <w:rPr>
          <w:rFonts w:ascii="Traditional Arabic" w:eastAsia="Traditional Arabic" w:hAnsi="Traditional Arabic" w:cs="Traditional Arabic"/>
          <w:color w:val="1A1A1A"/>
          <w:sz w:val="24"/>
          <w:szCs w:val="24"/>
        </w:rPr>
        <w:t>المدة: محدد بزمن أم مفتوح؟ (يُفضَّل مفتوحاً أو متجدداً).</w:t>
      </w:r>
    </w:p>
    <w:p w14:paraId="63EBDC3A"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تقنية 4: تقنية «لو عاد الزمن»</w:t>
      </w:r>
    </w:p>
    <w:p w14:paraId="6A6C9720" w14:textId="77777777" w:rsidR="008F62F0" w:rsidRDefault="00000000">
      <w:pPr>
        <w:pStyle w:val="a4"/>
        <w:numPr>
          <w:ilvl w:val="0"/>
          <w:numId w:val="16"/>
        </w:numPr>
        <w:spacing w:before="40" w:after="60"/>
        <w:jc w:val="right"/>
      </w:pPr>
      <w:r>
        <w:rPr>
          <w:rFonts w:ascii="Traditional Arabic" w:eastAsia="Traditional Arabic" w:hAnsi="Traditional Arabic" w:cs="Traditional Arabic"/>
          <w:color w:val="1A1A1A"/>
          <w:sz w:val="24"/>
          <w:szCs w:val="24"/>
        </w:rPr>
        <w:t>تخيُّل أن الزمن عاد وأن المريض واجه نفس الموقف مرة أخرى.</w:t>
      </w:r>
    </w:p>
    <w:p w14:paraId="62EEA2B4" w14:textId="77777777" w:rsidR="008F62F0" w:rsidRDefault="00000000">
      <w:pPr>
        <w:pStyle w:val="a4"/>
        <w:numPr>
          <w:ilvl w:val="0"/>
          <w:numId w:val="16"/>
        </w:numPr>
        <w:spacing w:before="40" w:after="60"/>
        <w:jc w:val="right"/>
      </w:pPr>
      <w:r>
        <w:rPr>
          <w:rFonts w:ascii="Traditional Arabic" w:eastAsia="Traditional Arabic" w:hAnsi="Traditional Arabic" w:cs="Traditional Arabic"/>
          <w:color w:val="1A1A1A"/>
          <w:sz w:val="24"/>
          <w:szCs w:val="24"/>
        </w:rPr>
        <w:t>ماذا سيفعل بشكل مختلف؟ (يستخرج «الدرس» من التجربة).</w:t>
      </w:r>
    </w:p>
    <w:p w14:paraId="77E4CBCC" w14:textId="77777777" w:rsidR="008F62F0" w:rsidRDefault="00000000">
      <w:pPr>
        <w:pStyle w:val="a4"/>
        <w:numPr>
          <w:ilvl w:val="0"/>
          <w:numId w:val="16"/>
        </w:numPr>
        <w:spacing w:before="40" w:after="60"/>
        <w:jc w:val="right"/>
      </w:pPr>
      <w:r>
        <w:rPr>
          <w:rFonts w:ascii="Traditional Arabic" w:eastAsia="Traditional Arabic" w:hAnsi="Traditional Arabic" w:cs="Traditional Arabic"/>
          <w:color w:val="1A1A1A"/>
          <w:sz w:val="24"/>
          <w:szCs w:val="24"/>
        </w:rPr>
        <w:t>تحويل «السيناريو البديل» إلى برنامج تدريبي للسلوك المستقبلي.</w:t>
      </w:r>
    </w:p>
    <w:p w14:paraId="1F6B4D58" w14:textId="77777777" w:rsidR="008F62F0" w:rsidRDefault="00000000">
      <w:pPr>
        <w:pStyle w:val="a4"/>
        <w:numPr>
          <w:ilvl w:val="0"/>
          <w:numId w:val="16"/>
        </w:numPr>
        <w:spacing w:before="40" w:after="60"/>
        <w:jc w:val="right"/>
      </w:pPr>
      <w:r>
        <w:rPr>
          <w:rFonts w:ascii="Traditional Arabic" w:eastAsia="Traditional Arabic" w:hAnsi="Traditional Arabic" w:cs="Traditional Arabic"/>
          <w:color w:val="1A1A1A"/>
          <w:sz w:val="24"/>
          <w:szCs w:val="24"/>
        </w:rPr>
        <w:t>مثال: «لو عاد بي الزمن، لكنت استشرت قبل اتخاذ القرار» ← الدرس: «سأستشير في قراراتي المستقبلية».</w:t>
      </w:r>
    </w:p>
    <w:p w14:paraId="7282E296"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تقنية 5: قائمة «الصدقات الجارية»</w:t>
      </w:r>
    </w:p>
    <w:p w14:paraId="223B887C" w14:textId="77777777" w:rsidR="008F62F0" w:rsidRDefault="00000000">
      <w:pPr>
        <w:pStyle w:val="a4"/>
        <w:numPr>
          <w:ilvl w:val="0"/>
          <w:numId w:val="17"/>
        </w:numPr>
        <w:spacing w:before="40" w:after="60"/>
        <w:jc w:val="right"/>
      </w:pPr>
      <w:r>
        <w:rPr>
          <w:rFonts w:ascii="Traditional Arabic" w:eastAsia="Traditional Arabic" w:hAnsi="Traditional Arabic" w:cs="Traditional Arabic"/>
          <w:color w:val="1A1A1A"/>
          <w:sz w:val="24"/>
          <w:szCs w:val="24"/>
        </w:rPr>
        <w:t>تحديد أعمال خيرية تستمر بعد الموت (بناء بئر، زراعة شجرة مثمرة، طباعة مصاحف، دعم طالب علم، وقف خيري).</w:t>
      </w:r>
    </w:p>
    <w:p w14:paraId="60EFB76A" w14:textId="77777777" w:rsidR="008F62F0" w:rsidRDefault="00000000">
      <w:pPr>
        <w:pStyle w:val="a4"/>
        <w:numPr>
          <w:ilvl w:val="0"/>
          <w:numId w:val="17"/>
        </w:numPr>
        <w:spacing w:before="40" w:after="60"/>
        <w:jc w:val="right"/>
      </w:pPr>
      <w:r>
        <w:rPr>
          <w:rFonts w:ascii="Traditional Arabic" w:eastAsia="Traditional Arabic" w:hAnsi="Traditional Arabic" w:cs="Traditional Arabic"/>
          <w:color w:val="1A1A1A"/>
          <w:sz w:val="24"/>
          <w:szCs w:val="24"/>
        </w:rPr>
        <w:t>ربط هذه الأعمال باسم المتضرر (إن كان متوفياً) أو باسم الذنب نفسه.</w:t>
      </w:r>
    </w:p>
    <w:p w14:paraId="675C4A74" w14:textId="77777777" w:rsidR="008F62F0" w:rsidRDefault="00000000">
      <w:pPr>
        <w:pStyle w:val="a4"/>
        <w:numPr>
          <w:ilvl w:val="0"/>
          <w:numId w:val="17"/>
        </w:numPr>
        <w:spacing w:before="40" w:after="60"/>
        <w:jc w:val="right"/>
      </w:pPr>
      <w:r>
        <w:rPr>
          <w:rFonts w:ascii="Traditional Arabic" w:eastAsia="Traditional Arabic" w:hAnsi="Traditional Arabic" w:cs="Traditional Arabic"/>
          <w:color w:val="1A1A1A"/>
          <w:sz w:val="24"/>
          <w:szCs w:val="24"/>
        </w:rPr>
        <w:t>يمنح المريض شعوراً بأن «الذنب» تحول إلى مصدر خير يمتد بعد رحيله.</w:t>
      </w:r>
    </w:p>
    <w:p w14:paraId="5AA12206"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تقنية 6: تقنية «النقيض الحي»</w:t>
      </w:r>
    </w:p>
    <w:p w14:paraId="72A330DE" w14:textId="77777777" w:rsidR="008F62F0" w:rsidRDefault="00000000">
      <w:pPr>
        <w:spacing w:before="40" w:after="80"/>
        <w:jc w:val="right"/>
      </w:pPr>
      <w:r>
        <w:rPr>
          <w:rFonts w:ascii="Traditional Arabic" w:eastAsia="Traditional Arabic" w:hAnsi="Traditional Arabic" w:cs="Traditional Arabic"/>
          <w:color w:val="1A1A1A"/>
          <w:sz w:val="24"/>
          <w:szCs w:val="24"/>
        </w:rPr>
        <w:t>تصميم موقف معاكس تماماً للموقف الذي حدث فيه الذنب، لكن بطريقة إيجابية. مثال: من تسبب في حادث سير بسبب السرعة ينظم حملة توعية عن القيادة الآمنة في نفس المكان.</w:t>
      </w:r>
    </w:p>
    <w:p w14:paraId="7996BC0A" w14:textId="77777777" w:rsidR="008F62F0" w:rsidRDefault="00000000">
      <w:pPr>
        <w:spacing w:before="140" w:after="80"/>
        <w:jc w:val="right"/>
      </w:pPr>
      <w:r>
        <w:rPr>
          <w:rFonts w:ascii="Traditional Arabic" w:eastAsia="Traditional Arabic" w:hAnsi="Traditional Arabic" w:cs="Traditional Arabic"/>
          <w:b/>
          <w:bCs/>
          <w:color w:val="1A7A6E"/>
          <w:sz w:val="25"/>
          <w:szCs w:val="25"/>
        </w:rPr>
        <w:t>تقنية 7: يوميات «التحول»</w:t>
      </w:r>
    </w:p>
    <w:p w14:paraId="26B8D487" w14:textId="77777777" w:rsidR="008F62F0" w:rsidRDefault="00000000">
      <w:pPr>
        <w:spacing w:before="40" w:after="80"/>
        <w:jc w:val="right"/>
      </w:pPr>
      <w:r>
        <w:rPr>
          <w:rFonts w:ascii="Traditional Arabic" w:eastAsia="Traditional Arabic" w:hAnsi="Traditional Arabic" w:cs="Traditional Arabic"/>
          <w:color w:val="1A1A1A"/>
          <w:sz w:val="24"/>
          <w:szCs w:val="24"/>
        </w:rPr>
        <w:t>دفتر خاص يدوّن فيه المريض:</w:t>
      </w:r>
    </w:p>
    <w:p w14:paraId="1BBE137D" w14:textId="77777777" w:rsidR="008F62F0" w:rsidRDefault="00000000">
      <w:pPr>
        <w:pStyle w:val="a4"/>
        <w:numPr>
          <w:ilvl w:val="0"/>
          <w:numId w:val="18"/>
        </w:numPr>
        <w:spacing w:before="40" w:after="60"/>
        <w:jc w:val="right"/>
      </w:pPr>
      <w:r>
        <w:rPr>
          <w:rFonts w:ascii="Traditional Arabic" w:eastAsia="Traditional Arabic" w:hAnsi="Traditional Arabic" w:cs="Traditional Arabic"/>
          <w:color w:val="1A1A1A"/>
          <w:sz w:val="24"/>
          <w:szCs w:val="24"/>
        </w:rPr>
        <w:t>الذنب الأصلي (تذكير دون اجترار).</w:t>
      </w:r>
    </w:p>
    <w:p w14:paraId="65FE7115" w14:textId="77777777" w:rsidR="008F62F0" w:rsidRDefault="00000000">
      <w:pPr>
        <w:pStyle w:val="a4"/>
        <w:numPr>
          <w:ilvl w:val="0"/>
          <w:numId w:val="18"/>
        </w:numPr>
        <w:spacing w:before="40" w:after="60"/>
        <w:jc w:val="right"/>
      </w:pPr>
      <w:r>
        <w:rPr>
          <w:rFonts w:ascii="Traditional Arabic" w:eastAsia="Traditional Arabic" w:hAnsi="Traditional Arabic" w:cs="Traditional Arabic"/>
          <w:color w:val="1A1A1A"/>
          <w:sz w:val="24"/>
          <w:szCs w:val="24"/>
        </w:rPr>
        <w:t>الفعل التعويضي لليوم.</w:t>
      </w:r>
    </w:p>
    <w:p w14:paraId="6D452830" w14:textId="77777777" w:rsidR="008F62F0" w:rsidRDefault="00000000">
      <w:pPr>
        <w:pStyle w:val="a4"/>
        <w:numPr>
          <w:ilvl w:val="0"/>
          <w:numId w:val="18"/>
        </w:numPr>
        <w:spacing w:before="40" w:after="60"/>
        <w:jc w:val="right"/>
      </w:pPr>
      <w:r>
        <w:rPr>
          <w:rFonts w:ascii="Traditional Arabic" w:eastAsia="Traditional Arabic" w:hAnsi="Traditional Arabic" w:cs="Traditional Arabic"/>
          <w:color w:val="1A1A1A"/>
          <w:sz w:val="24"/>
          <w:szCs w:val="24"/>
        </w:rPr>
        <w:t>المشاعر بعد الفعل.</w:t>
      </w:r>
    </w:p>
    <w:p w14:paraId="1123B96B" w14:textId="77777777" w:rsidR="008F62F0" w:rsidRDefault="00000000">
      <w:pPr>
        <w:pStyle w:val="a4"/>
        <w:numPr>
          <w:ilvl w:val="0"/>
          <w:numId w:val="18"/>
        </w:numPr>
        <w:spacing w:before="40" w:after="60"/>
        <w:jc w:val="right"/>
      </w:pPr>
      <w:r>
        <w:rPr>
          <w:rFonts w:ascii="Traditional Arabic" w:eastAsia="Traditional Arabic" w:hAnsi="Traditional Arabic" w:cs="Traditional Arabic"/>
          <w:color w:val="1A1A1A"/>
          <w:sz w:val="24"/>
          <w:szCs w:val="24"/>
        </w:rPr>
        <w:t>الرسالة التي يريد إرسالها لنفسه القديمة.</w:t>
      </w:r>
    </w:p>
    <w:p w14:paraId="228CFAA4" w14:textId="77777777" w:rsidR="008F62F0" w:rsidRDefault="00000000">
      <w:pPr>
        <w:pStyle w:val="a4"/>
        <w:numPr>
          <w:ilvl w:val="0"/>
          <w:numId w:val="18"/>
        </w:numPr>
        <w:spacing w:before="40" w:after="60"/>
        <w:jc w:val="right"/>
      </w:pPr>
      <w:r>
        <w:rPr>
          <w:rFonts w:ascii="Traditional Arabic" w:eastAsia="Traditional Arabic" w:hAnsi="Traditional Arabic" w:cs="Traditional Arabic"/>
          <w:color w:val="1A1A1A"/>
          <w:sz w:val="24"/>
          <w:szCs w:val="24"/>
        </w:rPr>
        <w:t>الامتنان اليومي.</w:t>
      </w:r>
    </w:p>
    <w:p w14:paraId="157824F8"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11.5  إشكالات وتحديات هذه المرحلة</w:t>
      </w:r>
    </w:p>
    <w:p w14:paraId="3D2F0B32"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11.5.1  المقاومة بالتبرير</w:t>
      </w:r>
    </w:p>
    <w:p w14:paraId="50CD537B" w14:textId="77777777" w:rsidR="008F62F0" w:rsidRDefault="00000000">
      <w:pPr>
        <w:spacing w:before="40" w:after="80"/>
        <w:jc w:val="right"/>
      </w:pPr>
      <w:r>
        <w:rPr>
          <w:rFonts w:ascii="Traditional Arabic" w:eastAsia="Traditional Arabic" w:hAnsi="Traditional Arabic" w:cs="Traditional Arabic"/>
          <w:color w:val="1A1A1A"/>
          <w:sz w:val="24"/>
          <w:szCs w:val="24"/>
        </w:rPr>
        <w:t>قد يقول المريض: «لا أستطيع»، «ليس لدي وقت»، «هذا لا يفيد»، «الذنب أكبر من أن يعوض». تُحلَّل هذه المقاومات عبر أسئلة:</w:t>
      </w:r>
    </w:p>
    <w:p w14:paraId="7008791C" w14:textId="77777777" w:rsidR="008F62F0" w:rsidRDefault="00000000">
      <w:pPr>
        <w:pStyle w:val="a4"/>
        <w:numPr>
          <w:ilvl w:val="0"/>
          <w:numId w:val="19"/>
        </w:numPr>
        <w:spacing w:before="40" w:after="60"/>
        <w:jc w:val="right"/>
      </w:pPr>
      <w:r>
        <w:rPr>
          <w:rFonts w:ascii="Traditional Arabic" w:eastAsia="Traditional Arabic" w:hAnsi="Traditional Arabic" w:cs="Traditional Arabic"/>
          <w:color w:val="1A1A1A"/>
          <w:sz w:val="24"/>
          <w:szCs w:val="24"/>
        </w:rPr>
        <w:t>هل هي خوف من الفشل؟</w:t>
      </w:r>
    </w:p>
    <w:p w14:paraId="101B28CD" w14:textId="77777777" w:rsidR="008F62F0" w:rsidRDefault="00000000">
      <w:pPr>
        <w:pStyle w:val="a4"/>
        <w:numPr>
          <w:ilvl w:val="0"/>
          <w:numId w:val="19"/>
        </w:numPr>
        <w:spacing w:before="40" w:after="60"/>
        <w:jc w:val="right"/>
      </w:pPr>
      <w:r>
        <w:rPr>
          <w:rFonts w:ascii="Traditional Arabic" w:eastAsia="Traditional Arabic" w:hAnsi="Traditional Arabic" w:cs="Traditional Arabic"/>
          <w:color w:val="1A1A1A"/>
          <w:sz w:val="24"/>
          <w:szCs w:val="24"/>
        </w:rPr>
        <w:t>هل هي تمسك بالمرض (مكسب ثانوي من البقاء مذنباً)؟</w:t>
      </w:r>
    </w:p>
    <w:p w14:paraId="7CF8FD16" w14:textId="77777777" w:rsidR="008F62F0" w:rsidRDefault="00000000">
      <w:pPr>
        <w:pStyle w:val="a4"/>
        <w:numPr>
          <w:ilvl w:val="0"/>
          <w:numId w:val="19"/>
        </w:numPr>
        <w:spacing w:before="40" w:after="60"/>
        <w:jc w:val="right"/>
      </w:pPr>
      <w:r>
        <w:rPr>
          <w:rFonts w:ascii="Traditional Arabic" w:eastAsia="Traditional Arabic" w:hAnsi="Traditional Arabic" w:cs="Traditional Arabic"/>
          <w:color w:val="1A1A1A"/>
          <w:sz w:val="24"/>
          <w:szCs w:val="24"/>
        </w:rPr>
        <w:t>هل هي شعور بعدم الاستحقاق؟</w:t>
      </w:r>
    </w:p>
    <w:p w14:paraId="7712332B" w14:textId="77777777" w:rsidR="008F62F0" w:rsidRDefault="00000000">
      <w:pPr>
        <w:pStyle w:val="a4"/>
        <w:numPr>
          <w:ilvl w:val="0"/>
          <w:numId w:val="19"/>
        </w:numPr>
        <w:spacing w:before="40" w:after="60"/>
        <w:jc w:val="right"/>
      </w:pPr>
      <w:r>
        <w:rPr>
          <w:rFonts w:ascii="Traditional Arabic" w:eastAsia="Traditional Arabic" w:hAnsi="Traditional Arabic" w:cs="Traditional Arabic"/>
          <w:color w:val="1A1A1A"/>
          <w:sz w:val="24"/>
          <w:szCs w:val="24"/>
        </w:rPr>
        <w:t>هل هي كسل؟</w:t>
      </w:r>
    </w:p>
    <w:p w14:paraId="1041F455" w14:textId="77777777" w:rsidR="008F62F0" w:rsidRDefault="00000000">
      <w:pPr>
        <w:spacing w:before="40" w:after="80"/>
        <w:jc w:val="right"/>
      </w:pPr>
      <w:r>
        <w:rPr>
          <w:rFonts w:ascii="Traditional Arabic" w:eastAsia="Traditional Arabic" w:hAnsi="Traditional Arabic" w:cs="Traditional Arabic"/>
          <w:color w:val="1A1A1A"/>
          <w:sz w:val="24"/>
          <w:szCs w:val="24"/>
        </w:rPr>
        <w:t>التدخل: تحليل المقاومة بلطف، ومناقشة المكاسب الخفية من البقاء في دائرة الذنب.</w:t>
      </w:r>
    </w:p>
    <w:p w14:paraId="4D471028"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11.5.2  الخوف من «شراء المغفرة»</w:t>
      </w:r>
    </w:p>
    <w:p w14:paraId="3A43BFF9" w14:textId="77777777" w:rsidR="008F62F0" w:rsidRDefault="00000000">
      <w:pPr>
        <w:spacing w:before="40" w:after="80"/>
        <w:jc w:val="right"/>
      </w:pPr>
      <w:r>
        <w:rPr>
          <w:rFonts w:ascii="Traditional Arabic" w:eastAsia="Traditional Arabic" w:hAnsi="Traditional Arabic" w:cs="Traditional Arabic"/>
          <w:color w:val="1A1A1A"/>
          <w:sz w:val="24"/>
          <w:szCs w:val="24"/>
        </w:rPr>
        <w:t>قد يرى بعض المرضى أن العمل الخيري «رشوة» لله أو للضمير. يحتاج المعالج إلى توضيح:</w:t>
      </w:r>
    </w:p>
    <w:p w14:paraId="54288D72" w14:textId="77777777" w:rsidR="008F62F0" w:rsidRDefault="00000000">
      <w:pPr>
        <w:pStyle w:val="a4"/>
        <w:numPr>
          <w:ilvl w:val="0"/>
          <w:numId w:val="20"/>
        </w:numPr>
        <w:spacing w:before="40" w:after="60"/>
        <w:jc w:val="right"/>
      </w:pPr>
      <w:r>
        <w:rPr>
          <w:rFonts w:ascii="Traditional Arabic" w:eastAsia="Traditional Arabic" w:hAnsi="Traditional Arabic" w:cs="Traditional Arabic"/>
          <w:color w:val="1A1A1A"/>
          <w:sz w:val="24"/>
          <w:szCs w:val="24"/>
        </w:rPr>
        <w:t>المغفرة في TLRT ليست ثمناً للعمل الخيري (المغفرة مجانية من فضل الله).</w:t>
      </w:r>
    </w:p>
    <w:p w14:paraId="32C72E06" w14:textId="77777777" w:rsidR="008F62F0" w:rsidRDefault="00000000">
      <w:pPr>
        <w:pStyle w:val="a4"/>
        <w:numPr>
          <w:ilvl w:val="0"/>
          <w:numId w:val="20"/>
        </w:numPr>
        <w:spacing w:before="40" w:after="60"/>
        <w:jc w:val="right"/>
      </w:pPr>
      <w:r>
        <w:rPr>
          <w:rFonts w:ascii="Traditional Arabic" w:eastAsia="Traditional Arabic" w:hAnsi="Traditional Arabic" w:cs="Traditional Arabic"/>
          <w:color w:val="1A1A1A"/>
          <w:sz w:val="24"/>
          <w:szCs w:val="24"/>
        </w:rPr>
        <w:t>العمل الخيري هو ثمرة للمغفرة ودليل على صدق التحول.</w:t>
      </w:r>
    </w:p>
    <w:p w14:paraId="1E3D6D54" w14:textId="77777777" w:rsidR="008F62F0" w:rsidRDefault="00000000">
      <w:pPr>
        <w:pStyle w:val="a4"/>
        <w:numPr>
          <w:ilvl w:val="0"/>
          <w:numId w:val="20"/>
        </w:numPr>
        <w:spacing w:before="40" w:after="60"/>
        <w:jc w:val="right"/>
      </w:pPr>
      <w:r>
        <w:rPr>
          <w:rFonts w:ascii="Traditional Arabic" w:eastAsia="Traditional Arabic" w:hAnsi="Traditional Arabic" w:cs="Traditional Arabic"/>
          <w:color w:val="1A1A1A"/>
          <w:sz w:val="24"/>
          <w:szCs w:val="24"/>
        </w:rPr>
        <w:t>التشبيه: الشجرة لا تشتري ثمارها، الثمار دليل على صحة الشجرة.</w:t>
      </w:r>
    </w:p>
    <w:p w14:paraId="3597FE7E"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11.5.3  الانتكاس المبكر</w:t>
      </w:r>
    </w:p>
    <w:p w14:paraId="230AEC7C" w14:textId="77777777" w:rsidR="008F62F0" w:rsidRDefault="00000000">
      <w:pPr>
        <w:spacing w:before="40" w:after="80"/>
        <w:jc w:val="right"/>
      </w:pPr>
      <w:r>
        <w:rPr>
          <w:rFonts w:ascii="Traditional Arabic" w:eastAsia="Traditional Arabic" w:hAnsi="Traditional Arabic" w:cs="Traditional Arabic"/>
          <w:color w:val="1A1A1A"/>
          <w:sz w:val="24"/>
          <w:szCs w:val="24"/>
        </w:rPr>
        <w:t>قد يبدأ المريض المشروع ثم يتوقف. يحتاج إلى: متابعة وتعزيز مستمرين، وتحليل أسباب التوقف، وتعديل المشروع ليكون أكثر واقعية وتدرجاً.</w:t>
      </w:r>
    </w:p>
    <w:p w14:paraId="751F1A2D"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11.5.4  صعوبة اختيار المشروع المناسب</w:t>
      </w:r>
    </w:p>
    <w:p w14:paraId="453C14FA" w14:textId="77777777" w:rsidR="008F62F0" w:rsidRDefault="00000000">
      <w:pPr>
        <w:spacing w:before="40" w:after="80"/>
        <w:jc w:val="right"/>
      </w:pPr>
      <w:r>
        <w:rPr>
          <w:rFonts w:ascii="Traditional Arabic" w:eastAsia="Traditional Arabic" w:hAnsi="Traditional Arabic" w:cs="Traditional Arabic"/>
          <w:color w:val="1A1A1A"/>
          <w:sz w:val="24"/>
          <w:szCs w:val="24"/>
        </w:rPr>
        <w:t>يساعد المعالج المريض عبر: طرح أمثلة متنوعة، وربط الفعل باهتمامات المريض وقدراته، والبدء بفعل صغير ثم التوسع التدريجي.</w:t>
      </w:r>
    </w:p>
    <w:p w14:paraId="2CFD9290"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11.5.5  العودة للذنب الأصلي</w:t>
      </w:r>
    </w:p>
    <w:p w14:paraId="16EC6CB1" w14:textId="77777777" w:rsidR="008F62F0" w:rsidRDefault="00000000">
      <w:pPr>
        <w:spacing w:before="40" w:after="80"/>
        <w:jc w:val="right"/>
      </w:pPr>
      <w:r>
        <w:rPr>
          <w:rFonts w:ascii="Traditional Arabic" w:eastAsia="Traditional Arabic" w:hAnsi="Traditional Arabic" w:cs="Traditional Arabic"/>
          <w:color w:val="1A1A1A"/>
          <w:sz w:val="24"/>
          <w:szCs w:val="24"/>
        </w:rPr>
        <w:t>إذا عاد المريض لنفس الذنب (كرر الخطأ): عدم اليأس، فالانتكاس جزء من التعلم؛ ثم تحليل أسباب العودة؛ ثم تعديل المشروع أو المرحلة التي سبقته.</w:t>
      </w:r>
    </w:p>
    <w:p w14:paraId="071275A1"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11.6  مؤشرات التقدم للمرحلة التالية</w:t>
      </w:r>
    </w:p>
    <w:p w14:paraId="6A376539" w14:textId="77777777" w:rsidR="008F62F0" w:rsidRDefault="008F62F0">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526"/>
      </w:tblGrid>
      <w:tr w:rsidR="008F62F0" w14:paraId="0AE7D86E" w14:textId="77777777">
        <w:tblPrEx>
          <w:tblCellMar>
            <w:top w:w="0" w:type="dxa"/>
            <w:bottom w:w="0" w:type="dxa"/>
          </w:tblCellMar>
        </w:tblPrEx>
        <w:tc>
          <w:tcPr>
            <w:tcW w:w="3500" w:type="dxa"/>
            <w:tcBorders>
              <w:top w:val="single" w:sz="4" w:space="0" w:color="B0C4DE"/>
              <w:left w:val="single" w:sz="4" w:space="0" w:color="B0C4DE"/>
              <w:bottom w:val="single" w:sz="4" w:space="0" w:color="B0C4DE"/>
              <w:right w:val="single" w:sz="4" w:space="0" w:color="B0C4DE"/>
            </w:tcBorders>
            <w:shd w:val="clear" w:color="auto" w:fill="1B3A5C"/>
            <w:tcMar>
              <w:top w:w="90" w:type="dxa"/>
              <w:left w:w="150" w:type="dxa"/>
              <w:bottom w:w="90" w:type="dxa"/>
              <w:right w:w="150" w:type="dxa"/>
            </w:tcMar>
            <w:vAlign w:val="center"/>
          </w:tcPr>
          <w:p w14:paraId="6A331D56" w14:textId="77777777" w:rsidR="008F62F0" w:rsidRDefault="00000000">
            <w:pPr>
              <w:jc w:val="center"/>
            </w:pPr>
            <w:r>
              <w:rPr>
                <w:rFonts w:ascii="Traditional Arabic" w:eastAsia="Traditional Arabic" w:hAnsi="Traditional Arabic" w:cs="Traditional Arabic"/>
                <w:b/>
                <w:bCs/>
                <w:color w:val="FFFFFF"/>
                <w:sz w:val="23"/>
                <w:szCs w:val="23"/>
              </w:rPr>
              <w:t>المؤشر</w:t>
            </w:r>
          </w:p>
        </w:tc>
        <w:tc>
          <w:tcPr>
            <w:tcW w:w="5526" w:type="dxa"/>
            <w:tcBorders>
              <w:top w:val="single" w:sz="4" w:space="0" w:color="B0C4DE"/>
              <w:left w:val="single" w:sz="4" w:space="0" w:color="B0C4DE"/>
              <w:bottom w:val="single" w:sz="4" w:space="0" w:color="B0C4DE"/>
              <w:right w:val="single" w:sz="4" w:space="0" w:color="B0C4DE"/>
            </w:tcBorders>
            <w:shd w:val="clear" w:color="auto" w:fill="1B3A5C"/>
            <w:tcMar>
              <w:top w:w="90" w:type="dxa"/>
              <w:left w:w="150" w:type="dxa"/>
              <w:bottom w:w="90" w:type="dxa"/>
              <w:right w:w="150" w:type="dxa"/>
            </w:tcMar>
            <w:vAlign w:val="center"/>
          </w:tcPr>
          <w:p w14:paraId="45F96015" w14:textId="77777777" w:rsidR="008F62F0" w:rsidRDefault="00000000">
            <w:pPr>
              <w:jc w:val="center"/>
            </w:pPr>
            <w:r>
              <w:rPr>
                <w:rFonts w:ascii="Traditional Arabic" w:eastAsia="Traditional Arabic" w:hAnsi="Traditional Arabic" w:cs="Traditional Arabic"/>
                <w:b/>
                <w:bCs/>
                <w:color w:val="FFFFFF"/>
                <w:sz w:val="23"/>
                <w:szCs w:val="23"/>
              </w:rPr>
              <w:t>الدلالة الإكلينيكية</w:t>
            </w:r>
          </w:p>
        </w:tc>
      </w:tr>
      <w:tr w:rsidR="008F62F0" w14:paraId="4D2CE5F5" w14:textId="77777777">
        <w:tblPrEx>
          <w:tblCellMar>
            <w:top w:w="0" w:type="dxa"/>
            <w:bottom w:w="0" w:type="dxa"/>
          </w:tblCellMar>
        </w:tblPrEx>
        <w:tc>
          <w:tcPr>
            <w:tcW w:w="35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7B669C6B" w14:textId="77777777" w:rsidR="008F62F0" w:rsidRDefault="00000000">
            <w:pPr>
              <w:jc w:val="center"/>
            </w:pPr>
            <w:r>
              <w:rPr>
                <w:rFonts w:ascii="Traditional Arabic" w:eastAsia="Traditional Arabic" w:hAnsi="Traditional Arabic" w:cs="Traditional Arabic"/>
                <w:color w:val="1A1A1A"/>
                <w:sz w:val="22"/>
                <w:szCs w:val="22"/>
              </w:rPr>
              <w:t>تنفيذ الجسر السلوكي</w:t>
            </w:r>
          </w:p>
        </w:tc>
        <w:tc>
          <w:tcPr>
            <w:tcW w:w="55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2A8BB85F" w14:textId="77777777" w:rsidR="008F62F0" w:rsidRDefault="00000000">
            <w:pPr>
              <w:jc w:val="center"/>
            </w:pPr>
            <w:r>
              <w:rPr>
                <w:rFonts w:ascii="Traditional Arabic" w:eastAsia="Traditional Arabic" w:hAnsi="Traditional Arabic" w:cs="Traditional Arabic"/>
                <w:color w:val="1A1A1A"/>
                <w:sz w:val="22"/>
                <w:szCs w:val="22"/>
              </w:rPr>
              <w:t>البدء في تنفيذ الفعل التعويضي ولو لمرة واحدة</w:t>
            </w:r>
          </w:p>
        </w:tc>
      </w:tr>
      <w:tr w:rsidR="008F62F0" w14:paraId="2D0F1CA6" w14:textId="77777777">
        <w:tblPrEx>
          <w:tblCellMar>
            <w:top w:w="0" w:type="dxa"/>
            <w:bottom w:w="0" w:type="dxa"/>
          </w:tblCellMar>
        </w:tblPrEx>
        <w:tc>
          <w:tcPr>
            <w:tcW w:w="35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4E7ED2DA" w14:textId="77777777" w:rsidR="008F62F0" w:rsidRDefault="00000000">
            <w:pPr>
              <w:jc w:val="center"/>
            </w:pPr>
            <w:r>
              <w:rPr>
                <w:rFonts w:ascii="Traditional Arabic" w:eastAsia="Traditional Arabic" w:hAnsi="Traditional Arabic" w:cs="Traditional Arabic"/>
                <w:color w:val="1A1A1A"/>
                <w:sz w:val="22"/>
                <w:szCs w:val="22"/>
              </w:rPr>
              <w:t>ظهور مشاعر إيجابية</w:t>
            </w:r>
          </w:p>
        </w:tc>
        <w:tc>
          <w:tcPr>
            <w:tcW w:w="55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726BCFC8" w14:textId="77777777" w:rsidR="008F62F0" w:rsidRDefault="00000000">
            <w:pPr>
              <w:jc w:val="center"/>
            </w:pPr>
            <w:r>
              <w:rPr>
                <w:rFonts w:ascii="Traditional Arabic" w:eastAsia="Traditional Arabic" w:hAnsi="Traditional Arabic" w:cs="Traditional Arabic"/>
                <w:color w:val="1A1A1A"/>
                <w:sz w:val="22"/>
                <w:szCs w:val="22"/>
              </w:rPr>
              <w:t>فخر، رضا، سعادة، امتنان مرتبطة بالعطاء</w:t>
            </w:r>
          </w:p>
        </w:tc>
      </w:tr>
      <w:tr w:rsidR="008F62F0" w14:paraId="6A8D5DBC" w14:textId="77777777">
        <w:tblPrEx>
          <w:tblCellMar>
            <w:top w:w="0" w:type="dxa"/>
            <w:bottom w:w="0" w:type="dxa"/>
          </w:tblCellMar>
        </w:tblPrEx>
        <w:tc>
          <w:tcPr>
            <w:tcW w:w="35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37CAE2D9" w14:textId="77777777" w:rsidR="008F62F0" w:rsidRDefault="00000000">
            <w:pPr>
              <w:jc w:val="center"/>
            </w:pPr>
            <w:r>
              <w:rPr>
                <w:rFonts w:ascii="Traditional Arabic" w:eastAsia="Traditional Arabic" w:hAnsi="Traditional Arabic" w:cs="Traditional Arabic"/>
                <w:color w:val="1A1A1A"/>
                <w:sz w:val="22"/>
                <w:szCs w:val="22"/>
              </w:rPr>
              <w:t>تغير اللغة</w:t>
            </w:r>
          </w:p>
        </w:tc>
        <w:tc>
          <w:tcPr>
            <w:tcW w:w="55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7D6D70CD" w14:textId="77777777" w:rsidR="008F62F0" w:rsidRDefault="00000000">
            <w:pPr>
              <w:jc w:val="center"/>
            </w:pPr>
            <w:r>
              <w:rPr>
                <w:rFonts w:ascii="Traditional Arabic" w:eastAsia="Traditional Arabic" w:hAnsi="Traditional Arabic" w:cs="Traditional Arabic"/>
                <w:color w:val="1A1A1A"/>
                <w:sz w:val="22"/>
                <w:szCs w:val="22"/>
              </w:rPr>
              <w:t>من «أنا المذنب» إلى «أنا المساعد»، ومن «كان» إلى «سأفعل»</w:t>
            </w:r>
          </w:p>
        </w:tc>
      </w:tr>
      <w:tr w:rsidR="008F62F0" w14:paraId="540F1B44" w14:textId="77777777">
        <w:tblPrEx>
          <w:tblCellMar>
            <w:top w:w="0" w:type="dxa"/>
            <w:bottom w:w="0" w:type="dxa"/>
          </w:tblCellMar>
        </w:tblPrEx>
        <w:tc>
          <w:tcPr>
            <w:tcW w:w="35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4C51D97A" w14:textId="77777777" w:rsidR="008F62F0" w:rsidRDefault="00000000">
            <w:pPr>
              <w:jc w:val="center"/>
            </w:pPr>
            <w:r>
              <w:rPr>
                <w:rFonts w:ascii="Traditional Arabic" w:eastAsia="Traditional Arabic" w:hAnsi="Traditional Arabic" w:cs="Traditional Arabic"/>
                <w:color w:val="1A1A1A"/>
                <w:sz w:val="22"/>
                <w:szCs w:val="22"/>
              </w:rPr>
              <w:t>استعداد للحديث عن المستقبل</w:t>
            </w:r>
          </w:p>
        </w:tc>
        <w:tc>
          <w:tcPr>
            <w:tcW w:w="55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7B10F189" w14:textId="77777777" w:rsidR="008F62F0" w:rsidRDefault="00000000">
            <w:pPr>
              <w:jc w:val="center"/>
            </w:pPr>
            <w:r>
              <w:rPr>
                <w:rFonts w:ascii="Traditional Arabic" w:eastAsia="Traditional Arabic" w:hAnsi="Traditional Arabic" w:cs="Traditional Arabic"/>
                <w:color w:val="1A1A1A"/>
                <w:sz w:val="22"/>
                <w:szCs w:val="22"/>
              </w:rPr>
              <w:t>بدلاً من الانشغال الدائم بالماضي</w:t>
            </w:r>
          </w:p>
        </w:tc>
      </w:tr>
      <w:tr w:rsidR="008F62F0" w14:paraId="3B66E763" w14:textId="77777777">
        <w:tblPrEx>
          <w:tblCellMar>
            <w:top w:w="0" w:type="dxa"/>
            <w:bottom w:w="0" w:type="dxa"/>
          </w:tblCellMar>
        </w:tblPrEx>
        <w:tc>
          <w:tcPr>
            <w:tcW w:w="35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6295DB57" w14:textId="77777777" w:rsidR="008F62F0" w:rsidRDefault="00000000">
            <w:pPr>
              <w:jc w:val="center"/>
            </w:pPr>
            <w:r>
              <w:rPr>
                <w:rFonts w:ascii="Traditional Arabic" w:eastAsia="Traditional Arabic" w:hAnsi="Traditional Arabic" w:cs="Traditional Arabic"/>
                <w:color w:val="1A1A1A"/>
                <w:sz w:val="22"/>
                <w:szCs w:val="22"/>
              </w:rPr>
              <w:t>تحسن في العلاقات</w:t>
            </w:r>
          </w:p>
        </w:tc>
        <w:tc>
          <w:tcPr>
            <w:tcW w:w="55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2A0C7811" w14:textId="77777777" w:rsidR="008F62F0" w:rsidRDefault="00000000">
            <w:pPr>
              <w:jc w:val="center"/>
            </w:pPr>
            <w:r>
              <w:rPr>
                <w:rFonts w:ascii="Traditional Arabic" w:eastAsia="Traditional Arabic" w:hAnsi="Traditional Arabic" w:cs="Traditional Arabic"/>
                <w:color w:val="1A1A1A"/>
                <w:sz w:val="22"/>
                <w:szCs w:val="22"/>
              </w:rPr>
              <w:t>لأن العطاء يحسن العلاقة مع الذات والآخرين</w:t>
            </w:r>
          </w:p>
        </w:tc>
      </w:tr>
      <w:tr w:rsidR="008F62F0" w14:paraId="1EE8B485" w14:textId="77777777">
        <w:tblPrEx>
          <w:tblCellMar>
            <w:top w:w="0" w:type="dxa"/>
            <w:bottom w:w="0" w:type="dxa"/>
          </w:tblCellMar>
        </w:tblPrEx>
        <w:tc>
          <w:tcPr>
            <w:tcW w:w="35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75C7982E" w14:textId="77777777" w:rsidR="008F62F0" w:rsidRDefault="00000000">
            <w:pPr>
              <w:jc w:val="center"/>
            </w:pPr>
            <w:r>
              <w:rPr>
                <w:rFonts w:ascii="Traditional Arabic" w:eastAsia="Traditional Arabic" w:hAnsi="Traditional Arabic" w:cs="Traditional Arabic"/>
                <w:color w:val="1A1A1A"/>
                <w:sz w:val="22"/>
                <w:szCs w:val="22"/>
              </w:rPr>
              <w:t>انخفاض الاجترار</w:t>
            </w:r>
          </w:p>
        </w:tc>
        <w:tc>
          <w:tcPr>
            <w:tcW w:w="55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0526070A" w14:textId="77777777" w:rsidR="008F62F0" w:rsidRDefault="00000000">
            <w:pPr>
              <w:jc w:val="center"/>
            </w:pPr>
            <w:r>
              <w:rPr>
                <w:rFonts w:ascii="Traditional Arabic" w:eastAsia="Traditional Arabic" w:hAnsi="Traditional Arabic" w:cs="Traditional Arabic"/>
                <w:color w:val="1A1A1A"/>
                <w:sz w:val="22"/>
                <w:szCs w:val="22"/>
              </w:rPr>
              <w:t>تناقص ملحوظ في الوقت الذي يقضيه المريض في التفكير بالذنب</w:t>
            </w:r>
          </w:p>
        </w:tc>
      </w:tr>
      <w:tr w:rsidR="008F62F0" w14:paraId="202AB832" w14:textId="77777777">
        <w:tblPrEx>
          <w:tblCellMar>
            <w:top w:w="0" w:type="dxa"/>
            <w:bottom w:w="0" w:type="dxa"/>
          </w:tblCellMar>
        </w:tblPrEx>
        <w:tc>
          <w:tcPr>
            <w:tcW w:w="35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60621A65" w14:textId="77777777" w:rsidR="008F62F0" w:rsidRDefault="00000000">
            <w:pPr>
              <w:jc w:val="center"/>
            </w:pPr>
            <w:r>
              <w:rPr>
                <w:rFonts w:ascii="Traditional Arabic" w:eastAsia="Traditional Arabic" w:hAnsi="Traditional Arabic" w:cs="Traditional Arabic"/>
                <w:color w:val="1A1A1A"/>
                <w:sz w:val="22"/>
                <w:szCs w:val="22"/>
              </w:rPr>
              <w:t>استعداد لمرحلة السردية</w:t>
            </w:r>
          </w:p>
        </w:tc>
        <w:tc>
          <w:tcPr>
            <w:tcW w:w="55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2E9B8ADB" w14:textId="77777777" w:rsidR="008F62F0" w:rsidRDefault="00000000">
            <w:pPr>
              <w:jc w:val="center"/>
            </w:pPr>
            <w:r>
              <w:rPr>
                <w:rFonts w:ascii="Traditional Arabic" w:eastAsia="Traditional Arabic" w:hAnsi="Traditional Arabic" w:cs="Traditional Arabic"/>
                <w:color w:val="1A1A1A"/>
                <w:sz w:val="22"/>
                <w:szCs w:val="22"/>
              </w:rPr>
              <w:t>دمج التجربة في قصة حياة جديدة</w:t>
            </w:r>
          </w:p>
        </w:tc>
      </w:tr>
    </w:tbl>
    <w:p w14:paraId="21E91854"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11.7  دراسة حالة توضيحية</w:t>
      </w:r>
    </w:p>
    <w:p w14:paraId="065710E8" w14:textId="77777777" w:rsidR="008F62F0" w:rsidRDefault="00000000">
      <w:pPr>
        <w:spacing w:before="80" w:after="60"/>
        <w:jc w:val="right"/>
      </w:pPr>
      <w:r>
        <w:rPr>
          <w:rFonts w:ascii="Traditional Arabic" w:eastAsia="Traditional Arabic" w:hAnsi="Traditional Arabic" w:cs="Traditional Arabic"/>
          <w:b/>
          <w:bCs/>
          <w:color w:val="1B3A5C"/>
          <w:sz w:val="25"/>
          <w:szCs w:val="25"/>
        </w:rPr>
        <w:t>المريضة: سارة، 42 سنة</w:t>
      </w:r>
    </w:p>
    <w:p w14:paraId="55304535" w14:textId="77777777" w:rsidR="008F62F0" w:rsidRDefault="00000000">
      <w:pPr>
        <w:spacing w:before="40" w:after="80"/>
        <w:jc w:val="right"/>
      </w:pPr>
      <w:r>
        <w:rPr>
          <w:rFonts w:ascii="Traditional Arabic" w:eastAsia="Traditional Arabic" w:hAnsi="Traditional Arabic" w:cs="Traditional Arabic"/>
          <w:color w:val="1A1A1A"/>
          <w:sz w:val="24"/>
          <w:szCs w:val="24"/>
        </w:rPr>
        <w:t>تعاني من اكتئاب مزمن بسبب إنهائها لعلاقة زوجية بطريقة مؤذية (خيانة وطلاق مؤلم). تشعر بذنب كبير تجاه طليقها وأولادها.</w:t>
      </w:r>
    </w:p>
    <w:p w14:paraId="37DBF38C" w14:textId="77777777" w:rsidR="008F62F0" w:rsidRDefault="008F62F0">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8F62F0" w14:paraId="41815789"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1B3A5C"/>
            <w:tcMar>
              <w:top w:w="90" w:type="dxa"/>
              <w:left w:w="150" w:type="dxa"/>
              <w:bottom w:w="90" w:type="dxa"/>
              <w:right w:w="150" w:type="dxa"/>
            </w:tcMar>
            <w:vAlign w:val="center"/>
          </w:tcPr>
          <w:p w14:paraId="0C1B0DEA" w14:textId="77777777" w:rsidR="008F62F0" w:rsidRDefault="00000000">
            <w:pPr>
              <w:jc w:val="center"/>
            </w:pPr>
            <w:r>
              <w:rPr>
                <w:rFonts w:ascii="Traditional Arabic" w:eastAsia="Traditional Arabic" w:hAnsi="Traditional Arabic" w:cs="Traditional Arabic"/>
                <w:b/>
                <w:bCs/>
                <w:color w:val="FFFFFF"/>
                <w:sz w:val="23"/>
                <w:szCs w:val="23"/>
              </w:rPr>
              <w:t>المرحلة</w:t>
            </w:r>
          </w:p>
        </w:tc>
        <w:tc>
          <w:tcPr>
            <w:tcW w:w="6026" w:type="dxa"/>
            <w:tcBorders>
              <w:top w:val="single" w:sz="4" w:space="0" w:color="B0C4DE"/>
              <w:left w:val="single" w:sz="4" w:space="0" w:color="B0C4DE"/>
              <w:bottom w:val="single" w:sz="4" w:space="0" w:color="B0C4DE"/>
              <w:right w:val="single" w:sz="4" w:space="0" w:color="B0C4DE"/>
            </w:tcBorders>
            <w:shd w:val="clear" w:color="auto" w:fill="1B3A5C"/>
            <w:tcMar>
              <w:top w:w="90" w:type="dxa"/>
              <w:left w:w="150" w:type="dxa"/>
              <w:bottom w:w="90" w:type="dxa"/>
              <w:right w:w="150" w:type="dxa"/>
            </w:tcMar>
            <w:vAlign w:val="center"/>
          </w:tcPr>
          <w:p w14:paraId="04F18B80" w14:textId="77777777" w:rsidR="008F62F0" w:rsidRDefault="00000000">
            <w:pPr>
              <w:jc w:val="center"/>
            </w:pPr>
            <w:r>
              <w:rPr>
                <w:rFonts w:ascii="Traditional Arabic" w:eastAsia="Traditional Arabic" w:hAnsi="Traditional Arabic" w:cs="Traditional Arabic"/>
                <w:b/>
                <w:bCs/>
                <w:color w:val="FFFFFF"/>
                <w:sz w:val="23"/>
                <w:szCs w:val="23"/>
              </w:rPr>
              <w:t>الإجراء</w:t>
            </w:r>
          </w:p>
        </w:tc>
      </w:tr>
      <w:tr w:rsidR="008F62F0" w14:paraId="37F5F6EF"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1A07F8CA" w14:textId="77777777" w:rsidR="008F62F0" w:rsidRDefault="00000000">
            <w:pPr>
              <w:jc w:val="center"/>
            </w:pPr>
            <w:r>
              <w:rPr>
                <w:rFonts w:ascii="Traditional Arabic" w:eastAsia="Traditional Arabic" w:hAnsi="Traditional Arabic" w:cs="Traditional Arabic"/>
                <w:color w:val="1A1A1A"/>
                <w:sz w:val="22"/>
                <w:szCs w:val="22"/>
              </w:rPr>
              <w:t>التشخيص (المرحلة الأولى)</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3EE024F1" w14:textId="77777777" w:rsidR="008F62F0" w:rsidRDefault="00000000">
            <w:pPr>
              <w:jc w:val="center"/>
            </w:pPr>
            <w:r>
              <w:rPr>
                <w:rFonts w:ascii="Traditional Arabic" w:eastAsia="Traditional Arabic" w:hAnsi="Traditional Arabic" w:cs="Traditional Arabic"/>
                <w:color w:val="1A1A1A"/>
                <w:sz w:val="22"/>
                <w:szCs w:val="22"/>
              </w:rPr>
              <w:t>ذنب حقيقي (أفعال مؤذية) مع صورة إلهية قاسية (الله سيعاقبها بذهاب أولادها منها)</w:t>
            </w:r>
          </w:p>
        </w:tc>
      </w:tr>
      <w:tr w:rsidR="008F62F0" w14:paraId="35EC0D33"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720F104E" w14:textId="77777777" w:rsidR="008F62F0" w:rsidRDefault="00000000">
            <w:pPr>
              <w:jc w:val="center"/>
            </w:pPr>
            <w:r>
              <w:rPr>
                <w:rFonts w:ascii="Traditional Arabic" w:eastAsia="Traditional Arabic" w:hAnsi="Traditional Arabic" w:cs="Traditional Arabic"/>
                <w:color w:val="1A1A1A"/>
                <w:sz w:val="22"/>
                <w:szCs w:val="22"/>
              </w:rPr>
              <w:t>المرحلة الثانية</w:t>
            </w:r>
          </w:p>
        </w:tc>
        <w:tc>
          <w:tcPr>
            <w:tcW w:w="60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46F1663D" w14:textId="77777777" w:rsidR="008F62F0" w:rsidRDefault="00000000">
            <w:pPr>
              <w:jc w:val="center"/>
            </w:pPr>
            <w:r>
              <w:rPr>
                <w:rFonts w:ascii="Traditional Arabic" w:eastAsia="Traditional Arabic" w:hAnsi="Traditional Arabic" w:cs="Traditional Arabic"/>
                <w:color w:val="1A1A1A"/>
                <w:sz w:val="22"/>
                <w:szCs w:val="22"/>
              </w:rPr>
              <w:t>إعادة بناء صورة الله عبر التركيز على اسمي «الغفور» و«الرحيم»</w:t>
            </w:r>
          </w:p>
        </w:tc>
      </w:tr>
      <w:tr w:rsidR="008F62F0" w14:paraId="65EE7AD8"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3BC32B9A" w14:textId="77777777" w:rsidR="008F62F0" w:rsidRDefault="00000000">
            <w:pPr>
              <w:jc w:val="center"/>
            </w:pPr>
            <w:r>
              <w:rPr>
                <w:rFonts w:ascii="Traditional Arabic" w:eastAsia="Traditional Arabic" w:hAnsi="Traditional Arabic" w:cs="Traditional Arabic"/>
                <w:color w:val="1A1A1A"/>
                <w:sz w:val="22"/>
                <w:szCs w:val="22"/>
              </w:rPr>
              <w:t>تحليل الطاقة</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496C9720" w14:textId="77777777" w:rsidR="008F62F0" w:rsidRDefault="00000000">
            <w:pPr>
              <w:jc w:val="center"/>
            </w:pPr>
            <w:r>
              <w:rPr>
                <w:rFonts w:ascii="Traditional Arabic" w:eastAsia="Traditional Arabic" w:hAnsi="Traditional Arabic" w:cs="Traditional Arabic"/>
                <w:color w:val="1A1A1A"/>
                <w:sz w:val="22"/>
                <w:szCs w:val="22"/>
              </w:rPr>
              <w:t>كانت تقضي 15 ساعة أسبوعياً في اجترار الندم والبكاء</w:t>
            </w:r>
          </w:p>
        </w:tc>
      </w:tr>
      <w:tr w:rsidR="008F62F0" w14:paraId="26EC36B8"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08EB909B" w14:textId="77777777" w:rsidR="008F62F0" w:rsidRDefault="00000000">
            <w:pPr>
              <w:jc w:val="center"/>
            </w:pPr>
            <w:r>
              <w:rPr>
                <w:rFonts w:ascii="Traditional Arabic" w:eastAsia="Traditional Arabic" w:hAnsi="Traditional Arabic" w:cs="Traditional Arabic"/>
                <w:color w:val="1A1A1A"/>
                <w:sz w:val="22"/>
                <w:szCs w:val="22"/>
              </w:rPr>
              <w:t>القيمة المضادة</w:t>
            </w:r>
          </w:p>
        </w:tc>
        <w:tc>
          <w:tcPr>
            <w:tcW w:w="60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50173F82" w14:textId="77777777" w:rsidR="008F62F0" w:rsidRDefault="00000000">
            <w:pPr>
              <w:jc w:val="center"/>
            </w:pPr>
            <w:r>
              <w:rPr>
                <w:rFonts w:ascii="Traditional Arabic" w:eastAsia="Traditional Arabic" w:hAnsi="Traditional Arabic" w:cs="Traditional Arabic"/>
                <w:color w:val="1A1A1A"/>
                <w:sz w:val="22"/>
                <w:szCs w:val="22"/>
              </w:rPr>
              <w:t>بدلاً من هدم الأسرة ← بناء أسر أخرى</w:t>
            </w:r>
          </w:p>
        </w:tc>
      </w:tr>
      <w:tr w:rsidR="008F62F0" w14:paraId="6B3CF848"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4EFBF82D" w14:textId="77777777" w:rsidR="008F62F0" w:rsidRDefault="00000000">
            <w:pPr>
              <w:jc w:val="center"/>
            </w:pPr>
            <w:r>
              <w:rPr>
                <w:rFonts w:ascii="Traditional Arabic" w:eastAsia="Traditional Arabic" w:hAnsi="Traditional Arabic" w:cs="Traditional Arabic"/>
                <w:color w:val="1A1A1A"/>
                <w:sz w:val="22"/>
                <w:szCs w:val="22"/>
              </w:rPr>
              <w:t>الجسر السلوكي</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336CAD31" w14:textId="77777777" w:rsidR="008F62F0" w:rsidRDefault="00000000">
            <w:pPr>
              <w:jc w:val="center"/>
            </w:pPr>
            <w:r>
              <w:rPr>
                <w:rFonts w:ascii="Traditional Arabic" w:eastAsia="Traditional Arabic" w:hAnsi="Traditional Arabic" w:cs="Traditional Arabic"/>
                <w:color w:val="1A1A1A"/>
                <w:sz w:val="22"/>
                <w:szCs w:val="22"/>
              </w:rPr>
              <w:t>التطوع في جمعية تدعم الأسر المطلقة</w:t>
            </w:r>
          </w:p>
        </w:tc>
      </w:tr>
      <w:tr w:rsidR="008F62F0" w14:paraId="6BD4AEFE"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1D0DC6F0" w14:textId="77777777" w:rsidR="008F62F0" w:rsidRDefault="00000000">
            <w:pPr>
              <w:jc w:val="center"/>
            </w:pPr>
            <w:r>
              <w:rPr>
                <w:rFonts w:ascii="Traditional Arabic" w:eastAsia="Traditional Arabic" w:hAnsi="Traditional Arabic" w:cs="Traditional Arabic"/>
                <w:color w:val="1A1A1A"/>
                <w:sz w:val="22"/>
                <w:szCs w:val="22"/>
              </w:rPr>
              <w:t>الربط الرمزي</w:t>
            </w:r>
          </w:p>
        </w:tc>
        <w:tc>
          <w:tcPr>
            <w:tcW w:w="6026" w:type="dxa"/>
            <w:tcBorders>
              <w:top w:val="single" w:sz="4" w:space="0" w:color="B0C4DE"/>
              <w:left w:val="single" w:sz="4" w:space="0" w:color="B0C4DE"/>
              <w:bottom w:val="single" w:sz="4" w:space="0" w:color="B0C4DE"/>
              <w:right w:val="single" w:sz="4" w:space="0" w:color="B0C4DE"/>
            </w:tcBorders>
            <w:shd w:val="clear" w:color="auto" w:fill="E8EFF7"/>
            <w:tcMar>
              <w:top w:w="90" w:type="dxa"/>
              <w:left w:w="150" w:type="dxa"/>
              <w:bottom w:w="90" w:type="dxa"/>
              <w:right w:w="150" w:type="dxa"/>
            </w:tcMar>
            <w:vAlign w:val="center"/>
          </w:tcPr>
          <w:p w14:paraId="3495A481" w14:textId="77777777" w:rsidR="008F62F0" w:rsidRDefault="00000000">
            <w:pPr>
              <w:jc w:val="center"/>
            </w:pPr>
            <w:r>
              <w:rPr>
                <w:rFonts w:ascii="Traditional Arabic" w:eastAsia="Traditional Arabic" w:hAnsi="Traditional Arabic" w:cs="Traditional Arabic"/>
                <w:color w:val="1A1A1A"/>
                <w:sz w:val="22"/>
                <w:szCs w:val="22"/>
              </w:rPr>
              <w:t>جعلت كل ساعة تطوع «صدقة» عن طليقها وأولادها</w:t>
            </w:r>
          </w:p>
        </w:tc>
      </w:tr>
      <w:tr w:rsidR="008F62F0" w14:paraId="306A23A9" w14:textId="77777777">
        <w:tblPrEx>
          <w:tblCellMar>
            <w:top w:w="0" w:type="dxa"/>
            <w:bottom w:w="0" w:type="dxa"/>
          </w:tblCellMar>
        </w:tblPrEx>
        <w:tc>
          <w:tcPr>
            <w:tcW w:w="3000"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594A4713" w14:textId="77777777" w:rsidR="008F62F0" w:rsidRDefault="00000000">
            <w:pPr>
              <w:jc w:val="center"/>
            </w:pPr>
            <w:r>
              <w:rPr>
                <w:rFonts w:ascii="Traditional Arabic" w:eastAsia="Traditional Arabic" w:hAnsi="Traditional Arabic" w:cs="Traditional Arabic"/>
                <w:color w:val="1A1A1A"/>
                <w:sz w:val="22"/>
                <w:szCs w:val="22"/>
              </w:rPr>
              <w:t>مشروع الكفارة الإبداعية</w:t>
            </w:r>
          </w:p>
        </w:tc>
        <w:tc>
          <w:tcPr>
            <w:tcW w:w="6026" w:type="dxa"/>
            <w:tcBorders>
              <w:top w:val="single" w:sz="4" w:space="0" w:color="B0C4DE"/>
              <w:left w:val="single" w:sz="4" w:space="0" w:color="B0C4DE"/>
              <w:bottom w:val="single" w:sz="4" w:space="0" w:color="B0C4DE"/>
              <w:right w:val="single" w:sz="4" w:space="0" w:color="B0C4DE"/>
            </w:tcBorders>
            <w:shd w:val="clear" w:color="auto" w:fill="FFFFFF"/>
            <w:tcMar>
              <w:top w:w="90" w:type="dxa"/>
              <w:left w:w="150" w:type="dxa"/>
              <w:bottom w:w="90" w:type="dxa"/>
              <w:right w:w="150" w:type="dxa"/>
            </w:tcMar>
            <w:vAlign w:val="center"/>
          </w:tcPr>
          <w:p w14:paraId="11958709" w14:textId="77777777" w:rsidR="008F62F0" w:rsidRDefault="00000000">
            <w:pPr>
              <w:jc w:val="center"/>
            </w:pPr>
            <w:r>
              <w:rPr>
                <w:rFonts w:ascii="Traditional Arabic" w:eastAsia="Traditional Arabic" w:hAnsi="Traditional Arabic" w:cs="Traditional Arabic"/>
                <w:color w:val="1A1A1A"/>
                <w:sz w:val="22"/>
                <w:szCs w:val="22"/>
              </w:rPr>
              <w:t>أسست مجموعة دعم على فيسبوك للنساء المطلقات</w:t>
            </w:r>
          </w:p>
        </w:tc>
      </w:tr>
    </w:tbl>
    <w:p w14:paraId="72E6D77E" w14:textId="77777777" w:rsidR="008F62F0" w:rsidRDefault="008F62F0">
      <w:pPr>
        <w:spacing w:before="60" w:after="60"/>
      </w:pPr>
    </w:p>
    <w:p w14:paraId="1CE5F975" w14:textId="77777777" w:rsidR="008F62F0" w:rsidRDefault="00000000">
      <w:pPr>
        <w:pBdr>
          <w:left w:val="single" w:sz="14" w:space="6" w:color="B8860B"/>
          <w:right w:val="single" w:sz="14" w:space="6" w:color="B8860B"/>
        </w:pBdr>
        <w:spacing w:before="120" w:after="120"/>
        <w:ind w:left="800" w:right="800"/>
        <w:jc w:val="right"/>
      </w:pPr>
      <w:r>
        <w:rPr>
          <w:rFonts w:ascii="Traditional Arabic" w:eastAsia="Traditional Arabic" w:hAnsi="Traditional Arabic" w:cs="Traditional Arabic"/>
          <w:b/>
          <w:bCs/>
          <w:i/>
          <w:iCs/>
          <w:color w:val="2C2C2C"/>
          <w:sz w:val="24"/>
          <w:szCs w:val="24"/>
        </w:rPr>
        <w:t>«لأول مرة أشعر أن ألمي السابق له معنى. كل كلمة أقولها لامرأة تمر بما مررت به تشفيني أكثر مما تشفيها. تحول ذنبي إلى رسالة.»</w:t>
      </w:r>
    </w:p>
    <w:p w14:paraId="3D9FBA92" w14:textId="77777777" w:rsidR="008F62F0" w:rsidRDefault="00000000">
      <w:pPr>
        <w:spacing w:before="40" w:after="80"/>
      </w:pPr>
      <w:r>
        <w:rPr>
          <w:rFonts w:ascii="Traditional Arabic" w:eastAsia="Traditional Arabic" w:hAnsi="Traditional Arabic" w:cs="Traditional Arabic"/>
          <w:i/>
          <w:iCs/>
          <w:color w:val="555555"/>
          <w:sz w:val="22"/>
          <w:szCs w:val="22"/>
        </w:rPr>
        <w:t>— سارة، بعد ثلاثة أشهر من التطبيق</w:t>
      </w:r>
    </w:p>
    <w:p w14:paraId="33C54E4E" w14:textId="77777777" w:rsidR="008F62F0" w:rsidRDefault="00000000">
      <w:pPr>
        <w:pageBreakBefore/>
        <w:pBdr>
          <w:bottom w:val="single" w:sz="10" w:space="4" w:color="B8860B"/>
        </w:pBdr>
        <w:shd w:val="clear" w:color="auto" w:fill="E8EFF7"/>
        <w:spacing w:before="260" w:after="140"/>
        <w:jc w:val="right"/>
      </w:pPr>
      <w:r>
        <w:rPr>
          <w:rFonts w:ascii="Traditional Arabic" w:eastAsia="Traditional Arabic" w:hAnsi="Traditional Arabic" w:cs="Traditional Arabic"/>
          <w:b/>
          <w:bCs/>
          <w:color w:val="1B3A5C"/>
          <w:sz w:val="34"/>
          <w:szCs w:val="34"/>
        </w:rPr>
        <w:t>11.8  خلاصة الفصل</w:t>
      </w:r>
    </w:p>
    <w:p w14:paraId="3359C2F4" w14:textId="77777777" w:rsidR="008F62F0" w:rsidRDefault="00000000">
      <w:pPr>
        <w:spacing w:before="40" w:after="80"/>
        <w:jc w:val="right"/>
      </w:pPr>
      <w:r>
        <w:rPr>
          <w:rFonts w:ascii="Traditional Arabic" w:eastAsia="Traditional Arabic" w:hAnsi="Traditional Arabic" w:cs="Traditional Arabic"/>
          <w:color w:val="1A1A1A"/>
          <w:sz w:val="24"/>
          <w:szCs w:val="24"/>
        </w:rPr>
        <w:t>تمثل مرحلة التحويل الطاقي الابتكار المركزي في العلاج بحرث المصالحة التحويلية. هي التي تحول العلاج من مجرد «كلام» و«بصيرة» إلى «فعل» و«تحول» ملموس. فيها تتحقق المعادلة الأصعب: كيف نجعل من الذنب وقوداً لا سماً، ومن الندم دافعاً لا شللاً، ومن الماضي جسراً لا سجناً.</w:t>
      </w:r>
    </w:p>
    <w:p w14:paraId="1598E276" w14:textId="77777777" w:rsidR="008F62F0" w:rsidRDefault="008F62F0">
      <w:pPr>
        <w:spacing w:before="60" w:after="60"/>
      </w:pPr>
    </w:p>
    <w:p w14:paraId="253477D9" w14:textId="77777777" w:rsidR="008F62F0" w:rsidRDefault="00000000">
      <w:pPr>
        <w:spacing w:before="40" w:after="80"/>
        <w:jc w:val="right"/>
      </w:pPr>
      <w:r>
        <w:rPr>
          <w:rFonts w:ascii="Traditional Arabic" w:eastAsia="Traditional Arabic" w:hAnsi="Traditional Arabic" w:cs="Traditional Arabic"/>
          <w:b/>
          <w:bCs/>
          <w:color w:val="1A1A1A"/>
          <w:sz w:val="24"/>
          <w:szCs w:val="24"/>
        </w:rPr>
        <w:t>أهم ما تقدمه هذه المرحلة:</w:t>
      </w:r>
    </w:p>
    <w:p w14:paraId="68E69566" w14:textId="77777777" w:rsidR="008F62F0" w:rsidRDefault="00000000">
      <w:pPr>
        <w:pStyle w:val="a4"/>
        <w:numPr>
          <w:ilvl w:val="0"/>
          <w:numId w:val="21"/>
        </w:numPr>
        <w:spacing w:before="40" w:after="60"/>
        <w:jc w:val="right"/>
      </w:pPr>
      <w:r>
        <w:rPr>
          <w:rFonts w:ascii="Traditional Arabic" w:eastAsia="Traditional Arabic" w:hAnsi="Traditional Arabic" w:cs="Traditional Arabic"/>
          <w:color w:val="1A1A1A"/>
          <w:sz w:val="24"/>
          <w:szCs w:val="24"/>
        </w:rPr>
        <w:t>نظرية الطاقة: فهم الذنب كطاقة يمكن توجيهها، وليس كعرض يجب إزالته.</w:t>
      </w:r>
    </w:p>
    <w:p w14:paraId="70FE5486" w14:textId="77777777" w:rsidR="008F62F0" w:rsidRDefault="00000000">
      <w:pPr>
        <w:pStyle w:val="a4"/>
        <w:numPr>
          <w:ilvl w:val="0"/>
          <w:numId w:val="21"/>
        </w:numPr>
        <w:spacing w:before="40" w:after="60"/>
        <w:jc w:val="right"/>
      </w:pPr>
      <w:r>
        <w:rPr>
          <w:rFonts w:ascii="Traditional Arabic" w:eastAsia="Traditional Arabic" w:hAnsi="Traditional Arabic" w:cs="Traditional Arabic"/>
          <w:color w:val="1A1A1A"/>
          <w:sz w:val="24"/>
          <w:szCs w:val="24"/>
        </w:rPr>
        <w:t>الجسر السلوكي: أداة عملية لربط الماضي بالمستقبل، والذنب بالإحسان.</w:t>
      </w:r>
    </w:p>
    <w:p w14:paraId="67FD9D27" w14:textId="77777777" w:rsidR="008F62F0" w:rsidRDefault="00000000">
      <w:pPr>
        <w:pStyle w:val="a4"/>
        <w:numPr>
          <w:ilvl w:val="0"/>
          <w:numId w:val="21"/>
        </w:numPr>
        <w:spacing w:before="40" w:after="60"/>
        <w:jc w:val="right"/>
      </w:pPr>
      <w:r>
        <w:rPr>
          <w:rFonts w:ascii="Traditional Arabic" w:eastAsia="Traditional Arabic" w:hAnsi="Traditional Arabic" w:cs="Traditional Arabic"/>
          <w:color w:val="1A1A1A"/>
          <w:sz w:val="24"/>
          <w:szCs w:val="24"/>
        </w:rPr>
        <w:t>مشروع الكفارة الإبداعية: تحويل الفرد من «مريض» يتلقى علاجاً إلى «فاعل» ينتج خيراً.</w:t>
      </w:r>
    </w:p>
    <w:p w14:paraId="0782C068" w14:textId="77777777" w:rsidR="008F62F0" w:rsidRDefault="00000000">
      <w:pPr>
        <w:pStyle w:val="a4"/>
        <w:numPr>
          <w:ilvl w:val="0"/>
          <w:numId w:val="21"/>
        </w:numPr>
        <w:spacing w:before="40" w:after="60"/>
        <w:jc w:val="right"/>
      </w:pPr>
      <w:r>
        <w:rPr>
          <w:rFonts w:ascii="Traditional Arabic" w:eastAsia="Traditional Arabic" w:hAnsi="Traditional Arabic" w:cs="Traditional Arabic"/>
          <w:color w:val="1A1A1A"/>
          <w:sz w:val="24"/>
          <w:szCs w:val="24"/>
        </w:rPr>
        <w:t>التعويض الحي: بديل عن التعويض المستحيل، عبر «الوكالة» الرمزية.</w:t>
      </w:r>
    </w:p>
    <w:p w14:paraId="3E1C0416" w14:textId="77777777" w:rsidR="008F62F0" w:rsidRDefault="008F62F0">
      <w:pPr>
        <w:spacing w:before="60" w:after="60"/>
      </w:pPr>
    </w:p>
    <w:p w14:paraId="53D5A392" w14:textId="77777777" w:rsidR="008F62F0" w:rsidRDefault="00000000">
      <w:pPr>
        <w:spacing w:before="40" w:after="80"/>
        <w:jc w:val="right"/>
      </w:pPr>
      <w:r>
        <w:rPr>
          <w:rFonts w:ascii="Traditional Arabic" w:eastAsia="Traditional Arabic" w:hAnsi="Traditional Arabic" w:cs="Traditional Arabic"/>
          <w:color w:val="1A1A1A"/>
          <w:sz w:val="24"/>
          <w:szCs w:val="24"/>
        </w:rPr>
        <w:t>المريض الذي يصل إلى هذه المرحلة لم يعد ذلك الشخص الذي «كان» مذنباً، بل أصبح شخصاً يبني من خطئه السابق مدرسة للخير. هذا هو جوهر «حرث المصالحة»: حرث الأرض الميتة (الذنب) لتُزرع فيها بذور جديدة (الإحسان).</w:t>
      </w:r>
    </w:p>
    <w:p w14:paraId="45F1013D" w14:textId="77777777" w:rsidR="008F62F0" w:rsidRDefault="008F62F0">
      <w:pPr>
        <w:spacing w:before="100" w:after="100"/>
      </w:pPr>
    </w:p>
    <w:p w14:paraId="49C95BE6" w14:textId="77777777" w:rsidR="008F62F0" w:rsidRDefault="008F62F0">
      <w:pPr>
        <w:pBdr>
          <w:bottom w:val="single" w:sz="4" w:space="4" w:color="CCCCCC"/>
        </w:pBdr>
        <w:spacing w:before="100" w:after="100"/>
      </w:pPr>
    </w:p>
    <w:p w14:paraId="4CD75F1F" w14:textId="77777777" w:rsidR="008F62F0" w:rsidRDefault="00000000">
      <w:pPr>
        <w:spacing w:before="100" w:after="100"/>
        <w:jc w:val="center"/>
      </w:pPr>
      <w:r>
        <w:rPr>
          <w:rFonts w:ascii="Traditional Arabic" w:eastAsia="Traditional Arabic" w:hAnsi="Traditional Arabic" w:cs="Traditional Arabic"/>
          <w:b/>
          <w:bCs/>
          <w:i/>
          <w:iCs/>
          <w:color w:val="2E7D32"/>
          <w:sz w:val="26"/>
          <w:szCs w:val="26"/>
        </w:rPr>
        <w:t>هذا والله وليُّ التوفيق، وهو يهدي السبيل</w:t>
      </w:r>
    </w:p>
    <w:p w14:paraId="7D68F68F" w14:textId="77777777" w:rsidR="008F62F0" w:rsidRDefault="008F62F0">
      <w:pPr>
        <w:pBdr>
          <w:bottom w:val="single" w:sz="4" w:space="4" w:color="CCCCCC"/>
        </w:pBdr>
        <w:spacing w:before="100" w:after="100"/>
      </w:pPr>
    </w:p>
    <w:p w14:paraId="3EC7C509" w14:textId="77777777" w:rsidR="008F62F0" w:rsidRDefault="00000000">
      <w:pPr>
        <w:pageBreakBefore/>
        <w:pBdr>
          <w:top w:val="single" w:sz="18" w:space="6" w:color="B8860B"/>
          <w:bottom w:val="single" w:sz="18" w:space="6" w:color="B8860B"/>
        </w:pBdr>
        <w:shd w:val="clear" w:color="auto" w:fill="1B3A5C"/>
        <w:spacing w:before="320" w:after="320"/>
        <w:jc w:val="center"/>
      </w:pPr>
      <w:r>
        <w:rPr>
          <w:rFonts w:ascii="Traditional Arabic" w:eastAsia="Traditional Arabic" w:hAnsi="Traditional Arabic" w:cs="Traditional Arabic"/>
          <w:b/>
          <w:bCs/>
          <w:color w:val="FFFFFF"/>
          <w:sz w:val="38"/>
          <w:szCs w:val="38"/>
        </w:rPr>
        <w:t>المراجع</w:t>
      </w:r>
    </w:p>
    <w:p w14:paraId="10DEB221"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أولاً: المراجع الأجنبية</w:t>
      </w:r>
    </w:p>
    <w:p w14:paraId="4A6456E2" w14:textId="77777777" w:rsidR="008F62F0" w:rsidRDefault="00000000">
      <w:pPr>
        <w:pStyle w:val="a4"/>
        <w:numPr>
          <w:ilvl w:val="0"/>
          <w:numId w:val="22"/>
        </w:numPr>
        <w:spacing w:before="40" w:after="60"/>
        <w:jc w:val="right"/>
      </w:pPr>
      <w:r>
        <w:rPr>
          <w:rFonts w:ascii="Traditional Arabic" w:eastAsia="Traditional Arabic" w:hAnsi="Traditional Arabic" w:cs="Traditional Arabic"/>
          <w:color w:val="1A1A1A"/>
          <w:sz w:val="24"/>
          <w:szCs w:val="24"/>
        </w:rPr>
        <w:t>Aquino, K., &amp; Reed, A. (2002). The self-importance of moral identity. Journal of Personality and Social Psychology, 83(6), 1423-1440.</w:t>
      </w:r>
    </w:p>
    <w:p w14:paraId="0665ED1A" w14:textId="77777777" w:rsidR="008F62F0" w:rsidRDefault="00000000">
      <w:pPr>
        <w:pStyle w:val="a4"/>
        <w:numPr>
          <w:ilvl w:val="0"/>
          <w:numId w:val="22"/>
        </w:numPr>
        <w:spacing w:before="40" w:after="60"/>
        <w:jc w:val="right"/>
      </w:pPr>
      <w:r>
        <w:rPr>
          <w:rFonts w:ascii="Traditional Arabic" w:eastAsia="Traditional Arabic" w:hAnsi="Traditional Arabic" w:cs="Traditional Arabic"/>
          <w:color w:val="1A1A1A"/>
          <w:sz w:val="24"/>
          <w:szCs w:val="24"/>
        </w:rPr>
        <w:t>Frankl, V. (1946). Man's Search for Meaning. Beacon Press.</w:t>
      </w:r>
    </w:p>
    <w:p w14:paraId="0F45BF7D" w14:textId="77777777" w:rsidR="008F62F0" w:rsidRDefault="00000000">
      <w:pPr>
        <w:pStyle w:val="a4"/>
        <w:numPr>
          <w:ilvl w:val="0"/>
          <w:numId w:val="22"/>
        </w:numPr>
        <w:spacing w:before="40" w:after="60"/>
        <w:jc w:val="right"/>
      </w:pPr>
      <w:r>
        <w:rPr>
          <w:rFonts w:ascii="Traditional Arabic" w:eastAsia="Traditional Arabic" w:hAnsi="Traditional Arabic" w:cs="Traditional Arabic"/>
          <w:color w:val="1A1A1A"/>
          <w:sz w:val="24"/>
          <w:szCs w:val="24"/>
        </w:rPr>
        <w:t>Freud, S. (1930). Civilization and Its Discontents. W. W. Norton &amp; Company.</w:t>
      </w:r>
    </w:p>
    <w:p w14:paraId="01CFC501" w14:textId="77777777" w:rsidR="008F62F0" w:rsidRDefault="00000000">
      <w:pPr>
        <w:pStyle w:val="a4"/>
        <w:numPr>
          <w:ilvl w:val="0"/>
          <w:numId w:val="22"/>
        </w:numPr>
        <w:spacing w:before="40" w:after="60"/>
        <w:jc w:val="right"/>
      </w:pPr>
      <w:r>
        <w:rPr>
          <w:rFonts w:ascii="Traditional Arabic" w:eastAsia="Traditional Arabic" w:hAnsi="Traditional Arabic" w:cs="Traditional Arabic"/>
          <w:color w:val="1A1A1A"/>
          <w:sz w:val="24"/>
          <w:szCs w:val="24"/>
        </w:rPr>
        <w:t>Seligman, M. (2011). Flourish: A Visionary New Understanding of Happiness and Well-being. Free Press.</w:t>
      </w:r>
    </w:p>
    <w:p w14:paraId="1AC55962" w14:textId="77777777" w:rsidR="008F62F0" w:rsidRDefault="00000000">
      <w:pPr>
        <w:pStyle w:val="a4"/>
        <w:numPr>
          <w:ilvl w:val="0"/>
          <w:numId w:val="22"/>
        </w:numPr>
        <w:spacing w:before="40" w:after="60"/>
        <w:jc w:val="right"/>
      </w:pPr>
      <w:r>
        <w:rPr>
          <w:rFonts w:ascii="Traditional Arabic" w:eastAsia="Traditional Arabic" w:hAnsi="Traditional Arabic" w:cs="Traditional Arabic"/>
          <w:color w:val="1A1A1A"/>
          <w:sz w:val="24"/>
          <w:szCs w:val="24"/>
        </w:rPr>
        <w:t>Tangney, J. P., Dearing, R. L., Wagner, P. E., &amp; Gramzow, R. (2000). The Test of Self-Conscious Affect–3 (TOSCA-3). George Mason University.</w:t>
      </w:r>
    </w:p>
    <w:p w14:paraId="2002C9EA" w14:textId="77777777" w:rsidR="008F62F0" w:rsidRDefault="008F62F0">
      <w:pPr>
        <w:spacing w:before="80" w:after="40"/>
      </w:pPr>
    </w:p>
    <w:p w14:paraId="2608E12A" w14:textId="77777777" w:rsidR="008F62F0" w:rsidRDefault="00000000">
      <w:pPr>
        <w:spacing w:before="200" w:after="100"/>
        <w:jc w:val="right"/>
      </w:pPr>
      <w:r>
        <w:rPr>
          <w:rFonts w:ascii="Traditional Arabic" w:eastAsia="Traditional Arabic" w:hAnsi="Traditional Arabic" w:cs="Traditional Arabic"/>
          <w:b/>
          <w:bCs/>
          <w:color w:val="2E6DA4"/>
          <w:sz w:val="28"/>
          <w:szCs w:val="28"/>
        </w:rPr>
        <w:t>ثانياً: المراجع العربية والإسلامية</w:t>
      </w:r>
    </w:p>
    <w:p w14:paraId="3DB2C2DA" w14:textId="77777777" w:rsidR="008F62F0" w:rsidRDefault="00000000">
      <w:pPr>
        <w:pStyle w:val="a4"/>
        <w:numPr>
          <w:ilvl w:val="0"/>
          <w:numId w:val="23"/>
        </w:numPr>
        <w:spacing w:before="40" w:after="60"/>
        <w:jc w:val="right"/>
      </w:pPr>
      <w:r>
        <w:rPr>
          <w:rFonts w:ascii="Traditional Arabic" w:eastAsia="Traditional Arabic" w:hAnsi="Traditional Arabic" w:cs="Traditional Arabic"/>
          <w:color w:val="1A1A1A"/>
          <w:sz w:val="24"/>
          <w:szCs w:val="24"/>
        </w:rPr>
        <w:t>القرآن الكريم، سورة الفرقان، الآية 70.</w:t>
      </w:r>
    </w:p>
    <w:p w14:paraId="0DEA00B0" w14:textId="77777777" w:rsidR="008F62F0" w:rsidRDefault="00000000">
      <w:pPr>
        <w:pStyle w:val="a4"/>
        <w:numPr>
          <w:ilvl w:val="0"/>
          <w:numId w:val="23"/>
        </w:numPr>
        <w:spacing w:before="40" w:after="60"/>
        <w:jc w:val="right"/>
      </w:pPr>
      <w:r>
        <w:rPr>
          <w:rFonts w:ascii="Traditional Arabic" w:eastAsia="Traditional Arabic" w:hAnsi="Traditional Arabic" w:cs="Traditional Arabic"/>
          <w:color w:val="1A1A1A"/>
          <w:sz w:val="24"/>
          <w:szCs w:val="24"/>
        </w:rPr>
        <w:t>الحديث النبوي الشريف: «وأتبع السيئة الحسنة تمحها» (رواه الترمذي).</w:t>
      </w:r>
    </w:p>
    <w:p w14:paraId="65290B18" w14:textId="77777777" w:rsidR="008F62F0" w:rsidRDefault="00000000">
      <w:pPr>
        <w:pStyle w:val="a4"/>
        <w:numPr>
          <w:ilvl w:val="0"/>
          <w:numId w:val="23"/>
        </w:numPr>
        <w:spacing w:before="40" w:after="60"/>
        <w:jc w:val="right"/>
      </w:pPr>
      <w:r>
        <w:rPr>
          <w:rFonts w:ascii="Traditional Arabic" w:eastAsia="Traditional Arabic" w:hAnsi="Traditional Arabic" w:cs="Traditional Arabic"/>
          <w:color w:val="1A1A1A"/>
          <w:sz w:val="24"/>
          <w:szCs w:val="24"/>
        </w:rPr>
        <w:t>TLRT (العلاج بحرث المصالحة التحويلية) (2026). الدليل النظري والإكلينيكي (الطبعة التجريبية الأولى).</w:t>
      </w:r>
    </w:p>
    <w:sectPr w:rsidR="008F62F0">
      <w:headerReference w:type="default" r:id="rId7"/>
      <w:footerReference w:type="default" r:id="rId8"/>
      <w:pgSz w:w="11906" w:h="16838"/>
      <w:pgMar w:top="1440" w:right="1700" w:bottom="1440" w:left="17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D136C" w14:textId="77777777" w:rsidR="00A54C1B" w:rsidRDefault="00A54C1B">
      <w:r>
        <w:separator/>
      </w:r>
    </w:p>
  </w:endnote>
  <w:endnote w:type="continuationSeparator" w:id="0">
    <w:p w14:paraId="2455E603" w14:textId="77777777" w:rsidR="00A54C1B" w:rsidRDefault="00A54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9FE6" w14:textId="77777777" w:rsidR="008F62F0" w:rsidRDefault="00000000">
    <w:pPr>
      <w:pBdr>
        <w:top w:val="single" w:sz="4" w:space="4" w:color="2E6DA4"/>
      </w:pBdr>
      <w:spacing w:before="120"/>
      <w:jc w:val="center"/>
    </w:pPr>
    <w:r>
      <w:rPr>
        <w:rFonts w:ascii="Calibri" w:eastAsia="Calibri" w:hAnsi="Calibri" w:cs="Calibri"/>
        <w:color w:val="888888"/>
      </w:rPr>
      <w:t xml:space="preserve">— </w:t>
    </w:r>
    <w:r>
      <w:rPr>
        <w:rFonts w:ascii="Calibri" w:eastAsia="Calibri" w:hAnsi="Calibri" w:cs="Calibri"/>
        <w:color w:val="888888"/>
      </w:rPr>
      <w:pgNum/>
    </w:r>
    <w:r>
      <w:rPr>
        <w:rFonts w:ascii="Calibri" w:eastAsia="Calibri" w:hAnsi="Calibri" w:cs="Calibri"/>
        <w:color w:val="88888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56AF5" w14:textId="77777777" w:rsidR="00A54C1B" w:rsidRDefault="00A54C1B">
      <w:r>
        <w:separator/>
      </w:r>
    </w:p>
  </w:footnote>
  <w:footnote w:type="continuationSeparator" w:id="0">
    <w:p w14:paraId="58642B32" w14:textId="77777777" w:rsidR="00A54C1B" w:rsidRDefault="00A54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FEDF" w14:textId="77777777" w:rsidR="008F62F0" w:rsidRDefault="00000000">
    <w:pPr>
      <w:pBdr>
        <w:bottom w:val="single" w:sz="4" w:space="4" w:color="B8860B"/>
      </w:pBdr>
      <w:spacing w:after="120"/>
      <w:jc w:val="center"/>
    </w:pPr>
    <w:r>
      <w:rPr>
        <w:rFonts w:ascii="Traditional Arabic" w:eastAsia="Traditional Arabic" w:hAnsi="Traditional Arabic" w:cs="Traditional Arabic"/>
        <w:color w:val="888888"/>
      </w:rPr>
      <w:t>علم النفس الاستخلافي  |  TLRT  |  الجزء الخامس: التطبيقات البحثية والتكامل المنهجي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7BB8"/>
    <w:multiLevelType w:val="hybridMultilevel"/>
    <w:tmpl w:val="FFFFFFFF"/>
    <w:lvl w:ilvl="0" w:tplc="46B604D2">
      <w:start w:val="1"/>
      <w:numFmt w:val="bullet"/>
      <w:lvlText w:val="◆"/>
      <w:lvlJc w:val="right"/>
      <w:pPr>
        <w:bidi/>
        <w:ind w:right="720" w:hanging="360"/>
      </w:pPr>
    </w:lvl>
    <w:lvl w:ilvl="1" w:tplc="2CD0B324">
      <w:numFmt w:val="decimal"/>
      <w:lvlText w:val=""/>
      <w:lvlJc w:val="left"/>
    </w:lvl>
    <w:lvl w:ilvl="2" w:tplc="1BF263C6">
      <w:numFmt w:val="decimal"/>
      <w:lvlText w:val=""/>
      <w:lvlJc w:val="left"/>
    </w:lvl>
    <w:lvl w:ilvl="3" w:tplc="F78C738A">
      <w:numFmt w:val="decimal"/>
      <w:lvlText w:val=""/>
      <w:lvlJc w:val="left"/>
    </w:lvl>
    <w:lvl w:ilvl="4" w:tplc="10E6A62A">
      <w:numFmt w:val="decimal"/>
      <w:lvlText w:val=""/>
      <w:lvlJc w:val="left"/>
    </w:lvl>
    <w:lvl w:ilvl="5" w:tplc="4826351A">
      <w:numFmt w:val="decimal"/>
      <w:lvlText w:val=""/>
      <w:lvlJc w:val="left"/>
    </w:lvl>
    <w:lvl w:ilvl="6" w:tplc="B5BA1196">
      <w:numFmt w:val="decimal"/>
      <w:lvlText w:val=""/>
      <w:lvlJc w:val="left"/>
    </w:lvl>
    <w:lvl w:ilvl="7" w:tplc="1B0AC7D8">
      <w:numFmt w:val="decimal"/>
      <w:lvlText w:val=""/>
      <w:lvlJc w:val="left"/>
    </w:lvl>
    <w:lvl w:ilvl="8" w:tplc="5E263B38">
      <w:numFmt w:val="decimal"/>
      <w:lvlText w:val=""/>
      <w:lvlJc w:val="left"/>
    </w:lvl>
  </w:abstractNum>
  <w:abstractNum w:abstractNumId="1" w15:restartNumberingAfterBreak="0">
    <w:nsid w:val="069F42AC"/>
    <w:multiLevelType w:val="hybridMultilevel"/>
    <w:tmpl w:val="FFFFFFFF"/>
    <w:lvl w:ilvl="0" w:tplc="E0E0A05C">
      <w:start w:val="1"/>
      <w:numFmt w:val="bullet"/>
      <w:lvlText w:val="◆"/>
      <w:lvlJc w:val="right"/>
      <w:pPr>
        <w:bidi/>
        <w:ind w:right="720" w:hanging="360"/>
      </w:pPr>
    </w:lvl>
    <w:lvl w:ilvl="1" w:tplc="69C05040">
      <w:numFmt w:val="decimal"/>
      <w:lvlText w:val=""/>
      <w:lvlJc w:val="left"/>
    </w:lvl>
    <w:lvl w:ilvl="2" w:tplc="F95A9A6E">
      <w:numFmt w:val="decimal"/>
      <w:lvlText w:val=""/>
      <w:lvlJc w:val="left"/>
    </w:lvl>
    <w:lvl w:ilvl="3" w:tplc="0916FBB6">
      <w:numFmt w:val="decimal"/>
      <w:lvlText w:val=""/>
      <w:lvlJc w:val="left"/>
    </w:lvl>
    <w:lvl w:ilvl="4" w:tplc="24B6D746">
      <w:numFmt w:val="decimal"/>
      <w:lvlText w:val=""/>
      <w:lvlJc w:val="left"/>
    </w:lvl>
    <w:lvl w:ilvl="5" w:tplc="5980F7AE">
      <w:numFmt w:val="decimal"/>
      <w:lvlText w:val=""/>
      <w:lvlJc w:val="left"/>
    </w:lvl>
    <w:lvl w:ilvl="6" w:tplc="57ACE2AC">
      <w:numFmt w:val="decimal"/>
      <w:lvlText w:val=""/>
      <w:lvlJc w:val="left"/>
    </w:lvl>
    <w:lvl w:ilvl="7" w:tplc="7102CC42">
      <w:numFmt w:val="decimal"/>
      <w:lvlText w:val=""/>
      <w:lvlJc w:val="left"/>
    </w:lvl>
    <w:lvl w:ilvl="8" w:tplc="7F9E4A60">
      <w:numFmt w:val="decimal"/>
      <w:lvlText w:val=""/>
      <w:lvlJc w:val="left"/>
    </w:lvl>
  </w:abstractNum>
  <w:abstractNum w:abstractNumId="2" w15:restartNumberingAfterBreak="0">
    <w:nsid w:val="06F75DB0"/>
    <w:multiLevelType w:val="hybridMultilevel"/>
    <w:tmpl w:val="FFFFFFFF"/>
    <w:lvl w:ilvl="0" w:tplc="F82654CE">
      <w:start w:val="1"/>
      <w:numFmt w:val="bullet"/>
      <w:lvlText w:val="◆"/>
      <w:lvlJc w:val="right"/>
      <w:pPr>
        <w:bidi/>
        <w:ind w:right="720" w:hanging="360"/>
      </w:pPr>
    </w:lvl>
    <w:lvl w:ilvl="1" w:tplc="EE42EA66">
      <w:numFmt w:val="decimal"/>
      <w:lvlText w:val=""/>
      <w:lvlJc w:val="left"/>
    </w:lvl>
    <w:lvl w:ilvl="2" w:tplc="CCCE94FC">
      <w:numFmt w:val="decimal"/>
      <w:lvlText w:val=""/>
      <w:lvlJc w:val="left"/>
    </w:lvl>
    <w:lvl w:ilvl="3" w:tplc="215E716A">
      <w:numFmt w:val="decimal"/>
      <w:lvlText w:val=""/>
      <w:lvlJc w:val="left"/>
    </w:lvl>
    <w:lvl w:ilvl="4" w:tplc="70CCA4AA">
      <w:numFmt w:val="decimal"/>
      <w:lvlText w:val=""/>
      <w:lvlJc w:val="left"/>
    </w:lvl>
    <w:lvl w:ilvl="5" w:tplc="A46EA808">
      <w:numFmt w:val="decimal"/>
      <w:lvlText w:val=""/>
      <w:lvlJc w:val="left"/>
    </w:lvl>
    <w:lvl w:ilvl="6" w:tplc="AAFE47D4">
      <w:numFmt w:val="decimal"/>
      <w:lvlText w:val=""/>
      <w:lvlJc w:val="left"/>
    </w:lvl>
    <w:lvl w:ilvl="7" w:tplc="10C6E3D8">
      <w:numFmt w:val="decimal"/>
      <w:lvlText w:val=""/>
      <w:lvlJc w:val="left"/>
    </w:lvl>
    <w:lvl w:ilvl="8" w:tplc="92483B12">
      <w:numFmt w:val="decimal"/>
      <w:lvlText w:val=""/>
      <w:lvlJc w:val="left"/>
    </w:lvl>
  </w:abstractNum>
  <w:abstractNum w:abstractNumId="3" w15:restartNumberingAfterBreak="0">
    <w:nsid w:val="085A2663"/>
    <w:multiLevelType w:val="hybridMultilevel"/>
    <w:tmpl w:val="FFFFFFFF"/>
    <w:lvl w:ilvl="0" w:tplc="9A5895D8">
      <w:start w:val="1"/>
      <w:numFmt w:val="bullet"/>
      <w:lvlText w:val="◆"/>
      <w:lvlJc w:val="right"/>
      <w:pPr>
        <w:bidi/>
        <w:ind w:right="720" w:hanging="360"/>
      </w:pPr>
    </w:lvl>
    <w:lvl w:ilvl="1" w:tplc="EC82BE6A">
      <w:numFmt w:val="decimal"/>
      <w:lvlText w:val=""/>
      <w:lvlJc w:val="left"/>
    </w:lvl>
    <w:lvl w:ilvl="2" w:tplc="5F06E6E2">
      <w:numFmt w:val="decimal"/>
      <w:lvlText w:val=""/>
      <w:lvlJc w:val="left"/>
    </w:lvl>
    <w:lvl w:ilvl="3" w:tplc="FC027FA4">
      <w:numFmt w:val="decimal"/>
      <w:lvlText w:val=""/>
      <w:lvlJc w:val="left"/>
    </w:lvl>
    <w:lvl w:ilvl="4" w:tplc="13BEC512">
      <w:numFmt w:val="decimal"/>
      <w:lvlText w:val=""/>
      <w:lvlJc w:val="left"/>
    </w:lvl>
    <w:lvl w:ilvl="5" w:tplc="DFAEA756">
      <w:numFmt w:val="decimal"/>
      <w:lvlText w:val=""/>
      <w:lvlJc w:val="left"/>
    </w:lvl>
    <w:lvl w:ilvl="6" w:tplc="04D00C9A">
      <w:numFmt w:val="decimal"/>
      <w:lvlText w:val=""/>
      <w:lvlJc w:val="left"/>
    </w:lvl>
    <w:lvl w:ilvl="7" w:tplc="DCCAB898">
      <w:numFmt w:val="decimal"/>
      <w:lvlText w:val=""/>
      <w:lvlJc w:val="left"/>
    </w:lvl>
    <w:lvl w:ilvl="8" w:tplc="14E888C4">
      <w:numFmt w:val="decimal"/>
      <w:lvlText w:val=""/>
      <w:lvlJc w:val="left"/>
    </w:lvl>
  </w:abstractNum>
  <w:abstractNum w:abstractNumId="4" w15:restartNumberingAfterBreak="0">
    <w:nsid w:val="0A435A08"/>
    <w:multiLevelType w:val="hybridMultilevel"/>
    <w:tmpl w:val="FFFFFFFF"/>
    <w:lvl w:ilvl="0" w:tplc="4546FC5E">
      <w:start w:val="1"/>
      <w:numFmt w:val="bullet"/>
      <w:lvlText w:val="◆"/>
      <w:lvlJc w:val="right"/>
      <w:pPr>
        <w:bidi/>
        <w:ind w:right="720" w:hanging="360"/>
      </w:pPr>
    </w:lvl>
    <w:lvl w:ilvl="1" w:tplc="35DEF0EE">
      <w:numFmt w:val="decimal"/>
      <w:lvlText w:val=""/>
      <w:lvlJc w:val="left"/>
    </w:lvl>
    <w:lvl w:ilvl="2" w:tplc="9BCA213A">
      <w:numFmt w:val="decimal"/>
      <w:lvlText w:val=""/>
      <w:lvlJc w:val="left"/>
    </w:lvl>
    <w:lvl w:ilvl="3" w:tplc="2362D38A">
      <w:numFmt w:val="decimal"/>
      <w:lvlText w:val=""/>
      <w:lvlJc w:val="left"/>
    </w:lvl>
    <w:lvl w:ilvl="4" w:tplc="E94A7726">
      <w:numFmt w:val="decimal"/>
      <w:lvlText w:val=""/>
      <w:lvlJc w:val="left"/>
    </w:lvl>
    <w:lvl w:ilvl="5" w:tplc="6E70472A">
      <w:numFmt w:val="decimal"/>
      <w:lvlText w:val=""/>
      <w:lvlJc w:val="left"/>
    </w:lvl>
    <w:lvl w:ilvl="6" w:tplc="9FC0F5E0">
      <w:numFmt w:val="decimal"/>
      <w:lvlText w:val=""/>
      <w:lvlJc w:val="left"/>
    </w:lvl>
    <w:lvl w:ilvl="7" w:tplc="1CF2B1B8">
      <w:numFmt w:val="decimal"/>
      <w:lvlText w:val=""/>
      <w:lvlJc w:val="left"/>
    </w:lvl>
    <w:lvl w:ilvl="8" w:tplc="93A25698">
      <w:numFmt w:val="decimal"/>
      <w:lvlText w:val=""/>
      <w:lvlJc w:val="left"/>
    </w:lvl>
  </w:abstractNum>
  <w:abstractNum w:abstractNumId="5" w15:restartNumberingAfterBreak="0">
    <w:nsid w:val="182750C6"/>
    <w:multiLevelType w:val="hybridMultilevel"/>
    <w:tmpl w:val="FFFFFFFF"/>
    <w:lvl w:ilvl="0" w:tplc="FE6E8E50">
      <w:start w:val="1"/>
      <w:numFmt w:val="bullet"/>
      <w:lvlText w:val="◆"/>
      <w:lvlJc w:val="right"/>
      <w:pPr>
        <w:bidi/>
        <w:ind w:right="720" w:hanging="360"/>
      </w:pPr>
    </w:lvl>
    <w:lvl w:ilvl="1" w:tplc="3ACAA78E">
      <w:numFmt w:val="decimal"/>
      <w:lvlText w:val=""/>
      <w:lvlJc w:val="left"/>
    </w:lvl>
    <w:lvl w:ilvl="2" w:tplc="6DC46AB8">
      <w:numFmt w:val="decimal"/>
      <w:lvlText w:val=""/>
      <w:lvlJc w:val="left"/>
    </w:lvl>
    <w:lvl w:ilvl="3" w:tplc="718C7750">
      <w:numFmt w:val="decimal"/>
      <w:lvlText w:val=""/>
      <w:lvlJc w:val="left"/>
    </w:lvl>
    <w:lvl w:ilvl="4" w:tplc="DBD895CA">
      <w:numFmt w:val="decimal"/>
      <w:lvlText w:val=""/>
      <w:lvlJc w:val="left"/>
    </w:lvl>
    <w:lvl w:ilvl="5" w:tplc="D97ADE98">
      <w:numFmt w:val="decimal"/>
      <w:lvlText w:val=""/>
      <w:lvlJc w:val="left"/>
    </w:lvl>
    <w:lvl w:ilvl="6" w:tplc="0DB2D28E">
      <w:numFmt w:val="decimal"/>
      <w:lvlText w:val=""/>
      <w:lvlJc w:val="left"/>
    </w:lvl>
    <w:lvl w:ilvl="7" w:tplc="4C46AD82">
      <w:numFmt w:val="decimal"/>
      <w:lvlText w:val=""/>
      <w:lvlJc w:val="left"/>
    </w:lvl>
    <w:lvl w:ilvl="8" w:tplc="EAC63FC0">
      <w:numFmt w:val="decimal"/>
      <w:lvlText w:val=""/>
      <w:lvlJc w:val="left"/>
    </w:lvl>
  </w:abstractNum>
  <w:abstractNum w:abstractNumId="6" w15:restartNumberingAfterBreak="0">
    <w:nsid w:val="1A28151B"/>
    <w:multiLevelType w:val="hybridMultilevel"/>
    <w:tmpl w:val="FFFFFFFF"/>
    <w:lvl w:ilvl="0" w:tplc="D598CCBC">
      <w:start w:val="1"/>
      <w:numFmt w:val="decimal"/>
      <w:lvlText w:val="%1."/>
      <w:lvlJc w:val="right"/>
      <w:pPr>
        <w:bidi/>
        <w:ind w:right="720" w:hanging="360"/>
      </w:pPr>
    </w:lvl>
    <w:lvl w:ilvl="1" w:tplc="E43084E4">
      <w:numFmt w:val="decimal"/>
      <w:lvlText w:val=""/>
      <w:lvlJc w:val="left"/>
    </w:lvl>
    <w:lvl w:ilvl="2" w:tplc="B2805C4E">
      <w:numFmt w:val="decimal"/>
      <w:lvlText w:val=""/>
      <w:lvlJc w:val="left"/>
    </w:lvl>
    <w:lvl w:ilvl="3" w:tplc="81EA9112">
      <w:numFmt w:val="decimal"/>
      <w:lvlText w:val=""/>
      <w:lvlJc w:val="left"/>
    </w:lvl>
    <w:lvl w:ilvl="4" w:tplc="E54669FE">
      <w:numFmt w:val="decimal"/>
      <w:lvlText w:val=""/>
      <w:lvlJc w:val="left"/>
    </w:lvl>
    <w:lvl w:ilvl="5" w:tplc="BB2E4478">
      <w:numFmt w:val="decimal"/>
      <w:lvlText w:val=""/>
      <w:lvlJc w:val="left"/>
    </w:lvl>
    <w:lvl w:ilvl="6" w:tplc="0C243866">
      <w:numFmt w:val="decimal"/>
      <w:lvlText w:val=""/>
      <w:lvlJc w:val="left"/>
    </w:lvl>
    <w:lvl w:ilvl="7" w:tplc="FF40F4D4">
      <w:numFmt w:val="decimal"/>
      <w:lvlText w:val=""/>
      <w:lvlJc w:val="left"/>
    </w:lvl>
    <w:lvl w:ilvl="8" w:tplc="17EC1A62">
      <w:numFmt w:val="decimal"/>
      <w:lvlText w:val=""/>
      <w:lvlJc w:val="left"/>
    </w:lvl>
  </w:abstractNum>
  <w:abstractNum w:abstractNumId="7" w15:restartNumberingAfterBreak="0">
    <w:nsid w:val="1E91540E"/>
    <w:multiLevelType w:val="hybridMultilevel"/>
    <w:tmpl w:val="FFFFFFFF"/>
    <w:lvl w:ilvl="0" w:tplc="D0143EDE">
      <w:start w:val="1"/>
      <w:numFmt w:val="bullet"/>
      <w:lvlText w:val="◆"/>
      <w:lvlJc w:val="right"/>
      <w:pPr>
        <w:bidi/>
        <w:ind w:right="720" w:hanging="360"/>
      </w:pPr>
    </w:lvl>
    <w:lvl w:ilvl="1" w:tplc="3A36ADA8">
      <w:numFmt w:val="decimal"/>
      <w:lvlText w:val=""/>
      <w:lvlJc w:val="left"/>
    </w:lvl>
    <w:lvl w:ilvl="2" w:tplc="BBC88454">
      <w:numFmt w:val="decimal"/>
      <w:lvlText w:val=""/>
      <w:lvlJc w:val="left"/>
    </w:lvl>
    <w:lvl w:ilvl="3" w:tplc="E85A47A0">
      <w:numFmt w:val="decimal"/>
      <w:lvlText w:val=""/>
      <w:lvlJc w:val="left"/>
    </w:lvl>
    <w:lvl w:ilvl="4" w:tplc="1F767384">
      <w:numFmt w:val="decimal"/>
      <w:lvlText w:val=""/>
      <w:lvlJc w:val="left"/>
    </w:lvl>
    <w:lvl w:ilvl="5" w:tplc="EB2E007C">
      <w:numFmt w:val="decimal"/>
      <w:lvlText w:val=""/>
      <w:lvlJc w:val="left"/>
    </w:lvl>
    <w:lvl w:ilvl="6" w:tplc="DC7E81B6">
      <w:numFmt w:val="decimal"/>
      <w:lvlText w:val=""/>
      <w:lvlJc w:val="left"/>
    </w:lvl>
    <w:lvl w:ilvl="7" w:tplc="BEAA34DA">
      <w:numFmt w:val="decimal"/>
      <w:lvlText w:val=""/>
      <w:lvlJc w:val="left"/>
    </w:lvl>
    <w:lvl w:ilvl="8" w:tplc="FB84C3BC">
      <w:numFmt w:val="decimal"/>
      <w:lvlText w:val=""/>
      <w:lvlJc w:val="left"/>
    </w:lvl>
  </w:abstractNum>
  <w:abstractNum w:abstractNumId="8" w15:restartNumberingAfterBreak="0">
    <w:nsid w:val="20CB525C"/>
    <w:multiLevelType w:val="hybridMultilevel"/>
    <w:tmpl w:val="FFFFFFFF"/>
    <w:lvl w:ilvl="0" w:tplc="93689984">
      <w:start w:val="1"/>
      <w:numFmt w:val="decimal"/>
      <w:lvlText w:val="%1."/>
      <w:lvlJc w:val="right"/>
      <w:pPr>
        <w:bidi/>
        <w:ind w:right="720" w:hanging="360"/>
      </w:pPr>
    </w:lvl>
    <w:lvl w:ilvl="1" w:tplc="F426DAC6">
      <w:numFmt w:val="decimal"/>
      <w:lvlText w:val=""/>
      <w:lvlJc w:val="left"/>
    </w:lvl>
    <w:lvl w:ilvl="2" w:tplc="9DA439D8">
      <w:numFmt w:val="decimal"/>
      <w:lvlText w:val=""/>
      <w:lvlJc w:val="left"/>
    </w:lvl>
    <w:lvl w:ilvl="3" w:tplc="8B9C6ADA">
      <w:numFmt w:val="decimal"/>
      <w:lvlText w:val=""/>
      <w:lvlJc w:val="left"/>
    </w:lvl>
    <w:lvl w:ilvl="4" w:tplc="C214F3C4">
      <w:numFmt w:val="decimal"/>
      <w:lvlText w:val=""/>
      <w:lvlJc w:val="left"/>
    </w:lvl>
    <w:lvl w:ilvl="5" w:tplc="498CCE3A">
      <w:numFmt w:val="decimal"/>
      <w:lvlText w:val=""/>
      <w:lvlJc w:val="left"/>
    </w:lvl>
    <w:lvl w:ilvl="6" w:tplc="24B2110C">
      <w:numFmt w:val="decimal"/>
      <w:lvlText w:val=""/>
      <w:lvlJc w:val="left"/>
    </w:lvl>
    <w:lvl w:ilvl="7" w:tplc="547CB178">
      <w:numFmt w:val="decimal"/>
      <w:lvlText w:val=""/>
      <w:lvlJc w:val="left"/>
    </w:lvl>
    <w:lvl w:ilvl="8" w:tplc="E1366A46">
      <w:numFmt w:val="decimal"/>
      <w:lvlText w:val=""/>
      <w:lvlJc w:val="left"/>
    </w:lvl>
  </w:abstractNum>
  <w:abstractNum w:abstractNumId="9" w15:restartNumberingAfterBreak="0">
    <w:nsid w:val="25B85007"/>
    <w:multiLevelType w:val="hybridMultilevel"/>
    <w:tmpl w:val="FFFFFFFF"/>
    <w:lvl w:ilvl="0" w:tplc="C7EA08D8">
      <w:start w:val="1"/>
      <w:numFmt w:val="bullet"/>
      <w:lvlText w:val="◆"/>
      <w:lvlJc w:val="right"/>
      <w:pPr>
        <w:bidi/>
        <w:ind w:right="720" w:hanging="360"/>
      </w:pPr>
    </w:lvl>
    <w:lvl w:ilvl="1" w:tplc="C486F704">
      <w:numFmt w:val="decimal"/>
      <w:lvlText w:val=""/>
      <w:lvlJc w:val="left"/>
    </w:lvl>
    <w:lvl w:ilvl="2" w:tplc="F35CA19A">
      <w:numFmt w:val="decimal"/>
      <w:lvlText w:val=""/>
      <w:lvlJc w:val="left"/>
    </w:lvl>
    <w:lvl w:ilvl="3" w:tplc="10D41BAA">
      <w:numFmt w:val="decimal"/>
      <w:lvlText w:val=""/>
      <w:lvlJc w:val="left"/>
    </w:lvl>
    <w:lvl w:ilvl="4" w:tplc="B87AB0F0">
      <w:numFmt w:val="decimal"/>
      <w:lvlText w:val=""/>
      <w:lvlJc w:val="left"/>
    </w:lvl>
    <w:lvl w:ilvl="5" w:tplc="85B4F41C">
      <w:numFmt w:val="decimal"/>
      <w:lvlText w:val=""/>
      <w:lvlJc w:val="left"/>
    </w:lvl>
    <w:lvl w:ilvl="6" w:tplc="99025686">
      <w:numFmt w:val="decimal"/>
      <w:lvlText w:val=""/>
      <w:lvlJc w:val="left"/>
    </w:lvl>
    <w:lvl w:ilvl="7" w:tplc="B894A932">
      <w:numFmt w:val="decimal"/>
      <w:lvlText w:val=""/>
      <w:lvlJc w:val="left"/>
    </w:lvl>
    <w:lvl w:ilvl="8" w:tplc="70A60536">
      <w:numFmt w:val="decimal"/>
      <w:lvlText w:val=""/>
      <w:lvlJc w:val="left"/>
    </w:lvl>
  </w:abstractNum>
  <w:abstractNum w:abstractNumId="10" w15:restartNumberingAfterBreak="0">
    <w:nsid w:val="343474D7"/>
    <w:multiLevelType w:val="hybridMultilevel"/>
    <w:tmpl w:val="FFFFFFFF"/>
    <w:lvl w:ilvl="0" w:tplc="59BCE2CC">
      <w:start w:val="1"/>
      <w:numFmt w:val="bullet"/>
      <w:lvlText w:val="◆"/>
      <w:lvlJc w:val="right"/>
      <w:pPr>
        <w:bidi/>
        <w:ind w:right="720" w:hanging="360"/>
      </w:pPr>
    </w:lvl>
    <w:lvl w:ilvl="1" w:tplc="34C02138">
      <w:numFmt w:val="decimal"/>
      <w:lvlText w:val=""/>
      <w:lvlJc w:val="left"/>
    </w:lvl>
    <w:lvl w:ilvl="2" w:tplc="C78825E2">
      <w:numFmt w:val="decimal"/>
      <w:lvlText w:val=""/>
      <w:lvlJc w:val="left"/>
    </w:lvl>
    <w:lvl w:ilvl="3" w:tplc="CFB0388E">
      <w:numFmt w:val="decimal"/>
      <w:lvlText w:val=""/>
      <w:lvlJc w:val="left"/>
    </w:lvl>
    <w:lvl w:ilvl="4" w:tplc="02F03310">
      <w:numFmt w:val="decimal"/>
      <w:lvlText w:val=""/>
      <w:lvlJc w:val="left"/>
    </w:lvl>
    <w:lvl w:ilvl="5" w:tplc="61B25AFC">
      <w:numFmt w:val="decimal"/>
      <w:lvlText w:val=""/>
      <w:lvlJc w:val="left"/>
    </w:lvl>
    <w:lvl w:ilvl="6" w:tplc="ED068E48">
      <w:numFmt w:val="decimal"/>
      <w:lvlText w:val=""/>
      <w:lvlJc w:val="left"/>
    </w:lvl>
    <w:lvl w:ilvl="7" w:tplc="DCC8A4D8">
      <w:numFmt w:val="decimal"/>
      <w:lvlText w:val=""/>
      <w:lvlJc w:val="left"/>
    </w:lvl>
    <w:lvl w:ilvl="8" w:tplc="8460FC9E">
      <w:numFmt w:val="decimal"/>
      <w:lvlText w:val=""/>
      <w:lvlJc w:val="left"/>
    </w:lvl>
  </w:abstractNum>
  <w:abstractNum w:abstractNumId="11" w15:restartNumberingAfterBreak="0">
    <w:nsid w:val="37D17E3F"/>
    <w:multiLevelType w:val="hybridMultilevel"/>
    <w:tmpl w:val="FFFFFFFF"/>
    <w:lvl w:ilvl="0" w:tplc="292833BE">
      <w:start w:val="1"/>
      <w:numFmt w:val="decimal"/>
      <w:lvlText w:val="%1."/>
      <w:lvlJc w:val="right"/>
      <w:pPr>
        <w:bidi/>
        <w:ind w:right="720" w:hanging="360"/>
      </w:pPr>
    </w:lvl>
    <w:lvl w:ilvl="1" w:tplc="4CCE0382">
      <w:numFmt w:val="decimal"/>
      <w:lvlText w:val=""/>
      <w:lvlJc w:val="left"/>
    </w:lvl>
    <w:lvl w:ilvl="2" w:tplc="CD62CE4A">
      <w:numFmt w:val="decimal"/>
      <w:lvlText w:val=""/>
      <w:lvlJc w:val="left"/>
    </w:lvl>
    <w:lvl w:ilvl="3" w:tplc="705C14DC">
      <w:numFmt w:val="decimal"/>
      <w:lvlText w:val=""/>
      <w:lvlJc w:val="left"/>
    </w:lvl>
    <w:lvl w:ilvl="4" w:tplc="C4883E50">
      <w:numFmt w:val="decimal"/>
      <w:lvlText w:val=""/>
      <w:lvlJc w:val="left"/>
    </w:lvl>
    <w:lvl w:ilvl="5" w:tplc="E2DE0B8C">
      <w:numFmt w:val="decimal"/>
      <w:lvlText w:val=""/>
      <w:lvlJc w:val="left"/>
    </w:lvl>
    <w:lvl w:ilvl="6" w:tplc="35E64488">
      <w:numFmt w:val="decimal"/>
      <w:lvlText w:val=""/>
      <w:lvlJc w:val="left"/>
    </w:lvl>
    <w:lvl w:ilvl="7" w:tplc="A59CED10">
      <w:numFmt w:val="decimal"/>
      <w:lvlText w:val=""/>
      <w:lvlJc w:val="left"/>
    </w:lvl>
    <w:lvl w:ilvl="8" w:tplc="22A4361C">
      <w:numFmt w:val="decimal"/>
      <w:lvlText w:val=""/>
      <w:lvlJc w:val="left"/>
    </w:lvl>
  </w:abstractNum>
  <w:abstractNum w:abstractNumId="12" w15:restartNumberingAfterBreak="0">
    <w:nsid w:val="38A722FE"/>
    <w:multiLevelType w:val="hybridMultilevel"/>
    <w:tmpl w:val="FFFFFFFF"/>
    <w:lvl w:ilvl="0" w:tplc="54E44114">
      <w:start w:val="1"/>
      <w:numFmt w:val="decimal"/>
      <w:lvlText w:val="%1."/>
      <w:lvlJc w:val="right"/>
      <w:pPr>
        <w:bidi/>
        <w:ind w:right="720" w:hanging="360"/>
      </w:pPr>
    </w:lvl>
    <w:lvl w:ilvl="1" w:tplc="04BA9C18">
      <w:numFmt w:val="decimal"/>
      <w:lvlText w:val=""/>
      <w:lvlJc w:val="left"/>
    </w:lvl>
    <w:lvl w:ilvl="2" w:tplc="E8B65396">
      <w:numFmt w:val="decimal"/>
      <w:lvlText w:val=""/>
      <w:lvlJc w:val="left"/>
    </w:lvl>
    <w:lvl w:ilvl="3" w:tplc="F48C32B0">
      <w:numFmt w:val="decimal"/>
      <w:lvlText w:val=""/>
      <w:lvlJc w:val="left"/>
    </w:lvl>
    <w:lvl w:ilvl="4" w:tplc="E3C465EE">
      <w:numFmt w:val="decimal"/>
      <w:lvlText w:val=""/>
      <w:lvlJc w:val="left"/>
    </w:lvl>
    <w:lvl w:ilvl="5" w:tplc="D44E5364">
      <w:numFmt w:val="decimal"/>
      <w:lvlText w:val=""/>
      <w:lvlJc w:val="left"/>
    </w:lvl>
    <w:lvl w:ilvl="6" w:tplc="ABCE9C8C">
      <w:numFmt w:val="decimal"/>
      <w:lvlText w:val=""/>
      <w:lvlJc w:val="left"/>
    </w:lvl>
    <w:lvl w:ilvl="7" w:tplc="327E8D8C">
      <w:numFmt w:val="decimal"/>
      <w:lvlText w:val=""/>
      <w:lvlJc w:val="left"/>
    </w:lvl>
    <w:lvl w:ilvl="8" w:tplc="C712B26A">
      <w:numFmt w:val="decimal"/>
      <w:lvlText w:val=""/>
      <w:lvlJc w:val="left"/>
    </w:lvl>
  </w:abstractNum>
  <w:abstractNum w:abstractNumId="13" w15:restartNumberingAfterBreak="0">
    <w:nsid w:val="410D5782"/>
    <w:multiLevelType w:val="hybridMultilevel"/>
    <w:tmpl w:val="FFFFFFFF"/>
    <w:lvl w:ilvl="0" w:tplc="D2C68B28">
      <w:start w:val="1"/>
      <w:numFmt w:val="bullet"/>
      <w:lvlText w:val="◆"/>
      <w:lvlJc w:val="right"/>
      <w:pPr>
        <w:bidi/>
        <w:ind w:right="720" w:hanging="360"/>
      </w:pPr>
    </w:lvl>
    <w:lvl w:ilvl="1" w:tplc="0BF2BE9C">
      <w:numFmt w:val="decimal"/>
      <w:lvlText w:val=""/>
      <w:lvlJc w:val="left"/>
    </w:lvl>
    <w:lvl w:ilvl="2" w:tplc="EB1C354E">
      <w:numFmt w:val="decimal"/>
      <w:lvlText w:val=""/>
      <w:lvlJc w:val="left"/>
    </w:lvl>
    <w:lvl w:ilvl="3" w:tplc="70E68746">
      <w:numFmt w:val="decimal"/>
      <w:lvlText w:val=""/>
      <w:lvlJc w:val="left"/>
    </w:lvl>
    <w:lvl w:ilvl="4" w:tplc="1630A9BA">
      <w:numFmt w:val="decimal"/>
      <w:lvlText w:val=""/>
      <w:lvlJc w:val="left"/>
    </w:lvl>
    <w:lvl w:ilvl="5" w:tplc="D3C4AF1A">
      <w:numFmt w:val="decimal"/>
      <w:lvlText w:val=""/>
      <w:lvlJc w:val="left"/>
    </w:lvl>
    <w:lvl w:ilvl="6" w:tplc="10BA1F84">
      <w:numFmt w:val="decimal"/>
      <w:lvlText w:val=""/>
      <w:lvlJc w:val="left"/>
    </w:lvl>
    <w:lvl w:ilvl="7" w:tplc="8C1CB9A6">
      <w:numFmt w:val="decimal"/>
      <w:lvlText w:val=""/>
      <w:lvlJc w:val="left"/>
    </w:lvl>
    <w:lvl w:ilvl="8" w:tplc="B1D85AC4">
      <w:numFmt w:val="decimal"/>
      <w:lvlText w:val=""/>
      <w:lvlJc w:val="left"/>
    </w:lvl>
  </w:abstractNum>
  <w:abstractNum w:abstractNumId="14" w15:restartNumberingAfterBreak="0">
    <w:nsid w:val="44537154"/>
    <w:multiLevelType w:val="hybridMultilevel"/>
    <w:tmpl w:val="FFFFFFFF"/>
    <w:lvl w:ilvl="0" w:tplc="D90AF042">
      <w:start w:val="1"/>
      <w:numFmt w:val="bullet"/>
      <w:lvlText w:val="◆"/>
      <w:lvlJc w:val="right"/>
      <w:pPr>
        <w:bidi/>
        <w:ind w:right="720" w:hanging="360"/>
      </w:pPr>
    </w:lvl>
    <w:lvl w:ilvl="1" w:tplc="9E162E3A">
      <w:numFmt w:val="decimal"/>
      <w:lvlText w:val=""/>
      <w:lvlJc w:val="left"/>
    </w:lvl>
    <w:lvl w:ilvl="2" w:tplc="BC743C66">
      <w:numFmt w:val="decimal"/>
      <w:lvlText w:val=""/>
      <w:lvlJc w:val="left"/>
    </w:lvl>
    <w:lvl w:ilvl="3" w:tplc="8DDA78C2">
      <w:numFmt w:val="decimal"/>
      <w:lvlText w:val=""/>
      <w:lvlJc w:val="left"/>
    </w:lvl>
    <w:lvl w:ilvl="4" w:tplc="0A12BE0A">
      <w:numFmt w:val="decimal"/>
      <w:lvlText w:val=""/>
      <w:lvlJc w:val="left"/>
    </w:lvl>
    <w:lvl w:ilvl="5" w:tplc="2108A060">
      <w:numFmt w:val="decimal"/>
      <w:lvlText w:val=""/>
      <w:lvlJc w:val="left"/>
    </w:lvl>
    <w:lvl w:ilvl="6" w:tplc="25E0722C">
      <w:numFmt w:val="decimal"/>
      <w:lvlText w:val=""/>
      <w:lvlJc w:val="left"/>
    </w:lvl>
    <w:lvl w:ilvl="7" w:tplc="74C8A128">
      <w:numFmt w:val="decimal"/>
      <w:lvlText w:val=""/>
      <w:lvlJc w:val="left"/>
    </w:lvl>
    <w:lvl w:ilvl="8" w:tplc="22242C54">
      <w:numFmt w:val="decimal"/>
      <w:lvlText w:val=""/>
      <w:lvlJc w:val="left"/>
    </w:lvl>
  </w:abstractNum>
  <w:abstractNum w:abstractNumId="15" w15:restartNumberingAfterBreak="0">
    <w:nsid w:val="461567ED"/>
    <w:multiLevelType w:val="hybridMultilevel"/>
    <w:tmpl w:val="FFFFFFFF"/>
    <w:lvl w:ilvl="0" w:tplc="7CF40FE6">
      <w:start w:val="1"/>
      <w:numFmt w:val="bullet"/>
      <w:lvlText w:val="◆"/>
      <w:lvlJc w:val="right"/>
      <w:pPr>
        <w:bidi/>
        <w:ind w:right="720" w:hanging="360"/>
      </w:pPr>
    </w:lvl>
    <w:lvl w:ilvl="1" w:tplc="418E4374">
      <w:numFmt w:val="decimal"/>
      <w:lvlText w:val=""/>
      <w:lvlJc w:val="left"/>
    </w:lvl>
    <w:lvl w:ilvl="2" w:tplc="34A2789A">
      <w:numFmt w:val="decimal"/>
      <w:lvlText w:val=""/>
      <w:lvlJc w:val="left"/>
    </w:lvl>
    <w:lvl w:ilvl="3" w:tplc="284670DC">
      <w:numFmt w:val="decimal"/>
      <w:lvlText w:val=""/>
      <w:lvlJc w:val="left"/>
    </w:lvl>
    <w:lvl w:ilvl="4" w:tplc="4300C296">
      <w:numFmt w:val="decimal"/>
      <w:lvlText w:val=""/>
      <w:lvlJc w:val="left"/>
    </w:lvl>
    <w:lvl w:ilvl="5" w:tplc="A120F448">
      <w:numFmt w:val="decimal"/>
      <w:lvlText w:val=""/>
      <w:lvlJc w:val="left"/>
    </w:lvl>
    <w:lvl w:ilvl="6" w:tplc="1A96413C">
      <w:numFmt w:val="decimal"/>
      <w:lvlText w:val=""/>
      <w:lvlJc w:val="left"/>
    </w:lvl>
    <w:lvl w:ilvl="7" w:tplc="2716D8D8">
      <w:numFmt w:val="decimal"/>
      <w:lvlText w:val=""/>
      <w:lvlJc w:val="left"/>
    </w:lvl>
    <w:lvl w:ilvl="8" w:tplc="7216260C">
      <w:numFmt w:val="decimal"/>
      <w:lvlText w:val=""/>
      <w:lvlJc w:val="left"/>
    </w:lvl>
  </w:abstractNum>
  <w:abstractNum w:abstractNumId="16" w15:restartNumberingAfterBreak="0">
    <w:nsid w:val="4E8D3C68"/>
    <w:multiLevelType w:val="hybridMultilevel"/>
    <w:tmpl w:val="FFFFFFFF"/>
    <w:lvl w:ilvl="0" w:tplc="5E4CE71A">
      <w:start w:val="1"/>
      <w:numFmt w:val="decimal"/>
      <w:lvlText w:val="%1."/>
      <w:lvlJc w:val="right"/>
      <w:pPr>
        <w:bidi/>
        <w:ind w:right="720" w:hanging="360"/>
      </w:pPr>
    </w:lvl>
    <w:lvl w:ilvl="1" w:tplc="7DEAF9B0">
      <w:numFmt w:val="decimal"/>
      <w:lvlText w:val=""/>
      <w:lvlJc w:val="left"/>
    </w:lvl>
    <w:lvl w:ilvl="2" w:tplc="85CC4D2E">
      <w:numFmt w:val="decimal"/>
      <w:lvlText w:val=""/>
      <w:lvlJc w:val="left"/>
    </w:lvl>
    <w:lvl w:ilvl="3" w:tplc="4DAE8E46">
      <w:numFmt w:val="decimal"/>
      <w:lvlText w:val=""/>
      <w:lvlJc w:val="left"/>
    </w:lvl>
    <w:lvl w:ilvl="4" w:tplc="9C84DB6C">
      <w:numFmt w:val="decimal"/>
      <w:lvlText w:val=""/>
      <w:lvlJc w:val="left"/>
    </w:lvl>
    <w:lvl w:ilvl="5" w:tplc="5C48C916">
      <w:numFmt w:val="decimal"/>
      <w:lvlText w:val=""/>
      <w:lvlJc w:val="left"/>
    </w:lvl>
    <w:lvl w:ilvl="6" w:tplc="E96EC07E">
      <w:numFmt w:val="decimal"/>
      <w:lvlText w:val=""/>
      <w:lvlJc w:val="left"/>
    </w:lvl>
    <w:lvl w:ilvl="7" w:tplc="25989920">
      <w:numFmt w:val="decimal"/>
      <w:lvlText w:val=""/>
      <w:lvlJc w:val="left"/>
    </w:lvl>
    <w:lvl w:ilvl="8" w:tplc="DF7C3776">
      <w:numFmt w:val="decimal"/>
      <w:lvlText w:val=""/>
      <w:lvlJc w:val="left"/>
    </w:lvl>
  </w:abstractNum>
  <w:abstractNum w:abstractNumId="17" w15:restartNumberingAfterBreak="0">
    <w:nsid w:val="4F4005E7"/>
    <w:multiLevelType w:val="hybridMultilevel"/>
    <w:tmpl w:val="FFFFFFFF"/>
    <w:lvl w:ilvl="0" w:tplc="4610231A">
      <w:start w:val="1"/>
      <w:numFmt w:val="bullet"/>
      <w:lvlText w:val="◆"/>
      <w:lvlJc w:val="right"/>
      <w:pPr>
        <w:bidi/>
        <w:ind w:right="720" w:hanging="360"/>
      </w:pPr>
    </w:lvl>
    <w:lvl w:ilvl="1" w:tplc="071E6BD4">
      <w:numFmt w:val="decimal"/>
      <w:lvlText w:val=""/>
      <w:lvlJc w:val="left"/>
    </w:lvl>
    <w:lvl w:ilvl="2" w:tplc="15E8E30A">
      <w:numFmt w:val="decimal"/>
      <w:lvlText w:val=""/>
      <w:lvlJc w:val="left"/>
    </w:lvl>
    <w:lvl w:ilvl="3" w:tplc="7FDEF704">
      <w:numFmt w:val="decimal"/>
      <w:lvlText w:val=""/>
      <w:lvlJc w:val="left"/>
    </w:lvl>
    <w:lvl w:ilvl="4" w:tplc="E3D042B8">
      <w:numFmt w:val="decimal"/>
      <w:lvlText w:val=""/>
      <w:lvlJc w:val="left"/>
    </w:lvl>
    <w:lvl w:ilvl="5" w:tplc="DE38A904">
      <w:numFmt w:val="decimal"/>
      <w:lvlText w:val=""/>
      <w:lvlJc w:val="left"/>
    </w:lvl>
    <w:lvl w:ilvl="6" w:tplc="85EE8E62">
      <w:numFmt w:val="decimal"/>
      <w:lvlText w:val=""/>
      <w:lvlJc w:val="left"/>
    </w:lvl>
    <w:lvl w:ilvl="7" w:tplc="A67A0410">
      <w:numFmt w:val="decimal"/>
      <w:lvlText w:val=""/>
      <w:lvlJc w:val="left"/>
    </w:lvl>
    <w:lvl w:ilvl="8" w:tplc="25EA0152">
      <w:numFmt w:val="decimal"/>
      <w:lvlText w:val=""/>
      <w:lvlJc w:val="left"/>
    </w:lvl>
  </w:abstractNum>
  <w:abstractNum w:abstractNumId="18" w15:restartNumberingAfterBreak="0">
    <w:nsid w:val="51B01A6D"/>
    <w:multiLevelType w:val="hybridMultilevel"/>
    <w:tmpl w:val="FFFFFFFF"/>
    <w:lvl w:ilvl="0" w:tplc="FFC48E4C">
      <w:start w:val="1"/>
      <w:numFmt w:val="bullet"/>
      <w:lvlText w:val="◆"/>
      <w:lvlJc w:val="right"/>
      <w:pPr>
        <w:bidi/>
        <w:ind w:right="720" w:hanging="360"/>
      </w:pPr>
    </w:lvl>
    <w:lvl w:ilvl="1" w:tplc="95B249D2">
      <w:numFmt w:val="decimal"/>
      <w:lvlText w:val=""/>
      <w:lvlJc w:val="left"/>
    </w:lvl>
    <w:lvl w:ilvl="2" w:tplc="64CC5F72">
      <w:numFmt w:val="decimal"/>
      <w:lvlText w:val=""/>
      <w:lvlJc w:val="left"/>
    </w:lvl>
    <w:lvl w:ilvl="3" w:tplc="EDA8D22C">
      <w:numFmt w:val="decimal"/>
      <w:lvlText w:val=""/>
      <w:lvlJc w:val="left"/>
    </w:lvl>
    <w:lvl w:ilvl="4" w:tplc="6D3C27E0">
      <w:numFmt w:val="decimal"/>
      <w:lvlText w:val=""/>
      <w:lvlJc w:val="left"/>
    </w:lvl>
    <w:lvl w:ilvl="5" w:tplc="3AD8C4D4">
      <w:numFmt w:val="decimal"/>
      <w:lvlText w:val=""/>
      <w:lvlJc w:val="left"/>
    </w:lvl>
    <w:lvl w:ilvl="6" w:tplc="6B88B7A0">
      <w:numFmt w:val="decimal"/>
      <w:lvlText w:val=""/>
      <w:lvlJc w:val="left"/>
    </w:lvl>
    <w:lvl w:ilvl="7" w:tplc="204ECE04">
      <w:numFmt w:val="decimal"/>
      <w:lvlText w:val=""/>
      <w:lvlJc w:val="left"/>
    </w:lvl>
    <w:lvl w:ilvl="8" w:tplc="179E5992">
      <w:numFmt w:val="decimal"/>
      <w:lvlText w:val=""/>
      <w:lvlJc w:val="left"/>
    </w:lvl>
  </w:abstractNum>
  <w:abstractNum w:abstractNumId="19" w15:restartNumberingAfterBreak="0">
    <w:nsid w:val="57953918"/>
    <w:multiLevelType w:val="hybridMultilevel"/>
    <w:tmpl w:val="FFFFFFFF"/>
    <w:lvl w:ilvl="0" w:tplc="2A06A4BE">
      <w:start w:val="1"/>
      <w:numFmt w:val="bullet"/>
      <w:lvlText w:val="◆"/>
      <w:lvlJc w:val="right"/>
      <w:pPr>
        <w:bidi/>
        <w:ind w:right="720" w:hanging="360"/>
      </w:pPr>
    </w:lvl>
    <w:lvl w:ilvl="1" w:tplc="B87AC746">
      <w:numFmt w:val="decimal"/>
      <w:lvlText w:val=""/>
      <w:lvlJc w:val="left"/>
    </w:lvl>
    <w:lvl w:ilvl="2" w:tplc="869688C6">
      <w:numFmt w:val="decimal"/>
      <w:lvlText w:val=""/>
      <w:lvlJc w:val="left"/>
    </w:lvl>
    <w:lvl w:ilvl="3" w:tplc="9CEC8100">
      <w:numFmt w:val="decimal"/>
      <w:lvlText w:val=""/>
      <w:lvlJc w:val="left"/>
    </w:lvl>
    <w:lvl w:ilvl="4" w:tplc="49B28336">
      <w:numFmt w:val="decimal"/>
      <w:lvlText w:val=""/>
      <w:lvlJc w:val="left"/>
    </w:lvl>
    <w:lvl w:ilvl="5" w:tplc="2716F5D6">
      <w:numFmt w:val="decimal"/>
      <w:lvlText w:val=""/>
      <w:lvlJc w:val="left"/>
    </w:lvl>
    <w:lvl w:ilvl="6" w:tplc="BD8AECC2">
      <w:numFmt w:val="decimal"/>
      <w:lvlText w:val=""/>
      <w:lvlJc w:val="left"/>
    </w:lvl>
    <w:lvl w:ilvl="7" w:tplc="9618B3F8">
      <w:numFmt w:val="decimal"/>
      <w:lvlText w:val=""/>
      <w:lvlJc w:val="left"/>
    </w:lvl>
    <w:lvl w:ilvl="8" w:tplc="C9487F3E">
      <w:numFmt w:val="decimal"/>
      <w:lvlText w:val=""/>
      <w:lvlJc w:val="left"/>
    </w:lvl>
  </w:abstractNum>
  <w:abstractNum w:abstractNumId="20" w15:restartNumberingAfterBreak="0">
    <w:nsid w:val="5F1E5497"/>
    <w:multiLevelType w:val="hybridMultilevel"/>
    <w:tmpl w:val="FFFFFFFF"/>
    <w:lvl w:ilvl="0" w:tplc="E98EB4F6">
      <w:start w:val="1"/>
      <w:numFmt w:val="decimal"/>
      <w:lvlText w:val="%1."/>
      <w:lvlJc w:val="right"/>
      <w:pPr>
        <w:bidi/>
        <w:ind w:right="720" w:hanging="360"/>
      </w:pPr>
    </w:lvl>
    <w:lvl w:ilvl="1" w:tplc="DF16CFA6">
      <w:numFmt w:val="decimal"/>
      <w:lvlText w:val=""/>
      <w:lvlJc w:val="left"/>
    </w:lvl>
    <w:lvl w:ilvl="2" w:tplc="9AB4804A">
      <w:numFmt w:val="decimal"/>
      <w:lvlText w:val=""/>
      <w:lvlJc w:val="left"/>
    </w:lvl>
    <w:lvl w:ilvl="3" w:tplc="F51AAB18">
      <w:numFmt w:val="decimal"/>
      <w:lvlText w:val=""/>
      <w:lvlJc w:val="left"/>
    </w:lvl>
    <w:lvl w:ilvl="4" w:tplc="346A2DA6">
      <w:numFmt w:val="decimal"/>
      <w:lvlText w:val=""/>
      <w:lvlJc w:val="left"/>
    </w:lvl>
    <w:lvl w:ilvl="5" w:tplc="A27E52FE">
      <w:numFmt w:val="decimal"/>
      <w:lvlText w:val=""/>
      <w:lvlJc w:val="left"/>
    </w:lvl>
    <w:lvl w:ilvl="6" w:tplc="68329C10">
      <w:numFmt w:val="decimal"/>
      <w:lvlText w:val=""/>
      <w:lvlJc w:val="left"/>
    </w:lvl>
    <w:lvl w:ilvl="7" w:tplc="803CFA76">
      <w:numFmt w:val="decimal"/>
      <w:lvlText w:val=""/>
      <w:lvlJc w:val="left"/>
    </w:lvl>
    <w:lvl w:ilvl="8" w:tplc="42FE5EEC">
      <w:numFmt w:val="decimal"/>
      <w:lvlText w:val=""/>
      <w:lvlJc w:val="left"/>
    </w:lvl>
  </w:abstractNum>
  <w:abstractNum w:abstractNumId="21" w15:restartNumberingAfterBreak="0">
    <w:nsid w:val="75CD7D22"/>
    <w:multiLevelType w:val="hybridMultilevel"/>
    <w:tmpl w:val="FFFFFFFF"/>
    <w:lvl w:ilvl="0" w:tplc="CEE26052">
      <w:start w:val="1"/>
      <w:numFmt w:val="bullet"/>
      <w:lvlText w:val="●"/>
      <w:lvlJc w:val="left"/>
      <w:pPr>
        <w:ind w:left="720" w:hanging="360"/>
      </w:pPr>
    </w:lvl>
    <w:lvl w:ilvl="1" w:tplc="A0046A12">
      <w:start w:val="1"/>
      <w:numFmt w:val="bullet"/>
      <w:lvlText w:val="○"/>
      <w:lvlJc w:val="left"/>
      <w:pPr>
        <w:ind w:left="1440" w:hanging="360"/>
      </w:pPr>
    </w:lvl>
    <w:lvl w:ilvl="2" w:tplc="CB7833E8">
      <w:start w:val="1"/>
      <w:numFmt w:val="bullet"/>
      <w:lvlText w:val="■"/>
      <w:lvlJc w:val="left"/>
      <w:pPr>
        <w:ind w:left="2160" w:hanging="360"/>
      </w:pPr>
    </w:lvl>
    <w:lvl w:ilvl="3" w:tplc="93CA1908">
      <w:start w:val="1"/>
      <w:numFmt w:val="bullet"/>
      <w:lvlText w:val="●"/>
      <w:lvlJc w:val="left"/>
      <w:pPr>
        <w:ind w:left="2880" w:hanging="360"/>
      </w:pPr>
    </w:lvl>
    <w:lvl w:ilvl="4" w:tplc="BC9660C4">
      <w:start w:val="1"/>
      <w:numFmt w:val="bullet"/>
      <w:lvlText w:val="○"/>
      <w:lvlJc w:val="left"/>
      <w:pPr>
        <w:ind w:left="3600" w:hanging="360"/>
      </w:pPr>
    </w:lvl>
    <w:lvl w:ilvl="5" w:tplc="AFC0F558">
      <w:start w:val="1"/>
      <w:numFmt w:val="bullet"/>
      <w:lvlText w:val="■"/>
      <w:lvlJc w:val="left"/>
      <w:pPr>
        <w:ind w:left="4320" w:hanging="360"/>
      </w:pPr>
    </w:lvl>
    <w:lvl w:ilvl="6" w:tplc="DB001F0A">
      <w:start w:val="1"/>
      <w:numFmt w:val="bullet"/>
      <w:lvlText w:val="●"/>
      <w:lvlJc w:val="left"/>
      <w:pPr>
        <w:ind w:left="5040" w:hanging="360"/>
      </w:pPr>
    </w:lvl>
    <w:lvl w:ilvl="7" w:tplc="2C24E79E">
      <w:start w:val="1"/>
      <w:numFmt w:val="bullet"/>
      <w:lvlText w:val="●"/>
      <w:lvlJc w:val="left"/>
      <w:pPr>
        <w:ind w:left="5760" w:hanging="360"/>
      </w:pPr>
    </w:lvl>
    <w:lvl w:ilvl="8" w:tplc="41E427B0">
      <w:start w:val="1"/>
      <w:numFmt w:val="bullet"/>
      <w:lvlText w:val="●"/>
      <w:lvlJc w:val="left"/>
      <w:pPr>
        <w:ind w:left="6480" w:hanging="360"/>
      </w:pPr>
    </w:lvl>
  </w:abstractNum>
  <w:abstractNum w:abstractNumId="22" w15:restartNumberingAfterBreak="0">
    <w:nsid w:val="7BE42F97"/>
    <w:multiLevelType w:val="hybridMultilevel"/>
    <w:tmpl w:val="FFFFFFFF"/>
    <w:lvl w:ilvl="0" w:tplc="D862A766">
      <w:start w:val="1"/>
      <w:numFmt w:val="decimal"/>
      <w:lvlText w:val="%1."/>
      <w:lvlJc w:val="right"/>
      <w:pPr>
        <w:bidi/>
        <w:ind w:right="720" w:hanging="360"/>
      </w:pPr>
    </w:lvl>
    <w:lvl w:ilvl="1" w:tplc="5D68F664">
      <w:numFmt w:val="decimal"/>
      <w:lvlText w:val=""/>
      <w:lvlJc w:val="left"/>
    </w:lvl>
    <w:lvl w:ilvl="2" w:tplc="E7E26888">
      <w:numFmt w:val="decimal"/>
      <w:lvlText w:val=""/>
      <w:lvlJc w:val="left"/>
    </w:lvl>
    <w:lvl w:ilvl="3" w:tplc="823011DC">
      <w:numFmt w:val="decimal"/>
      <w:lvlText w:val=""/>
      <w:lvlJc w:val="left"/>
    </w:lvl>
    <w:lvl w:ilvl="4" w:tplc="792ABD54">
      <w:numFmt w:val="decimal"/>
      <w:lvlText w:val=""/>
      <w:lvlJc w:val="left"/>
    </w:lvl>
    <w:lvl w:ilvl="5" w:tplc="B8D8E240">
      <w:numFmt w:val="decimal"/>
      <w:lvlText w:val=""/>
      <w:lvlJc w:val="left"/>
    </w:lvl>
    <w:lvl w:ilvl="6" w:tplc="493AAECE">
      <w:numFmt w:val="decimal"/>
      <w:lvlText w:val=""/>
      <w:lvlJc w:val="left"/>
    </w:lvl>
    <w:lvl w:ilvl="7" w:tplc="9EEC69CC">
      <w:numFmt w:val="decimal"/>
      <w:lvlText w:val=""/>
      <w:lvlJc w:val="left"/>
    </w:lvl>
    <w:lvl w:ilvl="8" w:tplc="3B6C29D6">
      <w:numFmt w:val="decimal"/>
      <w:lvlText w:val=""/>
      <w:lvlJc w:val="left"/>
    </w:lvl>
  </w:abstractNum>
  <w:abstractNum w:abstractNumId="23" w15:restartNumberingAfterBreak="0">
    <w:nsid w:val="7DE7512C"/>
    <w:multiLevelType w:val="hybridMultilevel"/>
    <w:tmpl w:val="FFFFFFFF"/>
    <w:lvl w:ilvl="0" w:tplc="7932EE5A">
      <w:start w:val="1"/>
      <w:numFmt w:val="bullet"/>
      <w:lvlText w:val="◆"/>
      <w:lvlJc w:val="right"/>
      <w:pPr>
        <w:bidi/>
        <w:ind w:right="720" w:hanging="360"/>
      </w:pPr>
    </w:lvl>
    <w:lvl w:ilvl="1" w:tplc="A2123840">
      <w:numFmt w:val="decimal"/>
      <w:lvlText w:val=""/>
      <w:lvlJc w:val="left"/>
    </w:lvl>
    <w:lvl w:ilvl="2" w:tplc="7922843E">
      <w:numFmt w:val="decimal"/>
      <w:lvlText w:val=""/>
      <w:lvlJc w:val="left"/>
    </w:lvl>
    <w:lvl w:ilvl="3" w:tplc="E45C4078">
      <w:numFmt w:val="decimal"/>
      <w:lvlText w:val=""/>
      <w:lvlJc w:val="left"/>
    </w:lvl>
    <w:lvl w:ilvl="4" w:tplc="9FE0EFB4">
      <w:numFmt w:val="decimal"/>
      <w:lvlText w:val=""/>
      <w:lvlJc w:val="left"/>
    </w:lvl>
    <w:lvl w:ilvl="5" w:tplc="60A62826">
      <w:numFmt w:val="decimal"/>
      <w:lvlText w:val=""/>
      <w:lvlJc w:val="left"/>
    </w:lvl>
    <w:lvl w:ilvl="6" w:tplc="AD2ABFD2">
      <w:numFmt w:val="decimal"/>
      <w:lvlText w:val=""/>
      <w:lvlJc w:val="left"/>
    </w:lvl>
    <w:lvl w:ilvl="7" w:tplc="5870315A">
      <w:numFmt w:val="decimal"/>
      <w:lvlText w:val=""/>
      <w:lvlJc w:val="left"/>
    </w:lvl>
    <w:lvl w:ilvl="8" w:tplc="CA22F3EE">
      <w:numFmt w:val="decimal"/>
      <w:lvlText w:val=""/>
      <w:lvlJc w:val="left"/>
    </w:lvl>
  </w:abstractNum>
  <w:num w:numId="1" w16cid:durableId="627395686">
    <w:abstractNumId w:val="21"/>
    <w:lvlOverride w:ilvl="0">
      <w:startOverride w:val="1"/>
    </w:lvlOverride>
  </w:num>
  <w:num w:numId="2" w16cid:durableId="1020199655">
    <w:abstractNumId w:val="11"/>
    <w:lvlOverride w:ilvl="0">
      <w:startOverride w:val="1"/>
    </w:lvlOverride>
  </w:num>
  <w:num w:numId="3" w16cid:durableId="517736542">
    <w:abstractNumId w:val="20"/>
    <w:lvlOverride w:ilvl="0">
      <w:startOverride w:val="1"/>
    </w:lvlOverride>
  </w:num>
  <w:num w:numId="4" w16cid:durableId="1590517">
    <w:abstractNumId w:val="8"/>
    <w:lvlOverride w:ilvl="0">
      <w:startOverride w:val="1"/>
    </w:lvlOverride>
  </w:num>
  <w:num w:numId="5" w16cid:durableId="797912048">
    <w:abstractNumId w:val="0"/>
    <w:lvlOverride w:ilvl="0">
      <w:startOverride w:val="1"/>
    </w:lvlOverride>
  </w:num>
  <w:num w:numId="6" w16cid:durableId="750542645">
    <w:abstractNumId w:val="3"/>
    <w:lvlOverride w:ilvl="0">
      <w:startOverride w:val="1"/>
    </w:lvlOverride>
  </w:num>
  <w:num w:numId="7" w16cid:durableId="1639844829">
    <w:abstractNumId w:val="23"/>
    <w:lvlOverride w:ilvl="0">
      <w:startOverride w:val="1"/>
    </w:lvlOverride>
  </w:num>
  <w:num w:numId="8" w16cid:durableId="793909784">
    <w:abstractNumId w:val="1"/>
    <w:lvlOverride w:ilvl="0">
      <w:startOverride w:val="1"/>
    </w:lvlOverride>
  </w:num>
  <w:num w:numId="9" w16cid:durableId="1863978792">
    <w:abstractNumId w:val="14"/>
    <w:lvlOverride w:ilvl="0">
      <w:startOverride w:val="1"/>
    </w:lvlOverride>
  </w:num>
  <w:num w:numId="10" w16cid:durableId="2114402098">
    <w:abstractNumId w:val="12"/>
    <w:lvlOverride w:ilvl="0">
      <w:startOverride w:val="1"/>
    </w:lvlOverride>
  </w:num>
  <w:num w:numId="11" w16cid:durableId="1159082201">
    <w:abstractNumId w:val="13"/>
    <w:lvlOverride w:ilvl="0">
      <w:startOverride w:val="1"/>
    </w:lvlOverride>
  </w:num>
  <w:num w:numId="12" w16cid:durableId="415053580">
    <w:abstractNumId w:val="18"/>
    <w:lvlOverride w:ilvl="0">
      <w:startOverride w:val="1"/>
    </w:lvlOverride>
  </w:num>
  <w:num w:numId="13" w16cid:durableId="1613895202">
    <w:abstractNumId w:val="22"/>
    <w:lvlOverride w:ilvl="0">
      <w:startOverride w:val="1"/>
    </w:lvlOverride>
  </w:num>
  <w:num w:numId="14" w16cid:durableId="1280330775">
    <w:abstractNumId w:val="17"/>
    <w:lvlOverride w:ilvl="0">
      <w:startOverride w:val="1"/>
    </w:lvlOverride>
  </w:num>
  <w:num w:numId="15" w16cid:durableId="1179008149">
    <w:abstractNumId w:val="16"/>
    <w:lvlOverride w:ilvl="0">
      <w:startOverride w:val="1"/>
    </w:lvlOverride>
  </w:num>
  <w:num w:numId="16" w16cid:durableId="911113108">
    <w:abstractNumId w:val="4"/>
    <w:lvlOverride w:ilvl="0">
      <w:startOverride w:val="1"/>
    </w:lvlOverride>
  </w:num>
  <w:num w:numId="17" w16cid:durableId="1080715351">
    <w:abstractNumId w:val="19"/>
    <w:lvlOverride w:ilvl="0">
      <w:startOverride w:val="1"/>
    </w:lvlOverride>
  </w:num>
  <w:num w:numId="18" w16cid:durableId="1222247922">
    <w:abstractNumId w:val="2"/>
    <w:lvlOverride w:ilvl="0">
      <w:startOverride w:val="1"/>
    </w:lvlOverride>
  </w:num>
  <w:num w:numId="19" w16cid:durableId="1204095363">
    <w:abstractNumId w:val="10"/>
    <w:lvlOverride w:ilvl="0">
      <w:startOverride w:val="1"/>
    </w:lvlOverride>
  </w:num>
  <w:num w:numId="20" w16cid:durableId="514271936">
    <w:abstractNumId w:val="7"/>
    <w:lvlOverride w:ilvl="0">
      <w:startOverride w:val="1"/>
    </w:lvlOverride>
  </w:num>
  <w:num w:numId="21" w16cid:durableId="1505167008">
    <w:abstractNumId w:val="6"/>
    <w:lvlOverride w:ilvl="0">
      <w:startOverride w:val="1"/>
    </w:lvlOverride>
  </w:num>
  <w:num w:numId="22" w16cid:durableId="942490707">
    <w:abstractNumId w:val="5"/>
    <w:lvlOverride w:ilvl="0">
      <w:startOverride w:val="1"/>
    </w:lvlOverride>
  </w:num>
  <w:num w:numId="23" w16cid:durableId="688071881">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2F0"/>
    <w:rsid w:val="005F4800"/>
    <w:rsid w:val="008F62F0"/>
    <w:rsid w:val="00986C28"/>
    <w:rsid w:val="00A54C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AC58193"/>
  <w15:docId w15:val="{EB925302-3D9B-2D46-BFDE-276FCCAAB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2685</Words>
  <Characters>15305</Characters>
  <Application>Microsoft Office Word</Application>
  <DocSecurity>0</DocSecurity>
  <Lines>127</Lines>
  <Paragraphs>35</Paragraphs>
  <ScaleCrop>false</ScaleCrop>
  <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2026-04-14T08:31:00Z</dcterms:created>
  <dcterms:modified xsi:type="dcterms:W3CDTF">2026-04-17T16:08:00Z</dcterms:modified>
</cp:coreProperties>
</file>