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76E5" w14:textId="77777777" w:rsidR="00E1193C" w:rsidRDefault="00E1193C">
      <w:pPr>
        <w:spacing w:before="800"/>
        <w:rPr>
          <w:rFonts w:cs="Arial"/>
        </w:rPr>
      </w:pPr>
    </w:p>
    <w:p w14:paraId="5780E01E" w14:textId="77777777" w:rsidR="00E1193C" w:rsidRDefault="00000000">
      <w:pPr>
        <w:spacing w:after="300"/>
        <w:jc w:val="center"/>
        <w:rPr>
          <w:rFonts w:cs="Arial"/>
        </w:rPr>
      </w:pPr>
      <w:r>
        <w:rPr>
          <w:i/>
          <w:iCs/>
          <w:color w:val="B8912F"/>
          <w:sz w:val="24"/>
          <w:szCs w:val="24"/>
        </w:rPr>
        <w:t>سلسلة أبحاث علم النفس الاستخلافي</w:t>
      </w:r>
    </w:p>
    <w:p w14:paraId="0622D032" w14:textId="77777777" w:rsidR="00E1193C" w:rsidRDefault="00000000">
      <w:pPr>
        <w:pBdr>
          <w:bottom w:val="double" w:sz="8" w:space="12" w:color="1B2A4A"/>
        </w:pBdr>
        <w:spacing w:after="200"/>
        <w:jc w:val="center"/>
        <w:rPr>
          <w:rFonts w:cs="Arial"/>
        </w:rPr>
      </w:pPr>
      <w:r>
        <w:rPr>
          <w:b/>
          <w:bCs/>
          <w:color w:val="1B2A4A"/>
          <w:sz w:val="56"/>
          <w:szCs w:val="56"/>
        </w:rPr>
        <w:t>علم التحصّن الروحي</w:t>
      </w:r>
    </w:p>
    <w:p w14:paraId="0099B3DB" w14:textId="77777777" w:rsidR="00E1193C" w:rsidRDefault="00000000">
      <w:pPr>
        <w:spacing w:before="300" w:after="600"/>
        <w:jc w:val="center"/>
        <w:rPr>
          <w:rFonts w:cs="Arial"/>
        </w:rPr>
      </w:pPr>
      <w:r>
        <w:rPr>
          <w:b/>
          <w:bCs/>
          <w:color w:val="0F6E6A"/>
          <w:sz w:val="28"/>
          <w:szCs w:val="28"/>
        </w:rPr>
        <w:t>دراسة تأصيلية استخلافية في مقاومة الوسوسة الشيطانية بأبعادها النفسية والاجتماعية والثقافية والاقتصادية والبيئية</w:t>
      </w:r>
    </w:p>
    <w:p w14:paraId="2ED697CA" w14:textId="51C8BC82" w:rsidR="00D6729F" w:rsidRDefault="00D1661F">
      <w:pPr>
        <w:spacing w:before="300" w:after="600"/>
        <w:jc w:val="center"/>
        <w:rPr>
          <w:rFonts w:cs="Arial"/>
        </w:rPr>
      </w:pPr>
      <w:r>
        <w:rPr>
          <w:rFonts w:cs="Arial" w:hint="cs"/>
        </w:rPr>
        <w:t>بقلم الباحث : عبد السلام الزراع</w:t>
      </w:r>
    </w:p>
    <w:p w14:paraId="23959A0C" w14:textId="77777777" w:rsidR="00E1193C" w:rsidRDefault="00000000">
      <w:pPr>
        <w:spacing w:after="1200"/>
        <w:jc w:val="center"/>
        <w:rPr>
          <w:rFonts w:cs="Arial"/>
        </w:rPr>
      </w:pPr>
      <w:r>
        <w:rPr>
          <w:i/>
          <w:iCs/>
          <w:color w:val="1A1A1A"/>
          <w:sz w:val="22"/>
          <w:szCs w:val="22"/>
        </w:rPr>
        <w:t xml:space="preserve">بحث في التأصيل النظري، والمنهجية التطبيقية، والقياس </w:t>
      </w:r>
      <w:proofErr w:type="spellStart"/>
      <w:r>
        <w:rPr>
          <w:i/>
          <w:iCs/>
          <w:color w:val="1A1A1A"/>
          <w:sz w:val="22"/>
          <w:szCs w:val="22"/>
        </w:rPr>
        <w:t>السيكومتري</w:t>
      </w:r>
      <w:proofErr w:type="spellEnd"/>
    </w:p>
    <w:p w14:paraId="3D438EC2" w14:textId="77777777" w:rsidR="00E1193C" w:rsidRDefault="00000000">
      <w:pPr>
        <w:spacing w:after="100"/>
        <w:jc w:val="center"/>
        <w:rPr>
          <w:rFonts w:cs="Arial"/>
        </w:rPr>
      </w:pPr>
      <w:r>
        <w:rPr>
          <w:color w:val="B8912F"/>
          <w:sz w:val="22"/>
          <w:szCs w:val="22"/>
        </w:rPr>
        <w:t>إعداد ضمن إطار علم النفس الاستخلافي</w:t>
      </w:r>
    </w:p>
    <w:p w14:paraId="63C889FE" w14:textId="77777777" w:rsidR="00E1193C" w:rsidRDefault="00000000">
      <w:pPr>
        <w:jc w:val="center"/>
        <w:rPr>
          <w:rFonts w:cs="Arial"/>
        </w:rPr>
      </w:pPr>
      <w:r>
        <w:rPr>
          <w:color w:val="1A1A1A"/>
          <w:sz w:val="20"/>
          <w:szCs w:val="20"/>
        </w:rPr>
        <w:t>٥ يوليو ٢٠٢٦</w:t>
      </w:r>
    </w:p>
    <w:p w14:paraId="1F62D1E2" w14:textId="77777777" w:rsidR="00E1193C" w:rsidRDefault="00000000">
      <w:pPr>
        <w:rPr>
          <w:rFonts w:cs="Arial"/>
        </w:rPr>
      </w:pPr>
      <w:r>
        <w:br w:type="page"/>
      </w:r>
    </w:p>
    <w:p w14:paraId="2D1A8134" w14:textId="77777777" w:rsidR="00E1193C" w:rsidRDefault="00000000">
      <w:pPr>
        <w:shd w:val="clear" w:color="auto" w:fill="1B2A4A"/>
        <w:spacing w:before="200" w:after="100"/>
        <w:jc w:val="center"/>
        <w:rPr>
          <w:rFonts w:cs="Arial"/>
        </w:rPr>
      </w:pPr>
      <w:r>
        <w:rPr>
          <w:b/>
          <w:bCs/>
          <w:color w:val="FFFFFF"/>
          <w:sz w:val="34"/>
          <w:szCs w:val="34"/>
        </w:rPr>
        <w:t>مستخلص البحث</w:t>
      </w:r>
    </w:p>
    <w:p w14:paraId="6CDB60E9" w14:textId="77777777" w:rsidR="00E1193C" w:rsidRDefault="00000000">
      <w:pPr>
        <w:spacing w:after="200" w:line="320" w:lineRule="auto"/>
        <w:jc w:val="both"/>
        <w:rPr>
          <w:rFonts w:cs="Arial"/>
        </w:rPr>
      </w:pPr>
      <w:r>
        <w:rPr>
          <w:color w:val="1A1A1A"/>
        </w:rPr>
        <w:t xml:space="preserve">يسعى هذا البحث إلى تعميق التأسيس العلمي لِما اصطُلح على تسميته «علم التحصّن الروحي»، بوصفه علمًا </w:t>
      </w:r>
      <w:proofErr w:type="spellStart"/>
      <w:r>
        <w:rPr>
          <w:color w:val="1A1A1A"/>
        </w:rPr>
        <w:t>استخلافيًا</w:t>
      </w:r>
      <w:proofErr w:type="spellEnd"/>
      <w:r>
        <w:rPr>
          <w:color w:val="1A1A1A"/>
        </w:rPr>
        <w:t xml:space="preserve"> ناشئًا يتناول ظاهرة الوسوسة الشيطانية بمقارباتٍ نفسية واجتماعية وثقافية واقتصادية وبيئية متكاملة. وينطلق البحث من مسلّمة قرآنية مفادها أن الشيطان عدوٌّ مبين يستغل الظل النفسي والجمعي، والنزعة الفطرية نحو تقديس المجهول، لبثّ الوسواس وتزيين الباطل. ويقوم البحث ببناء إطار نظري متعدد التخصصات يُدمج بين التفسير القرآني، وعلم النفس التحليلي </w:t>
      </w:r>
      <w:proofErr w:type="spellStart"/>
      <w:r>
        <w:rPr>
          <w:color w:val="1A1A1A"/>
        </w:rPr>
        <w:t>اليونغي</w:t>
      </w:r>
      <w:proofErr w:type="spellEnd"/>
      <w:r>
        <w:rPr>
          <w:color w:val="1A1A1A"/>
        </w:rPr>
        <w:t xml:space="preserve">، والتحليل النفسي </w:t>
      </w:r>
      <w:proofErr w:type="spellStart"/>
      <w:r>
        <w:rPr>
          <w:color w:val="1A1A1A"/>
        </w:rPr>
        <w:t>الفرويدي</w:t>
      </w:r>
      <w:proofErr w:type="spellEnd"/>
      <w:r>
        <w:rPr>
          <w:color w:val="1A1A1A"/>
        </w:rPr>
        <w:t xml:space="preserve">، وعلم الاجتماع المعياري، وعلوم البيئة والاستدامة، ضمن رؤية استخلافية جامعة. كما يقترح البحث أداة قياسٍ </w:t>
      </w:r>
      <w:proofErr w:type="spellStart"/>
      <w:r>
        <w:rPr>
          <w:color w:val="1A1A1A"/>
        </w:rPr>
        <w:t>سيكومترية</w:t>
      </w:r>
      <w:proofErr w:type="spellEnd"/>
      <w:r>
        <w:rPr>
          <w:color w:val="1A1A1A"/>
        </w:rPr>
        <w:t xml:space="preserve"> أولية «مقياس التحصين الروحي» (MTR)، ويناقش تطبيقات العلم على المستويات الفردية والجماعية والتعليمية والإعلامية </w:t>
      </w:r>
      <w:proofErr w:type="spellStart"/>
      <w:r>
        <w:rPr>
          <w:color w:val="1A1A1A"/>
        </w:rPr>
        <w:t>والسياساتية</w:t>
      </w:r>
      <w:proofErr w:type="spellEnd"/>
      <w:r>
        <w:rPr>
          <w:color w:val="1A1A1A"/>
        </w:rPr>
        <w:t>، ويختم بعرضٍ نقدي للتحديات المنهجية والمعرفية التي تواجه هذا الحقل الناشئ.</w:t>
      </w:r>
    </w:p>
    <w:p w14:paraId="3721AD40" w14:textId="77777777" w:rsidR="00E1193C" w:rsidRDefault="00000000">
      <w:pPr>
        <w:spacing w:after="200" w:line="320" w:lineRule="auto"/>
        <w:jc w:val="both"/>
        <w:rPr>
          <w:rFonts w:cs="Arial"/>
        </w:rPr>
      </w:pPr>
      <w:r>
        <w:rPr>
          <w:i/>
          <w:iCs/>
          <w:color w:val="0F6E6A"/>
        </w:rPr>
        <w:t xml:space="preserve">الكلمات المفتاحية: التحصين الروحي، الوسوسة، الاستخلاف، الظل </w:t>
      </w:r>
      <w:proofErr w:type="spellStart"/>
      <w:r>
        <w:rPr>
          <w:i/>
          <w:iCs/>
          <w:color w:val="0F6E6A"/>
        </w:rPr>
        <w:t>اليوني</w:t>
      </w:r>
      <w:proofErr w:type="spellEnd"/>
      <w:r>
        <w:rPr>
          <w:i/>
          <w:iCs/>
          <w:color w:val="0F6E6A"/>
        </w:rPr>
        <w:t>، الشرك الأصغر، القياس النفسي الإسلامي.</w:t>
      </w:r>
    </w:p>
    <w:p w14:paraId="22004B97" w14:textId="77777777" w:rsidR="00E1193C" w:rsidRDefault="00000000">
      <w:pPr>
        <w:rPr>
          <w:rFonts w:cs="Arial"/>
        </w:rPr>
      </w:pPr>
      <w:r>
        <w:br w:type="page"/>
      </w:r>
    </w:p>
    <w:p w14:paraId="0060A372" w14:textId="77777777" w:rsidR="00E1193C" w:rsidRDefault="00000000">
      <w:pPr>
        <w:shd w:val="clear" w:color="auto" w:fill="1B2A4A"/>
        <w:spacing w:before="200" w:after="100"/>
        <w:jc w:val="center"/>
        <w:rPr>
          <w:rFonts w:cs="Arial"/>
        </w:rPr>
      </w:pPr>
      <w:r>
        <w:rPr>
          <w:b/>
          <w:bCs/>
          <w:color w:val="FFFFFF"/>
          <w:sz w:val="34"/>
          <w:szCs w:val="34"/>
        </w:rPr>
        <w:t>خطة البحث</w:t>
      </w:r>
    </w:p>
    <w:p w14:paraId="166AF9C0" w14:textId="77777777" w:rsidR="00E1193C" w:rsidRDefault="00000000">
      <w:pPr>
        <w:spacing w:after="200" w:line="320" w:lineRule="auto"/>
        <w:jc w:val="right"/>
        <w:rPr>
          <w:rFonts w:cs="Arial"/>
        </w:rPr>
      </w:pPr>
      <w:r>
        <w:rPr>
          <w:color w:val="1A1A1A"/>
        </w:rPr>
        <w:t>1. المقدمة: من الوصف القرآني إلى التأسيس العلمي</w:t>
      </w:r>
    </w:p>
    <w:p w14:paraId="20FBEA1C" w14:textId="77777777" w:rsidR="00E1193C" w:rsidRDefault="00000000">
      <w:pPr>
        <w:spacing w:after="200" w:line="320" w:lineRule="auto"/>
        <w:jc w:val="right"/>
        <w:rPr>
          <w:rFonts w:cs="Arial"/>
        </w:rPr>
      </w:pPr>
      <w:r>
        <w:rPr>
          <w:color w:val="1A1A1A"/>
        </w:rPr>
        <w:t xml:space="preserve">2. الفصل الأول: الإطار </w:t>
      </w:r>
      <w:proofErr w:type="spellStart"/>
      <w:r>
        <w:rPr>
          <w:color w:val="1A1A1A"/>
        </w:rPr>
        <w:t>المفاهيمي</w:t>
      </w:r>
      <w:proofErr w:type="spellEnd"/>
      <w:r>
        <w:rPr>
          <w:color w:val="1A1A1A"/>
        </w:rPr>
        <w:t xml:space="preserve"> </w:t>
      </w:r>
      <w:proofErr w:type="spellStart"/>
      <w:r>
        <w:rPr>
          <w:color w:val="1A1A1A"/>
        </w:rPr>
        <w:t>والابستمولوجي</w:t>
      </w:r>
      <w:proofErr w:type="spellEnd"/>
    </w:p>
    <w:p w14:paraId="7B50EE38" w14:textId="77777777" w:rsidR="00E1193C" w:rsidRDefault="00000000">
      <w:pPr>
        <w:spacing w:after="200" w:line="320" w:lineRule="auto"/>
        <w:jc w:val="right"/>
        <w:rPr>
          <w:rFonts w:cs="Arial"/>
        </w:rPr>
      </w:pPr>
      <w:r>
        <w:rPr>
          <w:color w:val="1A1A1A"/>
        </w:rPr>
        <w:t>3. الفصل الثاني: البنية النظرية متعددة التخصصات</w:t>
      </w:r>
    </w:p>
    <w:p w14:paraId="6ACFD9A5" w14:textId="77777777" w:rsidR="00E1193C" w:rsidRDefault="00000000">
      <w:pPr>
        <w:spacing w:after="200" w:line="320" w:lineRule="auto"/>
        <w:jc w:val="right"/>
        <w:rPr>
          <w:rFonts w:cs="Arial"/>
        </w:rPr>
      </w:pPr>
      <w:r>
        <w:rPr>
          <w:color w:val="1A1A1A"/>
        </w:rPr>
        <w:t>4. الفصل الثالث: منهجية البحث والتقييم الميداني</w:t>
      </w:r>
    </w:p>
    <w:p w14:paraId="42DD8029" w14:textId="77777777" w:rsidR="00E1193C" w:rsidRDefault="00000000">
      <w:pPr>
        <w:spacing w:after="200" w:line="320" w:lineRule="auto"/>
        <w:jc w:val="right"/>
        <w:rPr>
          <w:rFonts w:cs="Arial"/>
        </w:rPr>
      </w:pPr>
      <w:r>
        <w:rPr>
          <w:color w:val="1A1A1A"/>
        </w:rPr>
        <w:t>5. الفصل الرابع: الأقسام الخمسة للتحصين الروحي (توسيع تحليلي)</w:t>
      </w:r>
    </w:p>
    <w:p w14:paraId="468A6A0E" w14:textId="77777777" w:rsidR="00E1193C" w:rsidRDefault="00000000">
      <w:pPr>
        <w:spacing w:after="200" w:line="320" w:lineRule="auto"/>
        <w:jc w:val="right"/>
        <w:rPr>
          <w:rFonts w:cs="Arial"/>
        </w:rPr>
      </w:pPr>
      <w:r>
        <w:rPr>
          <w:color w:val="1A1A1A"/>
        </w:rPr>
        <w:t xml:space="preserve">6. الفصل الخامس: التطبيقات المؤسسية </w:t>
      </w:r>
      <w:proofErr w:type="spellStart"/>
      <w:r>
        <w:rPr>
          <w:color w:val="1A1A1A"/>
        </w:rPr>
        <w:t>والسياساتية</w:t>
      </w:r>
      <w:proofErr w:type="spellEnd"/>
    </w:p>
    <w:p w14:paraId="471367AA" w14:textId="77777777" w:rsidR="00E1193C" w:rsidRDefault="00000000">
      <w:pPr>
        <w:spacing w:after="200" w:line="320" w:lineRule="auto"/>
        <w:jc w:val="right"/>
        <w:rPr>
          <w:rFonts w:cs="Arial"/>
        </w:rPr>
      </w:pPr>
      <w:r>
        <w:rPr>
          <w:color w:val="1A1A1A"/>
        </w:rPr>
        <w:t xml:space="preserve">7. الفصل السادس: مقياس التحصين الروحي (MTR) — أداة </w:t>
      </w:r>
      <w:proofErr w:type="spellStart"/>
      <w:r>
        <w:rPr>
          <w:color w:val="1A1A1A"/>
        </w:rPr>
        <w:t>سيكومترية</w:t>
      </w:r>
      <w:proofErr w:type="spellEnd"/>
      <w:r>
        <w:rPr>
          <w:color w:val="1A1A1A"/>
        </w:rPr>
        <w:t xml:space="preserve"> مقترحة</w:t>
      </w:r>
    </w:p>
    <w:p w14:paraId="4E7CB0A9" w14:textId="77777777" w:rsidR="00E1193C" w:rsidRDefault="00000000">
      <w:pPr>
        <w:spacing w:after="200" w:line="320" w:lineRule="auto"/>
        <w:jc w:val="right"/>
        <w:rPr>
          <w:rFonts w:cs="Arial"/>
        </w:rPr>
      </w:pPr>
      <w:r>
        <w:rPr>
          <w:color w:val="1A1A1A"/>
        </w:rPr>
        <w:t>8. الفصل السابع: نقد الإطار وحدوده المنهجية وآفاق البحث المستقبلي</w:t>
      </w:r>
    </w:p>
    <w:p w14:paraId="20921D50" w14:textId="77777777" w:rsidR="00E1193C" w:rsidRDefault="00000000">
      <w:pPr>
        <w:spacing w:after="200" w:line="320" w:lineRule="auto"/>
        <w:jc w:val="right"/>
        <w:rPr>
          <w:rFonts w:cs="Arial"/>
        </w:rPr>
      </w:pPr>
      <w:r>
        <w:rPr>
          <w:color w:val="1A1A1A"/>
        </w:rPr>
        <w:t>9. الخاتمة</w:t>
      </w:r>
    </w:p>
    <w:p w14:paraId="207B3857" w14:textId="77777777" w:rsidR="00E1193C" w:rsidRDefault="00000000">
      <w:pPr>
        <w:spacing w:after="200" w:line="320" w:lineRule="auto"/>
        <w:jc w:val="right"/>
        <w:rPr>
          <w:rFonts w:cs="Arial"/>
        </w:rPr>
      </w:pPr>
      <w:r>
        <w:rPr>
          <w:color w:val="1A1A1A"/>
        </w:rPr>
        <w:t>10. قائمة المراجع</w:t>
      </w:r>
    </w:p>
    <w:p w14:paraId="322D36E0" w14:textId="77777777" w:rsidR="00E1193C" w:rsidRDefault="00000000">
      <w:pPr>
        <w:rPr>
          <w:rFonts w:cs="Arial"/>
        </w:rPr>
      </w:pPr>
      <w:r>
        <w:br w:type="page"/>
      </w:r>
    </w:p>
    <w:p w14:paraId="0B9EFDFA"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المقدمة: من الوصف القرآني إلى التأسيس العلمي</w:t>
      </w:r>
    </w:p>
    <w:p w14:paraId="6D82280C" w14:textId="77777777" w:rsidR="00E1193C" w:rsidRDefault="00000000">
      <w:pPr>
        <w:spacing w:after="200" w:line="320" w:lineRule="auto"/>
        <w:jc w:val="both"/>
        <w:rPr>
          <w:rFonts w:cs="Arial"/>
        </w:rPr>
      </w:pPr>
      <w:r>
        <w:rPr>
          <w:color w:val="1A1A1A"/>
        </w:rPr>
        <w:t xml:space="preserve">لم يكتفِ القرآن الكريم بذكر الشيطان بوصفه كائنًا غيبيًا معاديًا للإنسان، بل رسم منظومة متكاملة لفهم آليات فعله، من الوسوسة والتزيين إلى التخويف والتثبيط، وربط ذلك كله بمسار العبودية </w:t>
      </w:r>
      <w:proofErr w:type="spellStart"/>
      <w:r>
        <w:rPr>
          <w:color w:val="1A1A1A"/>
        </w:rPr>
        <w:t>والاستخلاف</w:t>
      </w:r>
      <w:proofErr w:type="spellEnd"/>
      <w:r>
        <w:rPr>
          <w:color w:val="1A1A1A"/>
        </w:rPr>
        <w:t xml:space="preserve">. وقد سبق في الطرح الأول لهذا العلم عرضٌ تأسيسي حدّد تعريفه وأهدافه </w:t>
      </w:r>
      <w:proofErr w:type="spellStart"/>
      <w:r>
        <w:rPr>
          <w:color w:val="1A1A1A"/>
        </w:rPr>
        <w:t>ومنهجيته</w:t>
      </w:r>
      <w:proofErr w:type="spellEnd"/>
      <w:r>
        <w:rPr>
          <w:color w:val="1A1A1A"/>
        </w:rPr>
        <w:t xml:space="preserve"> وأقسامه الخمسة. ويأتي هذا البحث ليعمّق ذلك الطرح من ثلاث جهات رئيسة: أولاها تعميق الأساس النصي والفقهي والتراثي للعلم عبر استحضار أقوال أئمة التزكية كالمحاسبي والغزالي وابن القيم؛ وثانيتها توسيع البناء النظري متعدد التخصصات بربطه بمفاهيم أدق من علم النفس التحليلي والتحليل النفسي وعلم الاجتماع المعياري؛ وثالثتها اقتراح أداة قياس </w:t>
      </w:r>
      <w:proofErr w:type="spellStart"/>
      <w:r>
        <w:rPr>
          <w:color w:val="1A1A1A"/>
        </w:rPr>
        <w:t>سيكومترية</w:t>
      </w:r>
      <w:proofErr w:type="spellEnd"/>
      <w:r>
        <w:rPr>
          <w:color w:val="1A1A1A"/>
        </w:rPr>
        <w:t xml:space="preserve"> أولية تتيح تحويل هذا الإطار من مجرد تنظير معرفي إلى حقل بحثي قابل للاختبار التجريبي.</w:t>
      </w:r>
    </w:p>
    <w:p w14:paraId="35475875" w14:textId="77777777" w:rsidR="00E1193C" w:rsidRDefault="00000000">
      <w:pPr>
        <w:spacing w:after="200" w:line="320" w:lineRule="auto"/>
        <w:jc w:val="both"/>
        <w:rPr>
          <w:rFonts w:cs="Arial"/>
        </w:rPr>
      </w:pPr>
      <w:r>
        <w:rPr>
          <w:color w:val="1A1A1A"/>
        </w:rPr>
        <w:t>وتكمن أهمية هذا التعميق في أن الوسوسة، كما تصفها الآيات، ليست حادثة نفسية عابرة، بل هي — من منظور استخلافي — اعتداء على وظيفة الإنسان الوجودية بوصفه خليفة مؤتمنًا على نفسه ومجتمعه وبيئته. فكل تفريط في التحصن الروحي هو، في جوهره، تفريط في أمانة الاستخلاف ذاتها.</w:t>
      </w:r>
    </w:p>
    <w:p w14:paraId="0D196356"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 xml:space="preserve">١.  الفصل الأول: الإطار </w:t>
      </w:r>
      <w:proofErr w:type="spellStart"/>
      <w:r>
        <w:rPr>
          <w:b/>
          <w:bCs/>
          <w:color w:val="1B2A4A"/>
          <w:sz w:val="36"/>
          <w:szCs w:val="36"/>
        </w:rPr>
        <w:t>المفاهيمي</w:t>
      </w:r>
      <w:proofErr w:type="spellEnd"/>
      <w:r>
        <w:rPr>
          <w:b/>
          <w:bCs/>
          <w:color w:val="1B2A4A"/>
          <w:sz w:val="36"/>
          <w:szCs w:val="36"/>
        </w:rPr>
        <w:t xml:space="preserve"> </w:t>
      </w:r>
      <w:proofErr w:type="spellStart"/>
      <w:r>
        <w:rPr>
          <w:b/>
          <w:bCs/>
          <w:color w:val="1B2A4A"/>
          <w:sz w:val="36"/>
          <w:szCs w:val="36"/>
        </w:rPr>
        <w:t>والابستمولوجي</w:t>
      </w:r>
      <w:proofErr w:type="spellEnd"/>
    </w:p>
    <w:p w14:paraId="2204A420" w14:textId="77777777" w:rsidR="00E1193C" w:rsidRDefault="00000000">
      <w:pPr>
        <w:pStyle w:val="2"/>
        <w:bidi/>
        <w:spacing w:before="320" w:after="160"/>
        <w:jc w:val="right"/>
        <w:rPr>
          <w:rFonts w:cs="Arial"/>
        </w:rPr>
      </w:pPr>
      <w:r>
        <w:rPr>
          <w:b/>
          <w:bCs/>
          <w:color w:val="0F6E6A"/>
          <w:sz w:val="30"/>
          <w:szCs w:val="30"/>
        </w:rPr>
        <w:t>١.١ تعريف علم التحصن الروحي وموقعه من منظومة العلوم الاستخلافية</w:t>
      </w:r>
    </w:p>
    <w:p w14:paraId="271916D9" w14:textId="77777777" w:rsidR="00E1193C" w:rsidRDefault="00000000">
      <w:pPr>
        <w:spacing w:after="200" w:line="320" w:lineRule="auto"/>
        <w:jc w:val="both"/>
        <w:rPr>
          <w:rFonts w:cs="Arial"/>
        </w:rPr>
      </w:pPr>
      <w:r>
        <w:rPr>
          <w:color w:val="1A1A1A"/>
        </w:rPr>
        <w:t xml:space="preserve">يُعرَّف علم التحصن الروحي بأنه: دراسة منهجية بينية لظاهرة الوسوسة الشيطانية بوصفها اختراقًا معرفيًا ونفسيًا واجتماعيًا لوظيفة الاستخلاف، تجمع بين النص القرآني والنبوي، والتحليل النفسي الحديث، والعلوم الاجتماعية والبيئية، بغرض تشخيص آليات الاختراق وبناء منظومة وقائية وعلاجية قائمة على التوحيد. وبهذا التعريف الموسّع، </w:t>
      </w:r>
      <w:proofErr w:type="spellStart"/>
      <w:r>
        <w:rPr>
          <w:color w:val="1A1A1A"/>
        </w:rPr>
        <w:t>يتموضع</w:t>
      </w:r>
      <w:proofErr w:type="spellEnd"/>
      <w:r>
        <w:rPr>
          <w:color w:val="1A1A1A"/>
        </w:rPr>
        <w:t xml:space="preserve"> هذا العلم كأحد الفروع التطبيقية لعلم النفس الاستخلافي، إلى جانب علم النفس القرآني وعلم الأمراض الروحية، لكنه يتميز عنها بتركيزه الخاص على «الفاعل الخارجي» (الشيطان) بوصفه طرفًا فعّالًا في المعادلة النفسية، لا مجرد استعارة رمزية.</w:t>
      </w:r>
    </w:p>
    <w:p w14:paraId="088E57A8" w14:textId="77777777" w:rsidR="00E1193C" w:rsidRDefault="00000000">
      <w:pPr>
        <w:pStyle w:val="2"/>
        <w:bidi/>
        <w:spacing w:before="320" w:after="160"/>
        <w:jc w:val="right"/>
        <w:rPr>
          <w:rFonts w:cs="Arial"/>
        </w:rPr>
      </w:pPr>
      <w:r>
        <w:rPr>
          <w:b/>
          <w:bCs/>
          <w:color w:val="0F6E6A"/>
          <w:sz w:val="30"/>
          <w:szCs w:val="30"/>
        </w:rPr>
        <w:t>١.٢ الأساس القرآني الموسّع</w:t>
      </w:r>
    </w:p>
    <w:p w14:paraId="57C56CD2" w14:textId="77777777" w:rsidR="00E1193C" w:rsidRDefault="00000000">
      <w:pPr>
        <w:spacing w:after="200" w:line="320" w:lineRule="auto"/>
        <w:jc w:val="both"/>
        <w:rPr>
          <w:rFonts w:cs="Arial"/>
        </w:rPr>
      </w:pPr>
      <w:r>
        <w:rPr>
          <w:color w:val="1A1A1A"/>
        </w:rPr>
        <w:t>بالإضافة إلى الآيات المؤسسة في الطرح الأول، يمكن تصنيف الآيات القرآنية المتعلقة بالوسوسة إلى أربع طبقات دلالية متكاملة:</w:t>
      </w:r>
    </w:p>
    <w:p w14:paraId="4BEC953F" w14:textId="77777777" w:rsidR="00E1193C" w:rsidRDefault="00000000">
      <w:pPr>
        <w:pBdr>
          <w:top w:val="single" w:sz="4" w:space="8" w:color="0F6E6A"/>
          <w:bottom w:val="single" w:sz="4" w:space="8" w:color="0F6E6A"/>
        </w:pBdr>
        <w:shd w:val="clear" w:color="auto" w:fill="EAF3F2"/>
        <w:spacing w:before="160" w:after="160"/>
        <w:jc w:val="center"/>
        <w:rPr>
          <w:rFonts w:cs="Arial"/>
        </w:rPr>
      </w:pPr>
      <w:r>
        <w:rPr>
          <w:b/>
          <w:bCs/>
          <w:color w:val="1B2A4A"/>
          <w:sz w:val="28"/>
          <w:szCs w:val="28"/>
        </w:rPr>
        <w:t>﴿ وَإِمَّا يَنزَغَنَّكَ مِنَ الشَّيْطَانِ نَزْغٌ فَاسْتَعِذْ بِاللَّهِ ﴾</w:t>
      </w:r>
      <w:r>
        <w:rPr>
          <w:i/>
          <w:iCs/>
          <w:color w:val="0F6E6A"/>
          <w:sz w:val="22"/>
          <w:szCs w:val="22"/>
        </w:rPr>
        <w:t xml:space="preserve">  [فصلت: 36]</w:t>
      </w:r>
    </w:p>
    <w:p w14:paraId="4E266D60" w14:textId="77777777" w:rsidR="00E1193C" w:rsidRDefault="00000000">
      <w:pPr>
        <w:pBdr>
          <w:top w:val="single" w:sz="4" w:space="8" w:color="0F6E6A"/>
          <w:bottom w:val="single" w:sz="4" w:space="8" w:color="0F6E6A"/>
        </w:pBdr>
        <w:shd w:val="clear" w:color="auto" w:fill="EAF3F2"/>
        <w:spacing w:before="160" w:after="160"/>
        <w:jc w:val="center"/>
        <w:rPr>
          <w:rFonts w:cs="Arial"/>
        </w:rPr>
      </w:pPr>
      <w:r>
        <w:rPr>
          <w:b/>
          <w:bCs/>
          <w:color w:val="1B2A4A"/>
          <w:sz w:val="28"/>
          <w:szCs w:val="28"/>
        </w:rPr>
        <w:t>﴿ إِنَّ الشَّيْطَانَ لَكُمْ عَدُوٌّ فَاتَّخِذُوهُ عَدُوًّا ﴾</w:t>
      </w:r>
      <w:r>
        <w:rPr>
          <w:i/>
          <w:iCs/>
          <w:color w:val="0F6E6A"/>
          <w:sz w:val="22"/>
          <w:szCs w:val="22"/>
        </w:rPr>
        <w:t xml:space="preserve">  [فاطر: 6]</w:t>
      </w:r>
    </w:p>
    <w:p w14:paraId="333ECD66" w14:textId="77777777" w:rsidR="00E1193C" w:rsidRDefault="00000000">
      <w:pPr>
        <w:pBdr>
          <w:top w:val="single" w:sz="4" w:space="8" w:color="0F6E6A"/>
          <w:bottom w:val="single" w:sz="4" w:space="8" w:color="0F6E6A"/>
        </w:pBdr>
        <w:shd w:val="clear" w:color="auto" w:fill="EAF3F2"/>
        <w:spacing w:before="160" w:after="160"/>
        <w:jc w:val="center"/>
        <w:rPr>
          <w:rFonts w:cs="Arial"/>
        </w:rPr>
      </w:pPr>
      <w:r>
        <w:rPr>
          <w:b/>
          <w:bCs/>
          <w:color w:val="1B2A4A"/>
          <w:sz w:val="28"/>
          <w:szCs w:val="28"/>
        </w:rPr>
        <w:t>﴿ مِن شَرِّ الْوَسْوَاسِ الْخَنَّاسِ الَّذِي يُوَسْوِسُ فِي صُدُورِ النَّاسِ ﴾</w:t>
      </w:r>
      <w:r>
        <w:rPr>
          <w:i/>
          <w:iCs/>
          <w:color w:val="0F6E6A"/>
          <w:sz w:val="22"/>
          <w:szCs w:val="22"/>
        </w:rPr>
        <w:t xml:space="preserve">  [الناس: 4-5]</w:t>
      </w:r>
    </w:p>
    <w:p w14:paraId="0B5A8D83" w14:textId="77777777" w:rsidR="00E1193C" w:rsidRDefault="00000000">
      <w:pPr>
        <w:pBdr>
          <w:top w:val="single" w:sz="4" w:space="8" w:color="0F6E6A"/>
          <w:bottom w:val="single" w:sz="4" w:space="8" w:color="0F6E6A"/>
        </w:pBdr>
        <w:shd w:val="clear" w:color="auto" w:fill="EAF3F2"/>
        <w:spacing w:before="160" w:after="160"/>
        <w:jc w:val="center"/>
        <w:rPr>
          <w:rFonts w:cs="Arial"/>
        </w:rPr>
      </w:pPr>
      <w:r>
        <w:rPr>
          <w:b/>
          <w:bCs/>
          <w:color w:val="1B2A4A"/>
          <w:sz w:val="28"/>
          <w:szCs w:val="28"/>
        </w:rPr>
        <w:t>﴿ وَقَاسَمَهُمَا إِنِّي لَكُمَا لَمِنَ النَّاصِحِينَ ﴾</w:t>
      </w:r>
      <w:r>
        <w:rPr>
          <w:i/>
          <w:iCs/>
          <w:color w:val="0F6E6A"/>
          <w:sz w:val="22"/>
          <w:szCs w:val="22"/>
        </w:rPr>
        <w:t xml:space="preserve">  [الأعراف: 21]</w:t>
      </w:r>
    </w:p>
    <w:p w14:paraId="2BF38AB2" w14:textId="77777777" w:rsidR="00E1193C" w:rsidRDefault="00000000">
      <w:pPr>
        <w:pStyle w:val="a4"/>
        <w:numPr>
          <w:ilvl w:val="0"/>
          <w:numId w:val="2"/>
        </w:numPr>
        <w:bidi/>
        <w:spacing w:after="140" w:line="300" w:lineRule="auto"/>
        <w:jc w:val="both"/>
        <w:rPr>
          <w:rFonts w:cs="Arial"/>
        </w:rPr>
      </w:pPr>
      <w:r>
        <w:rPr>
          <w:color w:val="1A1A1A"/>
          <w:sz w:val="24"/>
          <w:szCs w:val="24"/>
        </w:rPr>
        <w:t>طبقة التزيين: تجميل المعصية وتصويرها في صورة المصلحة (الأنعام: 43).</w:t>
      </w:r>
    </w:p>
    <w:p w14:paraId="391C99AB" w14:textId="77777777" w:rsidR="00E1193C" w:rsidRDefault="00000000">
      <w:pPr>
        <w:pStyle w:val="a4"/>
        <w:numPr>
          <w:ilvl w:val="0"/>
          <w:numId w:val="2"/>
        </w:numPr>
        <w:bidi/>
        <w:spacing w:after="140" w:line="300" w:lineRule="auto"/>
        <w:jc w:val="both"/>
        <w:rPr>
          <w:rFonts w:cs="Arial"/>
        </w:rPr>
      </w:pPr>
      <w:r>
        <w:rPr>
          <w:color w:val="1A1A1A"/>
          <w:sz w:val="24"/>
          <w:szCs w:val="24"/>
        </w:rPr>
        <w:t>طبقة التخويف: بث الرهبة من الفقر لصدّ الإنسان عن الإنفاق (البقرة: 268).</w:t>
      </w:r>
    </w:p>
    <w:p w14:paraId="19400825" w14:textId="77777777" w:rsidR="00E1193C" w:rsidRDefault="00000000">
      <w:pPr>
        <w:pStyle w:val="a4"/>
        <w:numPr>
          <w:ilvl w:val="0"/>
          <w:numId w:val="2"/>
        </w:numPr>
        <w:bidi/>
        <w:spacing w:after="140" w:line="300" w:lineRule="auto"/>
        <w:jc w:val="both"/>
        <w:rPr>
          <w:rFonts w:cs="Arial"/>
        </w:rPr>
      </w:pPr>
      <w:r>
        <w:rPr>
          <w:color w:val="1A1A1A"/>
          <w:sz w:val="24"/>
          <w:szCs w:val="24"/>
        </w:rPr>
        <w:t>طبقة القسم الكاذب: انتحال صفة الناصح لكسب الثقة (الأعراف: 21).</w:t>
      </w:r>
    </w:p>
    <w:p w14:paraId="488530CF" w14:textId="77777777" w:rsidR="00E1193C" w:rsidRDefault="00000000">
      <w:pPr>
        <w:pStyle w:val="a4"/>
        <w:numPr>
          <w:ilvl w:val="0"/>
          <w:numId w:val="2"/>
        </w:numPr>
        <w:bidi/>
        <w:spacing w:after="140" w:line="300" w:lineRule="auto"/>
        <w:jc w:val="both"/>
        <w:rPr>
          <w:rFonts w:cs="Arial"/>
        </w:rPr>
      </w:pPr>
      <w:r>
        <w:rPr>
          <w:color w:val="1A1A1A"/>
          <w:sz w:val="24"/>
          <w:szCs w:val="24"/>
        </w:rPr>
        <w:t>طبقة الاستدراج التدريجي: خطوة بخطوة حتى الانغماس الكامل (النور: 21).</w:t>
      </w:r>
    </w:p>
    <w:p w14:paraId="38AE45F9" w14:textId="77777777" w:rsidR="00E1193C" w:rsidRDefault="00000000">
      <w:pPr>
        <w:pStyle w:val="2"/>
        <w:bidi/>
        <w:spacing w:before="320" w:after="160"/>
        <w:jc w:val="right"/>
        <w:rPr>
          <w:rFonts w:cs="Arial"/>
        </w:rPr>
      </w:pPr>
      <w:r>
        <w:rPr>
          <w:b/>
          <w:bCs/>
          <w:color w:val="0F6E6A"/>
          <w:sz w:val="30"/>
          <w:szCs w:val="30"/>
        </w:rPr>
        <w:t>١.٣ الأساس النبوي الموسّع</w:t>
      </w:r>
    </w:p>
    <w:p w14:paraId="10BF33F5" w14:textId="77777777" w:rsidR="00E1193C" w:rsidRDefault="00000000">
      <w:pPr>
        <w:shd w:val="clear" w:color="auto" w:fill="FBF3E1"/>
        <w:spacing w:before="120" w:after="160"/>
        <w:ind w:left="200" w:right="200"/>
        <w:jc w:val="both"/>
        <w:rPr>
          <w:rFonts w:cs="Arial"/>
        </w:rPr>
      </w:pPr>
      <w:r>
        <w:rPr>
          <w:i/>
          <w:iCs/>
          <w:color w:val="1A1A1A"/>
        </w:rPr>
        <w:t xml:space="preserve">«يأتي الشيطان أحدكم فيقول: من خلق كذا؟ من خلق كذا؟ حتى يقول: من خلق ربك؟ فإذا بلغه </w:t>
      </w:r>
      <w:proofErr w:type="spellStart"/>
      <w:r>
        <w:rPr>
          <w:i/>
          <w:iCs/>
          <w:color w:val="1A1A1A"/>
        </w:rPr>
        <w:t>فليستعذ</w:t>
      </w:r>
      <w:proofErr w:type="spellEnd"/>
      <w:r>
        <w:rPr>
          <w:i/>
          <w:iCs/>
          <w:color w:val="1A1A1A"/>
        </w:rPr>
        <w:t xml:space="preserve"> بالله ولينتهِ»</w:t>
      </w:r>
      <w:r>
        <w:rPr>
          <w:color w:val="B8912F"/>
          <w:sz w:val="22"/>
          <w:szCs w:val="22"/>
        </w:rPr>
        <w:t xml:space="preserve">  (متفق عليه)</w:t>
      </w:r>
    </w:p>
    <w:p w14:paraId="1238F0F5" w14:textId="77777777" w:rsidR="00E1193C" w:rsidRDefault="00000000">
      <w:pPr>
        <w:shd w:val="clear" w:color="auto" w:fill="FBF3E1"/>
        <w:spacing w:before="120" w:after="160"/>
        <w:ind w:left="200" w:right="200"/>
        <w:jc w:val="both"/>
        <w:rPr>
          <w:rFonts w:cs="Arial"/>
        </w:rPr>
      </w:pPr>
      <w:r>
        <w:rPr>
          <w:i/>
          <w:iCs/>
          <w:color w:val="1A1A1A"/>
        </w:rPr>
        <w:t>«إن الشيطان واضعٌ خطمه على قلب ابن آدم، فإن ذكر الله خنس، وإن نسي التقم قلبه»</w:t>
      </w:r>
      <w:r>
        <w:rPr>
          <w:color w:val="B8912F"/>
          <w:sz w:val="22"/>
          <w:szCs w:val="22"/>
        </w:rPr>
        <w:t xml:space="preserve">  (صحيح الجامع)</w:t>
      </w:r>
    </w:p>
    <w:p w14:paraId="2D80AE43" w14:textId="77777777" w:rsidR="00E1193C" w:rsidRDefault="00000000">
      <w:pPr>
        <w:shd w:val="clear" w:color="auto" w:fill="FBF3E1"/>
        <w:spacing w:before="120" w:after="160"/>
        <w:ind w:left="200" w:right="200"/>
        <w:jc w:val="both"/>
        <w:rPr>
          <w:rFonts w:cs="Arial"/>
        </w:rPr>
      </w:pPr>
      <w:r>
        <w:rPr>
          <w:i/>
          <w:iCs/>
          <w:color w:val="1A1A1A"/>
        </w:rPr>
        <w:t>«اللهم إني أعوذ بك من همزات الشياطين، وأعوذ بك رب أن يحضرون»</w:t>
      </w:r>
      <w:r>
        <w:rPr>
          <w:color w:val="B8912F"/>
          <w:sz w:val="22"/>
          <w:szCs w:val="22"/>
        </w:rPr>
        <w:t xml:space="preserve">  (صحيح البخاري)</w:t>
      </w:r>
    </w:p>
    <w:p w14:paraId="3CAA1037" w14:textId="77777777" w:rsidR="00E1193C" w:rsidRDefault="00000000">
      <w:pPr>
        <w:spacing w:after="200" w:line="320" w:lineRule="auto"/>
        <w:jc w:val="both"/>
        <w:rPr>
          <w:rFonts w:cs="Arial"/>
        </w:rPr>
      </w:pPr>
      <w:r>
        <w:rPr>
          <w:color w:val="1A1A1A"/>
        </w:rPr>
        <w:t>تُظهر هذه الأحاديث، مجتمعةً مع الآيات آنفة الذكر، أن السنة النبوية تقدّم نموذجًا وظيفيًا (</w:t>
      </w:r>
      <w:proofErr w:type="spellStart"/>
      <w:r>
        <w:rPr>
          <w:color w:val="1A1A1A"/>
        </w:rPr>
        <w:t>functional</w:t>
      </w:r>
      <w:proofErr w:type="spellEnd"/>
      <w:r>
        <w:rPr>
          <w:color w:val="1A1A1A"/>
        </w:rPr>
        <w:t xml:space="preserve"> </w:t>
      </w:r>
      <w:proofErr w:type="spellStart"/>
      <w:r>
        <w:rPr>
          <w:color w:val="1A1A1A"/>
        </w:rPr>
        <w:t>model</w:t>
      </w:r>
      <w:proofErr w:type="spellEnd"/>
      <w:r>
        <w:rPr>
          <w:color w:val="1A1A1A"/>
        </w:rPr>
        <w:t xml:space="preserve">) لآلية الوسوسة يمكن ترجمته معاصرةً إلى ثلاث مراحل: مرحلة الإلقاء (الفعل الشيطاني)، ومرحلة </w:t>
      </w:r>
      <w:proofErr w:type="spellStart"/>
      <w:r>
        <w:rPr>
          <w:color w:val="1A1A1A"/>
        </w:rPr>
        <w:t>الالتقام</w:t>
      </w:r>
      <w:proofErr w:type="spellEnd"/>
      <w:r>
        <w:rPr>
          <w:color w:val="1A1A1A"/>
        </w:rPr>
        <w:t xml:space="preserve"> أو التمكن (حين تغيب الذكرى)، ومرحلة الانحسار (حين يُستحضر الذكر). وهذا النموذج الثلاثي يشكّل نقطة الالتقاء الأولى مع نظريات علم النفس المعرفي حول التلقائية (</w:t>
      </w:r>
      <w:proofErr w:type="spellStart"/>
      <w:r>
        <w:rPr>
          <w:color w:val="1A1A1A"/>
        </w:rPr>
        <w:t>automaticity</w:t>
      </w:r>
      <w:proofErr w:type="spellEnd"/>
      <w:r>
        <w:rPr>
          <w:color w:val="1A1A1A"/>
        </w:rPr>
        <w:t>) والتدخل الواعي (</w:t>
      </w:r>
      <w:proofErr w:type="spellStart"/>
      <w:r>
        <w:rPr>
          <w:color w:val="1A1A1A"/>
        </w:rPr>
        <w:t>conscious</w:t>
      </w:r>
      <w:proofErr w:type="spellEnd"/>
      <w:r>
        <w:rPr>
          <w:color w:val="1A1A1A"/>
        </w:rPr>
        <w:t xml:space="preserve"> </w:t>
      </w:r>
      <w:proofErr w:type="spellStart"/>
      <w:r>
        <w:rPr>
          <w:color w:val="1A1A1A"/>
        </w:rPr>
        <w:t>override</w:t>
      </w:r>
      <w:proofErr w:type="spellEnd"/>
      <w:r>
        <w:rPr>
          <w:color w:val="1A1A1A"/>
        </w:rPr>
        <w:t>)، والتي سيأتي تفصيلها في الفصل الثاني.</w:t>
      </w:r>
    </w:p>
    <w:p w14:paraId="633CD995" w14:textId="77777777" w:rsidR="00E1193C" w:rsidRDefault="00000000">
      <w:pPr>
        <w:pStyle w:val="2"/>
        <w:bidi/>
        <w:spacing w:before="320" w:after="160"/>
        <w:jc w:val="right"/>
        <w:rPr>
          <w:rFonts w:cs="Arial"/>
        </w:rPr>
      </w:pPr>
      <w:r>
        <w:rPr>
          <w:b/>
          <w:bCs/>
          <w:color w:val="0F6E6A"/>
          <w:sz w:val="30"/>
          <w:szCs w:val="30"/>
        </w:rPr>
        <w:t>١.٤ التأصيل من تراث علماء التزكية</w:t>
      </w:r>
    </w:p>
    <w:p w14:paraId="30740D89" w14:textId="77777777" w:rsidR="00E1193C" w:rsidRDefault="00000000">
      <w:pPr>
        <w:spacing w:before="240" w:after="120"/>
        <w:jc w:val="right"/>
        <w:rPr>
          <w:rFonts w:cs="Arial"/>
        </w:rPr>
      </w:pPr>
      <w:r>
        <w:rPr>
          <w:b/>
          <w:bCs/>
          <w:color w:val="B8912F"/>
        </w:rPr>
        <w:t>١.٤.١ الحارث المحاسبي: علم مراقبة الخواطر</w:t>
      </w:r>
    </w:p>
    <w:p w14:paraId="6F380387" w14:textId="77777777" w:rsidR="00E1193C" w:rsidRDefault="00000000">
      <w:pPr>
        <w:spacing w:after="200" w:line="320" w:lineRule="auto"/>
        <w:jc w:val="both"/>
        <w:rPr>
          <w:rFonts w:cs="Arial"/>
        </w:rPr>
      </w:pPr>
      <w:r>
        <w:rPr>
          <w:color w:val="1A1A1A"/>
        </w:rPr>
        <w:t>يُعدّ المحاسبي في كتابه «الرعاية لحقوق الله» أول من أسّس لعلمٍ داخلي دقيق في التفريق بين الخاطر الرحماني والخاطر النفسي والخاطر الشيطاني، عبر آلية «المحاسبة» الدائمة للنفس قبل وقوع الفعل. وهذا التمييز الثلاثي يوفر لعلم التحصن الروحي أداةً تشخيصية تراثية أصيلة يمكن توظيفها في تصنيف الوساوس الواردة على القلب بحسب مصدرها، قبل تحديد أسلوب المواجهة المناسب لكل نوع.</w:t>
      </w:r>
    </w:p>
    <w:p w14:paraId="52EC4C2D" w14:textId="77777777" w:rsidR="00E1193C" w:rsidRDefault="00000000">
      <w:pPr>
        <w:spacing w:before="240" w:after="120"/>
        <w:jc w:val="right"/>
        <w:rPr>
          <w:rFonts w:cs="Arial"/>
        </w:rPr>
      </w:pPr>
      <w:r>
        <w:rPr>
          <w:b/>
          <w:bCs/>
          <w:color w:val="B8912F"/>
        </w:rPr>
        <w:t>١.٤.٢ أبو حامد الغزالي: تشريح خطوات الشيطان</w:t>
      </w:r>
    </w:p>
    <w:p w14:paraId="4E333709" w14:textId="77777777" w:rsidR="00E1193C" w:rsidRDefault="00000000">
      <w:pPr>
        <w:spacing w:after="200" w:line="320" w:lineRule="auto"/>
        <w:jc w:val="both"/>
        <w:rPr>
          <w:rFonts w:cs="Arial"/>
        </w:rPr>
      </w:pPr>
      <w:r>
        <w:rPr>
          <w:color w:val="1A1A1A"/>
        </w:rPr>
        <w:t>في «إحياء علوم الدين»، يقدّم الغزالي تحليلًا دقيقًا لتدرّج الوسوسة من الخاطر إلى الميل فالعزم فالفعل، وهو تدرّجٌ يوازي بشكل لافت النماذج المعاصرة لتصاعد الاستجابة السلوكية في علم النفس السلوكي المعرفي. كما يميز الغزالي بين «وسوسة الشيطان» و«حديث النفس»، وهو تمييز جوهري يحمي علم التحصن الروحي من الوقوع في خلط منهجي بين المرض النفسي الداخلي والاختراق الشيطاني الخارجي.</w:t>
      </w:r>
    </w:p>
    <w:p w14:paraId="1DD32233" w14:textId="77777777" w:rsidR="00E1193C" w:rsidRDefault="00000000">
      <w:pPr>
        <w:spacing w:before="240" w:after="120"/>
        <w:jc w:val="right"/>
        <w:rPr>
          <w:rFonts w:cs="Arial"/>
        </w:rPr>
      </w:pPr>
      <w:r>
        <w:rPr>
          <w:b/>
          <w:bCs/>
          <w:color w:val="B8912F"/>
        </w:rPr>
        <w:t>١.٤.٣ ابن القيم الجوزية: العدة في مدافعة الخواطر</w:t>
      </w:r>
    </w:p>
    <w:p w14:paraId="47D3AE68" w14:textId="77777777" w:rsidR="00E1193C" w:rsidRDefault="00000000">
      <w:pPr>
        <w:spacing w:after="200" w:line="320" w:lineRule="auto"/>
        <w:jc w:val="both"/>
        <w:rPr>
          <w:rFonts w:cs="Arial"/>
        </w:rPr>
      </w:pPr>
      <w:r>
        <w:rPr>
          <w:color w:val="1A1A1A"/>
        </w:rPr>
        <w:t>يقدّم ابن القيم في «الفوائد» و«إغاثة اللهفان» منهجية عملية للمدافعة تقوم على: سبق الخاطر بالنقض قبل تمكّنه، وتقوية أصل الإيمان كخط دفاع أول، والاشتغال بالعبادة كإشغالٍ إيجابي يسدّ منافذ الفراغ التي يستغلها الشيطان. وتتقاطع هذه الرؤية مع مبدأ «الإشغال المعرفي» (</w:t>
      </w:r>
      <w:proofErr w:type="spellStart"/>
      <w:r>
        <w:rPr>
          <w:color w:val="1A1A1A"/>
        </w:rPr>
        <w:t>cognitive</w:t>
      </w:r>
      <w:proofErr w:type="spellEnd"/>
      <w:r>
        <w:rPr>
          <w:color w:val="1A1A1A"/>
        </w:rPr>
        <w:t xml:space="preserve"> </w:t>
      </w:r>
      <w:proofErr w:type="spellStart"/>
      <w:r>
        <w:rPr>
          <w:color w:val="1A1A1A"/>
        </w:rPr>
        <w:t>engagement</w:t>
      </w:r>
      <w:proofErr w:type="spellEnd"/>
      <w:r>
        <w:rPr>
          <w:color w:val="1A1A1A"/>
        </w:rPr>
        <w:t>) في العلاج السلوكي المعاصر، وإن اختلف الأساس الغائي بين الرؤيتين.</w:t>
      </w:r>
    </w:p>
    <w:p w14:paraId="1ED6A83F" w14:textId="77777777" w:rsidR="00E1193C" w:rsidRDefault="00000000">
      <w:pPr>
        <w:rPr>
          <w:rFonts w:cs="Arial"/>
        </w:rPr>
      </w:pPr>
      <w:r>
        <w:br w:type="page"/>
      </w:r>
    </w:p>
    <w:p w14:paraId="2C0131E9"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٢.  الفصل الثاني: البنية النظرية متعددة التخصصات</w:t>
      </w:r>
    </w:p>
    <w:p w14:paraId="44E473E3" w14:textId="77777777" w:rsidR="00E1193C" w:rsidRDefault="00000000">
      <w:pPr>
        <w:pStyle w:val="2"/>
        <w:bidi/>
        <w:spacing w:before="320" w:after="160"/>
        <w:jc w:val="right"/>
        <w:rPr>
          <w:rFonts w:cs="Arial"/>
        </w:rPr>
      </w:pPr>
      <w:r>
        <w:rPr>
          <w:b/>
          <w:bCs/>
          <w:color w:val="0F6E6A"/>
          <w:sz w:val="30"/>
          <w:szCs w:val="30"/>
        </w:rPr>
        <w:t xml:space="preserve">٢.١ الظل </w:t>
      </w:r>
      <w:proofErr w:type="spellStart"/>
      <w:r>
        <w:rPr>
          <w:b/>
          <w:bCs/>
          <w:color w:val="0F6E6A"/>
          <w:sz w:val="30"/>
          <w:szCs w:val="30"/>
        </w:rPr>
        <w:t>اليونغي</w:t>
      </w:r>
      <w:proofErr w:type="spellEnd"/>
      <w:r>
        <w:rPr>
          <w:b/>
          <w:bCs/>
          <w:color w:val="0F6E6A"/>
          <w:sz w:val="30"/>
          <w:szCs w:val="30"/>
        </w:rPr>
        <w:t xml:space="preserve"> وآلية الوسوسة</w:t>
      </w:r>
    </w:p>
    <w:p w14:paraId="0B3EA6CE" w14:textId="77777777" w:rsidR="00E1193C" w:rsidRDefault="00000000">
      <w:pPr>
        <w:spacing w:after="200" w:line="320" w:lineRule="auto"/>
        <w:jc w:val="both"/>
        <w:rPr>
          <w:rFonts w:cs="Arial"/>
        </w:rPr>
      </w:pPr>
      <w:r>
        <w:rPr>
          <w:color w:val="1A1A1A"/>
        </w:rPr>
        <w:t>يقترح هذا البحث تعميق التوظيف السابق لمفهوم «الظل» عند كارل يونغ، بالتمييز بين الظل الفردي (</w:t>
      </w:r>
      <w:proofErr w:type="spellStart"/>
      <w:r>
        <w:rPr>
          <w:color w:val="1A1A1A"/>
        </w:rPr>
        <w:t>Personal</w:t>
      </w:r>
      <w:proofErr w:type="spellEnd"/>
      <w:r>
        <w:rPr>
          <w:color w:val="1A1A1A"/>
        </w:rPr>
        <w:t xml:space="preserve"> </w:t>
      </w:r>
      <w:proofErr w:type="spellStart"/>
      <w:r>
        <w:rPr>
          <w:color w:val="1A1A1A"/>
        </w:rPr>
        <w:t>Shadow</w:t>
      </w:r>
      <w:proofErr w:type="spellEnd"/>
      <w:r>
        <w:rPr>
          <w:color w:val="1A1A1A"/>
        </w:rPr>
        <w:t>) الناتج عن كبت الرغبات المرفوضة اجتماعيًا، والظل الجمعي (</w:t>
      </w:r>
      <w:proofErr w:type="spellStart"/>
      <w:r>
        <w:rPr>
          <w:color w:val="1A1A1A"/>
        </w:rPr>
        <w:t>Collective</w:t>
      </w:r>
      <w:proofErr w:type="spellEnd"/>
      <w:r>
        <w:rPr>
          <w:color w:val="1A1A1A"/>
        </w:rPr>
        <w:t xml:space="preserve"> </w:t>
      </w:r>
      <w:proofErr w:type="spellStart"/>
      <w:r>
        <w:rPr>
          <w:color w:val="1A1A1A"/>
        </w:rPr>
        <w:t>Shadow</w:t>
      </w:r>
      <w:proofErr w:type="spellEnd"/>
      <w:r>
        <w:rPr>
          <w:color w:val="1A1A1A"/>
        </w:rPr>
        <w:t xml:space="preserve">) المتمثل في الأنماط السلبية المشتركة بين جماعة بعينها (كالتعصب أو الاستهلاكية). ومن منظور استخلافي، لا يُنظر إلى الظل بوصفه بنية نفسية محايدة تحتاج إلى «تكامل» كما تقترح المدرسة </w:t>
      </w:r>
      <w:proofErr w:type="spellStart"/>
      <w:r>
        <w:rPr>
          <w:color w:val="1A1A1A"/>
        </w:rPr>
        <w:t>اليونغية</w:t>
      </w:r>
      <w:proofErr w:type="spellEnd"/>
      <w:r>
        <w:rPr>
          <w:color w:val="1A1A1A"/>
        </w:rPr>
        <w:t xml:space="preserve">، بل بوصفه ساحة قابلة للاختراق الشيطاني حين لا تُحكم بميزان الوحي. وبعبارة أخرى: الشيطان لا يخلق الظل، لكنه يستثمره ويؤجّجه، وهنا يكمن الفارق الجوهري بين القراءة الاستخلافية والقراءة </w:t>
      </w:r>
      <w:proofErr w:type="spellStart"/>
      <w:r>
        <w:rPr>
          <w:color w:val="1A1A1A"/>
        </w:rPr>
        <w:t>اليونغية</w:t>
      </w:r>
      <w:proofErr w:type="spellEnd"/>
      <w:r>
        <w:rPr>
          <w:color w:val="1A1A1A"/>
        </w:rPr>
        <w:t xml:space="preserve"> المحضة.</w:t>
      </w:r>
    </w:p>
    <w:p w14:paraId="7D91F06B" w14:textId="77777777" w:rsidR="00E1193C" w:rsidRDefault="00000000">
      <w:pPr>
        <w:pStyle w:val="2"/>
        <w:bidi/>
        <w:spacing w:before="320" w:after="160"/>
        <w:jc w:val="right"/>
        <w:rPr>
          <w:rFonts w:cs="Arial"/>
        </w:rPr>
      </w:pPr>
      <w:r>
        <w:rPr>
          <w:b/>
          <w:bCs/>
          <w:color w:val="0F6E6A"/>
          <w:sz w:val="30"/>
          <w:szCs w:val="30"/>
        </w:rPr>
        <w:t xml:space="preserve">٢.٢ الأنا الأعلى </w:t>
      </w:r>
      <w:proofErr w:type="spellStart"/>
      <w:r>
        <w:rPr>
          <w:b/>
          <w:bCs/>
          <w:color w:val="0F6E6A"/>
          <w:sz w:val="30"/>
          <w:szCs w:val="30"/>
        </w:rPr>
        <w:t>الفرويدية</w:t>
      </w:r>
      <w:proofErr w:type="spellEnd"/>
      <w:r>
        <w:rPr>
          <w:b/>
          <w:bCs/>
          <w:color w:val="0F6E6A"/>
          <w:sz w:val="30"/>
          <w:szCs w:val="30"/>
        </w:rPr>
        <w:t xml:space="preserve"> والرجم كطقس رمزي مضاد</w:t>
      </w:r>
    </w:p>
    <w:p w14:paraId="62C132ED" w14:textId="77777777" w:rsidR="00E1193C" w:rsidRDefault="00000000">
      <w:pPr>
        <w:spacing w:after="200" w:line="320" w:lineRule="auto"/>
        <w:jc w:val="both"/>
        <w:rPr>
          <w:rFonts w:cs="Arial"/>
        </w:rPr>
      </w:pPr>
      <w:r>
        <w:rPr>
          <w:color w:val="1A1A1A"/>
        </w:rPr>
        <w:t xml:space="preserve">من زاوية التحليل النفسي </w:t>
      </w:r>
      <w:proofErr w:type="spellStart"/>
      <w:r>
        <w:rPr>
          <w:color w:val="1A1A1A"/>
        </w:rPr>
        <w:t>الفرويدي</w:t>
      </w:r>
      <w:proofErr w:type="spellEnd"/>
      <w:r>
        <w:rPr>
          <w:color w:val="1A1A1A"/>
        </w:rPr>
        <w:t>، تُفهم شعيرة رمي الجمرات بوصفها فعلًا طقوسيًا يُعيد تنظيم العلاقة بين الأنا (</w:t>
      </w:r>
      <w:proofErr w:type="spellStart"/>
      <w:r>
        <w:rPr>
          <w:color w:val="1A1A1A"/>
        </w:rPr>
        <w:t>Ego</w:t>
      </w:r>
      <w:proofErr w:type="spellEnd"/>
      <w:r>
        <w:rPr>
          <w:color w:val="1A1A1A"/>
        </w:rPr>
        <w:t xml:space="preserve">) </w:t>
      </w:r>
      <w:proofErr w:type="spellStart"/>
      <w:r>
        <w:rPr>
          <w:color w:val="1A1A1A"/>
        </w:rPr>
        <w:t>والأنا</w:t>
      </w:r>
      <w:proofErr w:type="spellEnd"/>
      <w:r>
        <w:rPr>
          <w:color w:val="1A1A1A"/>
        </w:rPr>
        <w:t xml:space="preserve"> الأعلى (</w:t>
      </w:r>
      <w:proofErr w:type="spellStart"/>
      <w:r>
        <w:rPr>
          <w:color w:val="1A1A1A"/>
        </w:rPr>
        <w:t>Superego</w:t>
      </w:r>
      <w:proofErr w:type="spellEnd"/>
      <w:r>
        <w:rPr>
          <w:color w:val="1A1A1A"/>
        </w:rPr>
        <w:t>) عبر تجسيد خارجي محسوس لصراع داخلي مجرد. فبدلًا من أن يظل الصراع مع الوسوسة حبيس الدائرة الذهنية، يمنح الرجمُ الجسدَ فرصة «التنفيس الرمزي» (</w:t>
      </w:r>
      <w:proofErr w:type="spellStart"/>
      <w:r>
        <w:rPr>
          <w:color w:val="1A1A1A"/>
        </w:rPr>
        <w:t>symbolic</w:t>
      </w:r>
      <w:proofErr w:type="spellEnd"/>
      <w:r>
        <w:rPr>
          <w:color w:val="1A1A1A"/>
        </w:rPr>
        <w:t xml:space="preserve"> </w:t>
      </w:r>
      <w:proofErr w:type="spellStart"/>
      <w:r>
        <w:rPr>
          <w:color w:val="1A1A1A"/>
        </w:rPr>
        <w:t>catharsis</w:t>
      </w:r>
      <w:proofErr w:type="spellEnd"/>
      <w:r>
        <w:rPr>
          <w:color w:val="1A1A1A"/>
        </w:rPr>
        <w:t xml:space="preserve">) عبر فعل حركي مباشر. غير أن القراءة الاستخلافية تتجاوز التفسير </w:t>
      </w:r>
      <w:proofErr w:type="spellStart"/>
      <w:r>
        <w:rPr>
          <w:color w:val="1A1A1A"/>
        </w:rPr>
        <w:t>الفرويدي</w:t>
      </w:r>
      <w:proofErr w:type="spellEnd"/>
      <w:r>
        <w:rPr>
          <w:color w:val="1A1A1A"/>
        </w:rPr>
        <w:t xml:space="preserve"> المحض الذي يُرجع كل فعل ديني إلى آلية دفاعية نفسية، لتؤكد أن الرجم عبادة توقيفية ذات غاية تعبدية أصلية، وأن ما تكشفه العدسة التحليلية النفسية هو بُعدٌ فائدةٍ نفسية مصاحب، لا علة تشريعية للفعل ذاته.</w:t>
      </w:r>
    </w:p>
    <w:p w14:paraId="28CBAA41" w14:textId="77777777" w:rsidR="00E1193C" w:rsidRDefault="00000000">
      <w:pPr>
        <w:pStyle w:val="2"/>
        <w:bidi/>
        <w:spacing w:before="320" w:after="160"/>
        <w:jc w:val="right"/>
        <w:rPr>
          <w:rFonts w:cs="Arial"/>
        </w:rPr>
      </w:pPr>
      <w:r>
        <w:rPr>
          <w:b/>
          <w:bCs/>
          <w:color w:val="0F6E6A"/>
          <w:sz w:val="30"/>
          <w:szCs w:val="30"/>
        </w:rPr>
        <w:t>٢.٣ علم الاجتماع المعياري: الأعراف كنماذج أولية سلبية</w:t>
      </w:r>
    </w:p>
    <w:p w14:paraId="284F58A1" w14:textId="77777777" w:rsidR="00E1193C" w:rsidRDefault="00000000">
      <w:pPr>
        <w:spacing w:after="200" w:line="320" w:lineRule="auto"/>
        <w:jc w:val="both"/>
        <w:rPr>
          <w:rFonts w:cs="Arial"/>
        </w:rPr>
      </w:pPr>
      <w:r>
        <w:rPr>
          <w:color w:val="1A1A1A"/>
        </w:rPr>
        <w:t xml:space="preserve">توسّع القراءة </w:t>
      </w:r>
      <w:proofErr w:type="spellStart"/>
      <w:r>
        <w:rPr>
          <w:color w:val="1A1A1A"/>
        </w:rPr>
        <w:t>السوسيولوجية</w:t>
      </w:r>
      <w:proofErr w:type="spellEnd"/>
      <w:r>
        <w:rPr>
          <w:color w:val="1A1A1A"/>
        </w:rPr>
        <w:t xml:space="preserve"> لهذا العلم مفهوم «الأعراف المضللة» ليشمل ثلاث آليات تكرّس الوسوسة الجمعية: آلية التطبيع الاجتماعي (</w:t>
      </w:r>
      <w:proofErr w:type="spellStart"/>
      <w:r>
        <w:rPr>
          <w:color w:val="1A1A1A"/>
        </w:rPr>
        <w:t>Normalization</w:t>
      </w:r>
      <w:proofErr w:type="spellEnd"/>
      <w:r>
        <w:rPr>
          <w:color w:val="1A1A1A"/>
        </w:rPr>
        <w:t xml:space="preserve">)، حيث تتحول المعصية المتكررة إلى سلوك مقبول ضمنيًا؛ وآلية الضغط </w:t>
      </w:r>
      <w:proofErr w:type="spellStart"/>
      <w:r>
        <w:rPr>
          <w:color w:val="1A1A1A"/>
        </w:rPr>
        <w:t>القطيعي</w:t>
      </w:r>
      <w:proofErr w:type="spellEnd"/>
      <w:r>
        <w:rPr>
          <w:color w:val="1A1A1A"/>
        </w:rPr>
        <w:t xml:space="preserve"> (</w:t>
      </w:r>
      <w:proofErr w:type="spellStart"/>
      <w:r>
        <w:rPr>
          <w:color w:val="1A1A1A"/>
        </w:rPr>
        <w:t>Conformity</w:t>
      </w:r>
      <w:proofErr w:type="spellEnd"/>
      <w:r>
        <w:rPr>
          <w:color w:val="1A1A1A"/>
        </w:rPr>
        <w:t xml:space="preserve"> </w:t>
      </w:r>
      <w:proofErr w:type="spellStart"/>
      <w:r>
        <w:rPr>
          <w:color w:val="1A1A1A"/>
        </w:rPr>
        <w:t>Pressure</w:t>
      </w:r>
      <w:proofErr w:type="spellEnd"/>
      <w:r>
        <w:rPr>
          <w:color w:val="1A1A1A"/>
        </w:rPr>
        <w:t>)، حيث يخشى الفرد الخروج عن السائد ولو كان باطلًا؛ وآلية إعادة الإنتاج الثقافي (</w:t>
      </w:r>
      <w:proofErr w:type="spellStart"/>
      <w:r>
        <w:rPr>
          <w:color w:val="1A1A1A"/>
        </w:rPr>
        <w:t>Cultural</w:t>
      </w:r>
      <w:proofErr w:type="spellEnd"/>
      <w:r>
        <w:rPr>
          <w:color w:val="1A1A1A"/>
        </w:rPr>
        <w:t xml:space="preserve"> </w:t>
      </w:r>
      <w:proofErr w:type="spellStart"/>
      <w:r>
        <w:rPr>
          <w:color w:val="1A1A1A"/>
        </w:rPr>
        <w:t>Reproduction</w:t>
      </w:r>
      <w:proofErr w:type="spellEnd"/>
      <w:r>
        <w:rPr>
          <w:color w:val="1A1A1A"/>
        </w:rPr>
        <w:t xml:space="preserve">)، حيث تنتقل الأعراف المضللة عبر الأجيال دون تمحيص. ويقترح هذا البحث أن كل آلية من هذه الآليات الثلاث تحتاج إلى استراتيجية </w:t>
      </w:r>
      <w:proofErr w:type="spellStart"/>
      <w:r>
        <w:rPr>
          <w:color w:val="1A1A1A"/>
        </w:rPr>
        <w:t>تحصينية</w:t>
      </w:r>
      <w:proofErr w:type="spellEnd"/>
      <w:r>
        <w:rPr>
          <w:color w:val="1A1A1A"/>
        </w:rPr>
        <w:t xml:space="preserve"> مستقلة، لا إلى معالجة موحدة.</w:t>
      </w:r>
    </w:p>
    <w:p w14:paraId="0707EA3D" w14:textId="77777777" w:rsidR="00E1193C" w:rsidRDefault="00000000">
      <w:pPr>
        <w:pStyle w:val="2"/>
        <w:bidi/>
        <w:spacing w:before="320" w:after="160"/>
        <w:jc w:val="right"/>
        <w:rPr>
          <w:rFonts w:cs="Arial"/>
        </w:rPr>
      </w:pPr>
      <w:r>
        <w:rPr>
          <w:b/>
          <w:bCs/>
          <w:color w:val="0F6E6A"/>
          <w:sz w:val="30"/>
          <w:szCs w:val="30"/>
        </w:rPr>
        <w:t>٢.٤ البعد البيئي: الفساد في الأرض كوسوسة ممتدة</w:t>
      </w:r>
    </w:p>
    <w:p w14:paraId="55B1E027" w14:textId="77777777" w:rsidR="00E1193C" w:rsidRDefault="00000000">
      <w:pPr>
        <w:pBdr>
          <w:top w:val="single" w:sz="4" w:space="8" w:color="0F6E6A"/>
          <w:bottom w:val="single" w:sz="4" w:space="8" w:color="0F6E6A"/>
        </w:pBdr>
        <w:shd w:val="clear" w:color="auto" w:fill="EAF3F2"/>
        <w:spacing w:before="160" w:after="160"/>
        <w:jc w:val="center"/>
        <w:rPr>
          <w:rFonts w:cs="Arial"/>
        </w:rPr>
      </w:pPr>
      <w:r>
        <w:rPr>
          <w:b/>
          <w:bCs/>
          <w:color w:val="1B2A4A"/>
          <w:sz w:val="28"/>
          <w:szCs w:val="28"/>
        </w:rPr>
        <w:t>﴿ ظَهَرَ الْفَسَادُ فِي الْبَرِّ وَالْبَحْرِ بِمَا كَسَبَتْ أَيْدِي النَّاسِ ﴾</w:t>
      </w:r>
      <w:r>
        <w:rPr>
          <w:i/>
          <w:iCs/>
          <w:color w:val="0F6E6A"/>
          <w:sz w:val="22"/>
          <w:szCs w:val="22"/>
        </w:rPr>
        <w:t xml:space="preserve">  [الروم: 41]</w:t>
      </w:r>
    </w:p>
    <w:p w14:paraId="23F128A3" w14:textId="77777777" w:rsidR="00E1193C" w:rsidRDefault="00000000">
      <w:pPr>
        <w:spacing w:after="200" w:line="320" w:lineRule="auto"/>
        <w:jc w:val="both"/>
        <w:rPr>
          <w:rFonts w:cs="Arial"/>
        </w:rPr>
      </w:pPr>
      <w:r>
        <w:rPr>
          <w:color w:val="1A1A1A"/>
        </w:rPr>
        <w:t>يقترح هذا البحث قراءة الإفساد البيئي بوصفه امتدادًا موضوعيًا للوسوسة الاقتصادية حين يتحول الاستهلاك إلى غاية في ذاته بدل أن يكون وسيلة للعمارة المتوازنة. وهنا تلتقي الرؤية الاستخلافية مع بعض مقاربات علم النفس البيئي (</w:t>
      </w:r>
      <w:proofErr w:type="spellStart"/>
      <w:r>
        <w:rPr>
          <w:color w:val="1A1A1A"/>
        </w:rPr>
        <w:t>Ecopsychology</w:t>
      </w:r>
      <w:proofErr w:type="spellEnd"/>
      <w:r>
        <w:rPr>
          <w:color w:val="1A1A1A"/>
        </w:rPr>
        <w:t>) في نقد الانفصال بين الإنسان الحديث وبيئته، مع تأكيد أن الحل الاستخلافي لا يقوم على «إعادة الاتصال الروحي بالطبيعة» بما يوحي بتقديسها، بل على ضبط علاقة الاستخلاف بميزان الأمانة والمسؤولية.</w:t>
      </w:r>
    </w:p>
    <w:p w14:paraId="75B0C157" w14:textId="77777777" w:rsidR="00E1193C" w:rsidRDefault="00000000">
      <w:pPr>
        <w:rPr>
          <w:rFonts w:cs="Arial"/>
        </w:rPr>
      </w:pPr>
      <w:r>
        <w:br w:type="page"/>
      </w:r>
    </w:p>
    <w:p w14:paraId="18F6156D"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٣.  الفصل الثالث: منهجية البحث والتقييم الميداني</w:t>
      </w:r>
    </w:p>
    <w:p w14:paraId="33A0C2F3" w14:textId="77777777" w:rsidR="00E1193C" w:rsidRDefault="00000000">
      <w:pPr>
        <w:pStyle w:val="2"/>
        <w:bidi/>
        <w:spacing w:before="320" w:after="160"/>
        <w:jc w:val="right"/>
        <w:rPr>
          <w:rFonts w:cs="Arial"/>
        </w:rPr>
      </w:pPr>
      <w:r>
        <w:rPr>
          <w:b/>
          <w:bCs/>
          <w:color w:val="0F6E6A"/>
          <w:sz w:val="30"/>
          <w:szCs w:val="30"/>
        </w:rPr>
        <w:t>٣.١ الإطار النظري: منهج التفسير الموضوعي</w:t>
      </w:r>
    </w:p>
    <w:p w14:paraId="3963C1A4" w14:textId="77777777" w:rsidR="00E1193C" w:rsidRDefault="00000000">
      <w:pPr>
        <w:spacing w:after="200" w:line="320" w:lineRule="auto"/>
        <w:jc w:val="both"/>
        <w:rPr>
          <w:rFonts w:cs="Arial"/>
        </w:rPr>
      </w:pPr>
      <w:r>
        <w:rPr>
          <w:color w:val="1A1A1A"/>
        </w:rPr>
        <w:t>يعتمد البحث في تأصيله النصي منهج التفسير الموضوعي (</w:t>
      </w:r>
      <w:proofErr w:type="spellStart"/>
      <w:r>
        <w:rPr>
          <w:color w:val="1A1A1A"/>
        </w:rPr>
        <w:t>al-Tafsīr</w:t>
      </w:r>
      <w:proofErr w:type="spellEnd"/>
      <w:r>
        <w:rPr>
          <w:color w:val="1A1A1A"/>
        </w:rPr>
        <w:t xml:space="preserve"> </w:t>
      </w:r>
      <w:proofErr w:type="spellStart"/>
      <w:r>
        <w:rPr>
          <w:color w:val="1A1A1A"/>
        </w:rPr>
        <w:t>al-Mawḍūʿī</w:t>
      </w:r>
      <w:proofErr w:type="spellEnd"/>
      <w:r>
        <w:rPr>
          <w:color w:val="1A1A1A"/>
        </w:rPr>
        <w:t>) الذي يجمع الآيات المتفرقة حول موضوع الوسوسة عبر السور المكية والمدنية، ويرتبها بحسب التدرج الدلالي من التعريف بالعدو إلى بيان آلياته إلى تقديم سبل المواجهة، وذلك خلافًا للقراءة الانتقائية للآية أو الآيتين المعزولتين.</w:t>
      </w:r>
    </w:p>
    <w:p w14:paraId="4308707E" w14:textId="77777777" w:rsidR="00E1193C" w:rsidRDefault="00000000">
      <w:pPr>
        <w:pStyle w:val="2"/>
        <w:bidi/>
        <w:spacing w:before="320" w:after="160"/>
        <w:jc w:val="right"/>
        <w:rPr>
          <w:rFonts w:cs="Arial"/>
        </w:rPr>
      </w:pPr>
      <w:r>
        <w:rPr>
          <w:b/>
          <w:bCs/>
          <w:color w:val="0F6E6A"/>
          <w:sz w:val="30"/>
          <w:szCs w:val="30"/>
        </w:rPr>
        <w:t>٣.٢ البحث الميداني: تصميم دراسات الحالة والتجارب</w:t>
      </w:r>
    </w:p>
    <w:p w14:paraId="35D0694A" w14:textId="77777777" w:rsidR="00E1193C" w:rsidRDefault="00000000">
      <w:pPr>
        <w:pStyle w:val="a4"/>
        <w:numPr>
          <w:ilvl w:val="0"/>
          <w:numId w:val="2"/>
        </w:numPr>
        <w:bidi/>
        <w:spacing w:after="140" w:line="300" w:lineRule="auto"/>
        <w:jc w:val="both"/>
        <w:rPr>
          <w:rFonts w:cs="Arial"/>
        </w:rPr>
      </w:pPr>
      <w:r>
        <w:rPr>
          <w:color w:val="1A1A1A"/>
          <w:sz w:val="24"/>
          <w:szCs w:val="24"/>
        </w:rPr>
        <w:t>دراسات حالة نوعية معمّقة (</w:t>
      </w:r>
      <w:proofErr w:type="spellStart"/>
      <w:r>
        <w:rPr>
          <w:color w:val="1A1A1A"/>
          <w:sz w:val="24"/>
          <w:szCs w:val="24"/>
        </w:rPr>
        <w:t>Qualitative</w:t>
      </w:r>
      <w:proofErr w:type="spellEnd"/>
      <w:r>
        <w:rPr>
          <w:color w:val="1A1A1A"/>
          <w:sz w:val="24"/>
          <w:szCs w:val="24"/>
        </w:rPr>
        <w:t xml:space="preserve"> </w:t>
      </w:r>
      <w:proofErr w:type="spellStart"/>
      <w:r>
        <w:rPr>
          <w:color w:val="1A1A1A"/>
          <w:sz w:val="24"/>
          <w:szCs w:val="24"/>
        </w:rPr>
        <w:t>Case</w:t>
      </w:r>
      <w:proofErr w:type="spellEnd"/>
      <w:r>
        <w:rPr>
          <w:color w:val="1A1A1A"/>
          <w:sz w:val="24"/>
          <w:szCs w:val="24"/>
        </w:rPr>
        <w:t xml:space="preserve"> </w:t>
      </w:r>
      <w:proofErr w:type="spellStart"/>
      <w:r>
        <w:rPr>
          <w:color w:val="1A1A1A"/>
          <w:sz w:val="24"/>
          <w:szCs w:val="24"/>
        </w:rPr>
        <w:t>Studies</w:t>
      </w:r>
      <w:proofErr w:type="spellEnd"/>
      <w:r>
        <w:rPr>
          <w:color w:val="1A1A1A"/>
          <w:sz w:val="24"/>
          <w:szCs w:val="24"/>
        </w:rPr>
        <w:t>): تحليل مقابلات شبه منظمة مع أفراد يمرون بأنماط وسوسة محددة (اقتصادية، اجتماعية) قبل وبعد تطبيق برنامج تحصيني.</w:t>
      </w:r>
    </w:p>
    <w:p w14:paraId="17641BB8" w14:textId="77777777" w:rsidR="00E1193C" w:rsidRDefault="00000000">
      <w:pPr>
        <w:pStyle w:val="a4"/>
        <w:numPr>
          <w:ilvl w:val="0"/>
          <w:numId w:val="2"/>
        </w:numPr>
        <w:bidi/>
        <w:spacing w:after="140" w:line="300" w:lineRule="auto"/>
        <w:jc w:val="both"/>
        <w:rPr>
          <w:rFonts w:cs="Arial"/>
        </w:rPr>
      </w:pPr>
      <w:r>
        <w:rPr>
          <w:color w:val="1A1A1A"/>
          <w:sz w:val="24"/>
          <w:szCs w:val="24"/>
        </w:rPr>
        <w:t>تصميم شبه تجريبي (</w:t>
      </w:r>
      <w:proofErr w:type="spellStart"/>
      <w:r>
        <w:rPr>
          <w:color w:val="1A1A1A"/>
          <w:sz w:val="24"/>
          <w:szCs w:val="24"/>
        </w:rPr>
        <w:t>Quasi-Experimental</w:t>
      </w:r>
      <w:proofErr w:type="spellEnd"/>
      <w:r>
        <w:rPr>
          <w:color w:val="1A1A1A"/>
          <w:sz w:val="24"/>
          <w:szCs w:val="24"/>
        </w:rPr>
        <w:t xml:space="preserve"> </w:t>
      </w:r>
      <w:proofErr w:type="spellStart"/>
      <w:r>
        <w:rPr>
          <w:color w:val="1A1A1A"/>
          <w:sz w:val="24"/>
          <w:szCs w:val="24"/>
        </w:rPr>
        <w:t>Design</w:t>
      </w:r>
      <w:proofErr w:type="spellEnd"/>
      <w:r>
        <w:rPr>
          <w:color w:val="1A1A1A"/>
          <w:sz w:val="24"/>
          <w:szCs w:val="24"/>
        </w:rPr>
        <w:t>): مقارنة مجموعة تُخضع لبرنامج أذكار وتأمل منظم بمجموعة ضابطة، مع قياس مؤشرات نفسية معيارية (القلق، الشره الاستهلاكي) قبليًا وبعديًا.</w:t>
      </w:r>
    </w:p>
    <w:p w14:paraId="76882188" w14:textId="77777777" w:rsidR="00E1193C" w:rsidRDefault="00000000">
      <w:pPr>
        <w:pStyle w:val="a4"/>
        <w:numPr>
          <w:ilvl w:val="0"/>
          <w:numId w:val="2"/>
        </w:numPr>
        <w:bidi/>
        <w:spacing w:after="140" w:line="300" w:lineRule="auto"/>
        <w:jc w:val="both"/>
        <w:rPr>
          <w:rFonts w:cs="Arial"/>
        </w:rPr>
      </w:pPr>
      <w:r>
        <w:rPr>
          <w:color w:val="1A1A1A"/>
          <w:sz w:val="24"/>
          <w:szCs w:val="24"/>
        </w:rPr>
        <w:t>الدراسات الطولية (</w:t>
      </w:r>
      <w:proofErr w:type="spellStart"/>
      <w:r>
        <w:rPr>
          <w:color w:val="1A1A1A"/>
          <w:sz w:val="24"/>
          <w:szCs w:val="24"/>
        </w:rPr>
        <w:t>Longitudinal</w:t>
      </w:r>
      <w:proofErr w:type="spellEnd"/>
      <w:r>
        <w:rPr>
          <w:color w:val="1A1A1A"/>
          <w:sz w:val="24"/>
          <w:szCs w:val="24"/>
        </w:rPr>
        <w:t xml:space="preserve"> </w:t>
      </w:r>
      <w:proofErr w:type="spellStart"/>
      <w:r>
        <w:rPr>
          <w:color w:val="1A1A1A"/>
          <w:sz w:val="24"/>
          <w:szCs w:val="24"/>
        </w:rPr>
        <w:t>Studies</w:t>
      </w:r>
      <w:proofErr w:type="spellEnd"/>
      <w:r>
        <w:rPr>
          <w:color w:val="1A1A1A"/>
          <w:sz w:val="24"/>
          <w:szCs w:val="24"/>
        </w:rPr>
        <w:t>): تتبع أثر الالتزام بالشعائر على مستوى التحصين عبر فترات زمنية ممتدة، لتفادي إشكالية الأثر المؤقت.</w:t>
      </w:r>
    </w:p>
    <w:p w14:paraId="5F7B4761" w14:textId="77777777" w:rsidR="00E1193C" w:rsidRDefault="00000000">
      <w:pPr>
        <w:pStyle w:val="2"/>
        <w:bidi/>
        <w:spacing w:before="320" w:after="160"/>
        <w:jc w:val="right"/>
        <w:rPr>
          <w:rFonts w:cs="Arial"/>
        </w:rPr>
      </w:pPr>
      <w:r>
        <w:rPr>
          <w:b/>
          <w:bCs/>
          <w:color w:val="0F6E6A"/>
          <w:sz w:val="30"/>
          <w:szCs w:val="30"/>
        </w:rPr>
        <w:t>٣.٣ اعتبارات أخلاقية ومنهجية</w:t>
      </w:r>
    </w:p>
    <w:p w14:paraId="176E4083" w14:textId="77777777" w:rsidR="00E1193C" w:rsidRDefault="00000000">
      <w:pPr>
        <w:spacing w:after="200" w:line="320" w:lineRule="auto"/>
        <w:jc w:val="both"/>
        <w:rPr>
          <w:rFonts w:cs="Arial"/>
        </w:rPr>
      </w:pPr>
      <w:r>
        <w:rPr>
          <w:color w:val="1A1A1A"/>
        </w:rPr>
        <w:t>يستوجب أي تصميم تجريبي في هذا المجال مراعاة أمرين: أولًا، تجنّب اختزال الظاهرة الروحية إلى متغيرات كمية صرفة تُفقدها بعدها الغيبي؛ وثانيًا، الحذر من الخلط بين ضعف الأثر الإحصائي لبرنامج تحصيني معين وبين صحة الإطار العقدي الذي يقوم عليه، إذ إن غياب الأثر القابل للقياس لا ينفي بالضرورة الأثر الغيبي غير القابل للرصد التجريبي.</w:t>
      </w:r>
    </w:p>
    <w:p w14:paraId="7BADA71F" w14:textId="77777777" w:rsidR="00E1193C" w:rsidRDefault="00000000">
      <w:pPr>
        <w:rPr>
          <w:rFonts w:cs="Arial"/>
        </w:rPr>
      </w:pPr>
      <w:r>
        <w:br w:type="page"/>
      </w:r>
    </w:p>
    <w:p w14:paraId="4FF13FAE"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٤.  الفصل الرابع: الأقسام الخمسة للتحصين الروحي — توسيع تحليلي</w:t>
      </w:r>
    </w:p>
    <w:p w14:paraId="7524D3F1" w14:textId="77777777" w:rsidR="00E1193C" w:rsidRDefault="00000000">
      <w:pPr>
        <w:pStyle w:val="2"/>
        <w:bidi/>
        <w:spacing w:before="320" w:after="160"/>
        <w:jc w:val="right"/>
        <w:rPr>
          <w:rFonts w:cs="Arial"/>
        </w:rPr>
      </w:pPr>
      <w:r>
        <w:rPr>
          <w:b/>
          <w:bCs/>
          <w:color w:val="0F6E6A"/>
          <w:sz w:val="30"/>
          <w:szCs w:val="30"/>
        </w:rPr>
        <w:t>٤.١ تحصين النفس</w:t>
      </w:r>
    </w:p>
    <w:p w14:paraId="20E3CDAC" w14:textId="77777777" w:rsidR="00E1193C" w:rsidRDefault="00000000">
      <w:pPr>
        <w:spacing w:after="200" w:line="320" w:lineRule="auto"/>
        <w:jc w:val="both"/>
        <w:rPr>
          <w:rFonts w:cs="Arial"/>
        </w:rPr>
      </w:pPr>
      <w:r>
        <w:rPr>
          <w:color w:val="1A1A1A"/>
        </w:rPr>
        <w:t>يُعنى هذا القسم بمواجهة الوساوس ذات المنشأ الداخلي كالشك في العقيدة، والقلق الوجودي، والوسوسة القهرية في الطهارة والعبادة.</w:t>
      </w:r>
    </w:p>
    <w:p w14:paraId="5E560265" w14:textId="77777777" w:rsidR="00E1193C" w:rsidRDefault="00000000">
      <w:pPr>
        <w:spacing w:before="240" w:after="120"/>
        <w:jc w:val="right"/>
        <w:rPr>
          <w:rFonts w:cs="Arial"/>
        </w:rPr>
      </w:pPr>
      <w:r>
        <w:rPr>
          <w:b/>
          <w:bCs/>
          <w:color w:val="B8912F"/>
        </w:rPr>
        <w:t>الأساس الشرعي</w:t>
      </w:r>
    </w:p>
    <w:p w14:paraId="24A6BE66" w14:textId="77777777" w:rsidR="00E1193C" w:rsidRDefault="00000000">
      <w:pPr>
        <w:spacing w:after="200" w:line="320" w:lineRule="auto"/>
        <w:jc w:val="both"/>
        <w:rPr>
          <w:rFonts w:cs="Arial"/>
        </w:rPr>
      </w:pPr>
      <w:r>
        <w:rPr>
          <w:color w:val="1A1A1A"/>
        </w:rPr>
        <w:t>يستند إلى حديث «</w:t>
      </w:r>
      <w:proofErr w:type="spellStart"/>
      <w:r>
        <w:rPr>
          <w:color w:val="1A1A1A"/>
        </w:rPr>
        <w:t>فليستعذ</w:t>
      </w:r>
      <w:proofErr w:type="spellEnd"/>
      <w:r>
        <w:rPr>
          <w:color w:val="1A1A1A"/>
        </w:rPr>
        <w:t xml:space="preserve"> بالله ولينتهِ» بوصفه بروتوكولًا علاجيًا مختصرًا يجمع بين إجراء دفاعي (</w:t>
      </w:r>
      <w:proofErr w:type="spellStart"/>
      <w:r>
        <w:rPr>
          <w:color w:val="1A1A1A"/>
        </w:rPr>
        <w:t>الاستعاذة</w:t>
      </w:r>
      <w:proofErr w:type="spellEnd"/>
      <w:r>
        <w:rPr>
          <w:color w:val="1A1A1A"/>
        </w:rPr>
        <w:t>) وإجراء سلوكي (الانتهاء عن الاسترسال في الاستجابة للوسواس).</w:t>
      </w:r>
    </w:p>
    <w:p w14:paraId="2BE32380" w14:textId="77777777" w:rsidR="00E1193C" w:rsidRDefault="00000000">
      <w:pPr>
        <w:spacing w:before="240" w:after="120"/>
        <w:jc w:val="right"/>
        <w:rPr>
          <w:rFonts w:cs="Arial"/>
        </w:rPr>
      </w:pPr>
      <w:r>
        <w:rPr>
          <w:b/>
          <w:bCs/>
          <w:color w:val="B8912F"/>
        </w:rPr>
        <w:t>التقاطع مع العلوم الحديثة</w:t>
      </w:r>
    </w:p>
    <w:p w14:paraId="43D5B42D" w14:textId="77777777" w:rsidR="00E1193C" w:rsidRDefault="00000000">
      <w:pPr>
        <w:spacing w:after="200" w:line="320" w:lineRule="auto"/>
        <w:jc w:val="both"/>
        <w:rPr>
          <w:rFonts w:cs="Arial"/>
        </w:rPr>
      </w:pPr>
      <w:r>
        <w:rPr>
          <w:color w:val="1A1A1A"/>
        </w:rPr>
        <w:t>يوازي هذا الأسلوبَ النبويَّ ما يُعرف في العلاج المعرفي السلوكي بتقنية 'وقف الفكرة' (</w:t>
      </w:r>
      <w:proofErr w:type="spellStart"/>
      <w:r>
        <w:rPr>
          <w:color w:val="1A1A1A"/>
        </w:rPr>
        <w:t>Thought</w:t>
      </w:r>
      <w:proofErr w:type="spellEnd"/>
      <w:r>
        <w:rPr>
          <w:color w:val="1A1A1A"/>
        </w:rPr>
        <w:t xml:space="preserve"> </w:t>
      </w:r>
      <w:proofErr w:type="spellStart"/>
      <w:r>
        <w:rPr>
          <w:color w:val="1A1A1A"/>
        </w:rPr>
        <w:t>Stopping</w:t>
      </w:r>
      <w:proofErr w:type="spellEnd"/>
      <w:r>
        <w:rPr>
          <w:color w:val="1A1A1A"/>
        </w:rPr>
        <w:t xml:space="preserve">) وتقنيات التعرض ومنع الاستجابة (ERP) المستخدمة في اضطراب الوسواس القهري، مع فارق جوهري هو استبدال آلية الاستبدال المحايدة بآلية </w:t>
      </w:r>
      <w:proofErr w:type="spellStart"/>
      <w:r>
        <w:rPr>
          <w:color w:val="1A1A1A"/>
        </w:rPr>
        <w:t>الاستعاذة</w:t>
      </w:r>
      <w:proofErr w:type="spellEnd"/>
      <w:r>
        <w:rPr>
          <w:color w:val="1A1A1A"/>
        </w:rPr>
        <w:t xml:space="preserve"> العقدية.</w:t>
      </w:r>
    </w:p>
    <w:p w14:paraId="786DF18B" w14:textId="77777777" w:rsidR="00E1193C" w:rsidRDefault="00000000">
      <w:pPr>
        <w:spacing w:before="240" w:after="120"/>
        <w:jc w:val="right"/>
        <w:rPr>
          <w:rFonts w:cs="Arial"/>
        </w:rPr>
      </w:pPr>
      <w:r>
        <w:rPr>
          <w:b/>
          <w:bCs/>
          <w:color w:val="B8912F"/>
        </w:rPr>
        <w:t>أدوات تطبيقية مقترحة</w:t>
      </w:r>
    </w:p>
    <w:p w14:paraId="2CD8617A" w14:textId="77777777" w:rsidR="00E1193C" w:rsidRDefault="00000000">
      <w:pPr>
        <w:spacing w:after="200" w:line="320" w:lineRule="auto"/>
        <w:jc w:val="both"/>
        <w:rPr>
          <w:rFonts w:cs="Arial"/>
        </w:rPr>
      </w:pPr>
      <w:r>
        <w:rPr>
          <w:color w:val="1A1A1A"/>
        </w:rPr>
        <w:t xml:space="preserve">بروتوكول عملي مقترح: تسمية الخاطر فور وروده، </w:t>
      </w:r>
      <w:proofErr w:type="spellStart"/>
      <w:r>
        <w:rPr>
          <w:color w:val="1A1A1A"/>
        </w:rPr>
        <w:t>الاستعاذة</w:t>
      </w:r>
      <w:proofErr w:type="spellEnd"/>
      <w:r>
        <w:rPr>
          <w:color w:val="1A1A1A"/>
        </w:rPr>
        <w:t xml:space="preserve"> الفورية، عدم الاسترسال في الجدل الذهني معه، الانشغال بفعل عبادي أو حركي بديل.</w:t>
      </w:r>
    </w:p>
    <w:p w14:paraId="04204217" w14:textId="77777777" w:rsidR="00E1193C" w:rsidRDefault="00000000">
      <w:pPr>
        <w:pStyle w:val="2"/>
        <w:bidi/>
        <w:spacing w:before="320" w:after="160"/>
        <w:jc w:val="right"/>
        <w:rPr>
          <w:rFonts w:cs="Arial"/>
        </w:rPr>
      </w:pPr>
      <w:r>
        <w:rPr>
          <w:b/>
          <w:bCs/>
          <w:color w:val="0F6E6A"/>
          <w:sz w:val="30"/>
          <w:szCs w:val="30"/>
        </w:rPr>
        <w:t>٤.٢ تحصين المجتمع</w:t>
      </w:r>
    </w:p>
    <w:p w14:paraId="64942BBE" w14:textId="77777777" w:rsidR="00E1193C" w:rsidRDefault="00000000">
      <w:pPr>
        <w:spacing w:after="200" w:line="320" w:lineRule="auto"/>
        <w:jc w:val="both"/>
        <w:rPr>
          <w:rFonts w:cs="Arial"/>
        </w:rPr>
      </w:pPr>
      <w:r>
        <w:rPr>
          <w:color w:val="1A1A1A"/>
        </w:rPr>
        <w:t>يتناول الوساوس ذات المنشأ العلائقي كالحسد والتعصب والقطيعة الاجتماعية.</w:t>
      </w:r>
    </w:p>
    <w:p w14:paraId="235F0B7D" w14:textId="77777777" w:rsidR="00E1193C" w:rsidRDefault="00000000">
      <w:pPr>
        <w:spacing w:before="240" w:after="120"/>
        <w:jc w:val="right"/>
        <w:rPr>
          <w:rFonts w:cs="Arial"/>
        </w:rPr>
      </w:pPr>
      <w:r>
        <w:rPr>
          <w:b/>
          <w:bCs/>
          <w:color w:val="B8912F"/>
        </w:rPr>
        <w:t>الأساس الشرعي</w:t>
      </w:r>
    </w:p>
    <w:p w14:paraId="104890BB" w14:textId="77777777" w:rsidR="00E1193C" w:rsidRDefault="00000000">
      <w:pPr>
        <w:spacing w:after="200" w:line="320" w:lineRule="auto"/>
        <w:jc w:val="both"/>
        <w:rPr>
          <w:rFonts w:cs="Arial"/>
        </w:rPr>
      </w:pPr>
      <w:r>
        <w:rPr>
          <w:color w:val="1A1A1A"/>
        </w:rPr>
        <w:t>يرتكز على منظومة الأخوة الإيمانية ومقاصد حفظ الروابط الاجتماعية كصمام أمان ضد استثمار الشيطان للخلافات الفردية في تفكيك النسيج الجماعي.</w:t>
      </w:r>
    </w:p>
    <w:p w14:paraId="4AE51300" w14:textId="77777777" w:rsidR="00E1193C" w:rsidRDefault="00000000">
      <w:pPr>
        <w:spacing w:before="240" w:after="120"/>
        <w:jc w:val="right"/>
        <w:rPr>
          <w:rFonts w:cs="Arial"/>
        </w:rPr>
      </w:pPr>
      <w:r>
        <w:rPr>
          <w:b/>
          <w:bCs/>
          <w:color w:val="B8912F"/>
        </w:rPr>
        <w:t>التقاطع مع العلوم الحديثة</w:t>
      </w:r>
    </w:p>
    <w:p w14:paraId="5116C243" w14:textId="77777777" w:rsidR="00E1193C" w:rsidRDefault="00000000">
      <w:pPr>
        <w:spacing w:after="200" w:line="320" w:lineRule="auto"/>
        <w:jc w:val="both"/>
        <w:rPr>
          <w:rFonts w:cs="Arial"/>
        </w:rPr>
      </w:pPr>
      <w:r>
        <w:rPr>
          <w:color w:val="1A1A1A"/>
        </w:rPr>
        <w:t>تلتقي هذه الرؤية مع نظرية 'الهوية الاجتماعية' (</w:t>
      </w:r>
      <w:proofErr w:type="spellStart"/>
      <w:r>
        <w:rPr>
          <w:color w:val="1A1A1A"/>
        </w:rPr>
        <w:t>Social</w:t>
      </w:r>
      <w:proofErr w:type="spellEnd"/>
      <w:r>
        <w:rPr>
          <w:color w:val="1A1A1A"/>
        </w:rPr>
        <w:t xml:space="preserve"> </w:t>
      </w:r>
      <w:proofErr w:type="spellStart"/>
      <w:r>
        <w:rPr>
          <w:color w:val="1A1A1A"/>
        </w:rPr>
        <w:t>Identity</w:t>
      </w:r>
      <w:proofErr w:type="spellEnd"/>
      <w:r>
        <w:rPr>
          <w:color w:val="1A1A1A"/>
        </w:rPr>
        <w:t xml:space="preserve"> </w:t>
      </w:r>
      <w:proofErr w:type="spellStart"/>
      <w:r>
        <w:rPr>
          <w:color w:val="1A1A1A"/>
        </w:rPr>
        <w:t>Theory</w:t>
      </w:r>
      <w:proofErr w:type="spellEnd"/>
      <w:r>
        <w:rPr>
          <w:color w:val="1A1A1A"/>
        </w:rPr>
        <w:t>) في تفسير كيف تتحول الاختلافات الطبيعية بين الجماعات إلى عداوات متأصلة عند غياب إطار جامع أعلى من الهويات الفرعية.</w:t>
      </w:r>
    </w:p>
    <w:p w14:paraId="71276751" w14:textId="77777777" w:rsidR="00E1193C" w:rsidRDefault="00000000">
      <w:pPr>
        <w:spacing w:before="240" w:after="120"/>
        <w:jc w:val="right"/>
        <w:rPr>
          <w:rFonts w:cs="Arial"/>
        </w:rPr>
      </w:pPr>
      <w:r>
        <w:rPr>
          <w:b/>
          <w:bCs/>
          <w:color w:val="B8912F"/>
        </w:rPr>
        <w:t>أدوات تطبيقية مقترحة</w:t>
      </w:r>
    </w:p>
    <w:p w14:paraId="0FB38C9C" w14:textId="77777777" w:rsidR="00E1193C" w:rsidRDefault="00000000">
      <w:pPr>
        <w:spacing w:after="200" w:line="320" w:lineRule="auto"/>
        <w:jc w:val="both"/>
        <w:rPr>
          <w:rFonts w:cs="Arial"/>
        </w:rPr>
      </w:pPr>
      <w:r>
        <w:rPr>
          <w:color w:val="1A1A1A"/>
        </w:rPr>
        <w:t>آليات مقترحة: مجالس الصلح الدوري، برامج تفريغ الشحنة الانفعالية الجماعية عبر الأنشطة التعاونية، تدريب على الحوار غير العدائي.</w:t>
      </w:r>
    </w:p>
    <w:p w14:paraId="7625EBA6" w14:textId="77777777" w:rsidR="00E1193C" w:rsidRDefault="00000000">
      <w:pPr>
        <w:pStyle w:val="2"/>
        <w:bidi/>
        <w:spacing w:before="320" w:after="160"/>
        <w:jc w:val="right"/>
        <w:rPr>
          <w:rFonts w:cs="Arial"/>
        </w:rPr>
      </w:pPr>
      <w:r>
        <w:rPr>
          <w:b/>
          <w:bCs/>
          <w:color w:val="0F6E6A"/>
          <w:sz w:val="30"/>
          <w:szCs w:val="30"/>
        </w:rPr>
        <w:t>٤.٣ تحصين الثقافة</w:t>
      </w:r>
    </w:p>
    <w:p w14:paraId="27CE3B3D" w14:textId="77777777" w:rsidR="00E1193C" w:rsidRDefault="00000000">
      <w:pPr>
        <w:spacing w:after="200" w:line="320" w:lineRule="auto"/>
        <w:jc w:val="both"/>
        <w:rPr>
          <w:rFonts w:cs="Arial"/>
        </w:rPr>
      </w:pPr>
      <w:r>
        <w:rPr>
          <w:color w:val="1A1A1A"/>
        </w:rPr>
        <w:t>يتناول الوساوس ذات المنشأ الرمزي كتقديس الشهرة والمظهر والخرافة.</w:t>
      </w:r>
    </w:p>
    <w:p w14:paraId="2DC35745" w14:textId="77777777" w:rsidR="00E1193C" w:rsidRDefault="00000000">
      <w:pPr>
        <w:spacing w:before="240" w:after="120"/>
        <w:jc w:val="right"/>
        <w:rPr>
          <w:rFonts w:cs="Arial"/>
        </w:rPr>
      </w:pPr>
      <w:r>
        <w:rPr>
          <w:b/>
          <w:bCs/>
          <w:color w:val="B8912F"/>
        </w:rPr>
        <w:t>الأساس الشرعي</w:t>
      </w:r>
    </w:p>
    <w:p w14:paraId="39F7D02D" w14:textId="77777777" w:rsidR="00E1193C" w:rsidRDefault="00000000">
      <w:pPr>
        <w:spacing w:after="200" w:line="320" w:lineRule="auto"/>
        <w:jc w:val="both"/>
        <w:rPr>
          <w:rFonts w:cs="Arial"/>
        </w:rPr>
      </w:pPr>
      <w:r>
        <w:rPr>
          <w:color w:val="1A1A1A"/>
        </w:rPr>
        <w:t>يستحضر مفهوم الشرك الأصغر (كالرياء) بوصفه إطارًا تحليليًا لكل صورة من صور 'التقديس المُقنَّع' في الثقافة المعاصرة.</w:t>
      </w:r>
    </w:p>
    <w:p w14:paraId="72FA2D94" w14:textId="77777777" w:rsidR="00E1193C" w:rsidRDefault="00000000">
      <w:pPr>
        <w:spacing w:before="240" w:after="120"/>
        <w:jc w:val="right"/>
        <w:rPr>
          <w:rFonts w:cs="Arial"/>
        </w:rPr>
      </w:pPr>
      <w:r>
        <w:rPr>
          <w:b/>
          <w:bCs/>
          <w:color w:val="B8912F"/>
        </w:rPr>
        <w:t>التقاطع مع العلوم الحديثة</w:t>
      </w:r>
    </w:p>
    <w:p w14:paraId="02B381CD" w14:textId="77777777" w:rsidR="00E1193C" w:rsidRDefault="00000000">
      <w:pPr>
        <w:spacing w:after="200" w:line="320" w:lineRule="auto"/>
        <w:jc w:val="both"/>
        <w:rPr>
          <w:rFonts w:cs="Arial"/>
        </w:rPr>
      </w:pPr>
      <w:r>
        <w:rPr>
          <w:color w:val="1A1A1A"/>
        </w:rPr>
        <w:t>يتقاطع هذا مع مفهوم 'الاستهلاك الرمزي' (</w:t>
      </w:r>
      <w:proofErr w:type="spellStart"/>
      <w:r>
        <w:rPr>
          <w:color w:val="1A1A1A"/>
        </w:rPr>
        <w:t>Symbolic</w:t>
      </w:r>
      <w:proofErr w:type="spellEnd"/>
      <w:r>
        <w:rPr>
          <w:color w:val="1A1A1A"/>
        </w:rPr>
        <w:t xml:space="preserve"> </w:t>
      </w:r>
      <w:proofErr w:type="spellStart"/>
      <w:r>
        <w:rPr>
          <w:color w:val="1A1A1A"/>
        </w:rPr>
        <w:t>Consumption</w:t>
      </w:r>
      <w:proofErr w:type="spellEnd"/>
      <w:r>
        <w:rPr>
          <w:color w:val="1A1A1A"/>
        </w:rPr>
        <w:t>) في علم الاجتماع الثقافي، حيث تصبح الممتلكات والمظاهر أدوات لبناء الهوية بدل أن تكون وسائل نفعية محضة.</w:t>
      </w:r>
    </w:p>
    <w:p w14:paraId="3B8752B1" w14:textId="77777777" w:rsidR="00E1193C" w:rsidRDefault="00000000">
      <w:pPr>
        <w:spacing w:before="240" w:after="120"/>
        <w:jc w:val="right"/>
        <w:rPr>
          <w:rFonts w:cs="Arial"/>
        </w:rPr>
      </w:pPr>
      <w:r>
        <w:rPr>
          <w:b/>
          <w:bCs/>
          <w:color w:val="B8912F"/>
        </w:rPr>
        <w:t>أدوات تطبيقية مقترحة</w:t>
      </w:r>
    </w:p>
    <w:p w14:paraId="517C1323" w14:textId="77777777" w:rsidR="00E1193C" w:rsidRDefault="00000000">
      <w:pPr>
        <w:spacing w:after="200" w:line="320" w:lineRule="auto"/>
        <w:jc w:val="both"/>
        <w:rPr>
          <w:rFonts w:cs="Arial"/>
        </w:rPr>
      </w:pPr>
      <w:r>
        <w:rPr>
          <w:color w:val="1A1A1A"/>
        </w:rPr>
        <w:t>آليات مقترحة: برامج محو الأمية الإعلامية النقدية، ورش تفكيك الخطاب الاستهلاكي، تعزيز نماذج بديلة للنجاح غير مرتبطة بالمظهر.</w:t>
      </w:r>
    </w:p>
    <w:p w14:paraId="1FF71775" w14:textId="77777777" w:rsidR="00E1193C" w:rsidRDefault="00000000">
      <w:pPr>
        <w:pStyle w:val="2"/>
        <w:bidi/>
        <w:spacing w:before="320" w:after="160"/>
        <w:jc w:val="right"/>
        <w:rPr>
          <w:rFonts w:cs="Arial"/>
        </w:rPr>
      </w:pPr>
      <w:r>
        <w:rPr>
          <w:b/>
          <w:bCs/>
          <w:color w:val="0F6E6A"/>
          <w:sz w:val="30"/>
          <w:szCs w:val="30"/>
        </w:rPr>
        <w:t>٤.٤ تحصين الاقتصاد</w:t>
      </w:r>
    </w:p>
    <w:p w14:paraId="654BB300" w14:textId="77777777" w:rsidR="00E1193C" w:rsidRDefault="00000000">
      <w:pPr>
        <w:spacing w:after="200" w:line="320" w:lineRule="auto"/>
        <w:jc w:val="both"/>
        <w:rPr>
          <w:rFonts w:cs="Arial"/>
        </w:rPr>
      </w:pPr>
      <w:r>
        <w:rPr>
          <w:color w:val="1A1A1A"/>
        </w:rPr>
        <w:t>يتناول الوساوس ذات المنشأ المادي كالطمع، والخوف من الفقر، والربا.</w:t>
      </w:r>
    </w:p>
    <w:p w14:paraId="241EFC7D" w14:textId="77777777" w:rsidR="00E1193C" w:rsidRDefault="00000000">
      <w:pPr>
        <w:spacing w:before="240" w:after="120"/>
        <w:jc w:val="right"/>
        <w:rPr>
          <w:rFonts w:cs="Arial"/>
        </w:rPr>
      </w:pPr>
      <w:r>
        <w:rPr>
          <w:b/>
          <w:bCs/>
          <w:color w:val="B8912F"/>
        </w:rPr>
        <w:t>الأساس الشرعي</w:t>
      </w:r>
    </w:p>
    <w:p w14:paraId="53C91A0E" w14:textId="77777777" w:rsidR="00E1193C" w:rsidRDefault="00000000">
      <w:pPr>
        <w:spacing w:after="200" w:line="320" w:lineRule="auto"/>
        <w:jc w:val="both"/>
        <w:rPr>
          <w:rFonts w:cs="Arial"/>
        </w:rPr>
      </w:pPr>
      <w:r>
        <w:rPr>
          <w:color w:val="1A1A1A"/>
        </w:rPr>
        <w:t xml:space="preserve">يستند مباشرة إلى آية 'الشيطان يعدكم الفقر' بوصفها تفسيرًا </w:t>
      </w:r>
      <w:proofErr w:type="spellStart"/>
      <w:r>
        <w:rPr>
          <w:color w:val="1A1A1A"/>
        </w:rPr>
        <w:t>وحيانيًا</w:t>
      </w:r>
      <w:proofErr w:type="spellEnd"/>
      <w:r>
        <w:rPr>
          <w:color w:val="1A1A1A"/>
        </w:rPr>
        <w:t xml:space="preserve"> مباشرًا لعلاقة الخوف الاقتصادي غير المبرر بالفعل الشيطاني.</w:t>
      </w:r>
    </w:p>
    <w:p w14:paraId="64F97256" w14:textId="77777777" w:rsidR="00E1193C" w:rsidRDefault="00000000">
      <w:pPr>
        <w:spacing w:before="240" w:after="120"/>
        <w:jc w:val="right"/>
        <w:rPr>
          <w:rFonts w:cs="Arial"/>
        </w:rPr>
      </w:pPr>
      <w:r>
        <w:rPr>
          <w:b/>
          <w:bCs/>
          <w:color w:val="B8912F"/>
        </w:rPr>
        <w:t>التقاطع مع العلوم الحديثة</w:t>
      </w:r>
    </w:p>
    <w:p w14:paraId="50A4329F" w14:textId="77777777" w:rsidR="00E1193C" w:rsidRDefault="00000000">
      <w:pPr>
        <w:spacing w:after="200" w:line="320" w:lineRule="auto"/>
        <w:jc w:val="both"/>
        <w:rPr>
          <w:rFonts w:cs="Arial"/>
        </w:rPr>
      </w:pPr>
      <w:r>
        <w:rPr>
          <w:color w:val="1A1A1A"/>
        </w:rPr>
        <w:t>يتقاطع مع نظرية 'ندرة الموارد المتصورة' (</w:t>
      </w:r>
      <w:proofErr w:type="spellStart"/>
      <w:r>
        <w:rPr>
          <w:color w:val="1A1A1A"/>
        </w:rPr>
        <w:t>Scarcity</w:t>
      </w:r>
      <w:proofErr w:type="spellEnd"/>
      <w:r>
        <w:rPr>
          <w:color w:val="1A1A1A"/>
        </w:rPr>
        <w:t xml:space="preserve"> </w:t>
      </w:r>
      <w:proofErr w:type="spellStart"/>
      <w:r>
        <w:rPr>
          <w:color w:val="1A1A1A"/>
        </w:rPr>
        <w:t>Mindset</w:t>
      </w:r>
      <w:proofErr w:type="spellEnd"/>
      <w:r>
        <w:rPr>
          <w:color w:val="1A1A1A"/>
        </w:rPr>
        <w:t>) في الاقتصاد السلوكي، التي تُظهر كيف يضيّق الخوف الدائم من الفقر مجال القرار العقلاني ويدفع نحو قرارات قصيرة المدى مضرة.</w:t>
      </w:r>
    </w:p>
    <w:p w14:paraId="4636CE62" w14:textId="77777777" w:rsidR="00E1193C" w:rsidRDefault="00000000">
      <w:pPr>
        <w:spacing w:before="240" w:after="120"/>
        <w:jc w:val="right"/>
        <w:rPr>
          <w:rFonts w:cs="Arial"/>
        </w:rPr>
      </w:pPr>
      <w:r>
        <w:rPr>
          <w:b/>
          <w:bCs/>
          <w:color w:val="B8912F"/>
        </w:rPr>
        <w:t>أدوات تطبيقية مقترحة</w:t>
      </w:r>
    </w:p>
    <w:p w14:paraId="3F987086" w14:textId="77777777" w:rsidR="00E1193C" w:rsidRDefault="00000000">
      <w:pPr>
        <w:spacing w:after="200" w:line="320" w:lineRule="auto"/>
        <w:jc w:val="both"/>
        <w:rPr>
          <w:rFonts w:cs="Arial"/>
        </w:rPr>
      </w:pPr>
      <w:r>
        <w:rPr>
          <w:color w:val="1A1A1A"/>
        </w:rPr>
        <w:t>آليات مقترحة: برامج تربية القناعة، تعزيز آليات الزكاة والوقف كضمانات اجتماعية تُطمئن القلب، تدريب على التخطيط المالي القائم على التوكل لا الجزع.</w:t>
      </w:r>
    </w:p>
    <w:p w14:paraId="5621A63C" w14:textId="77777777" w:rsidR="00E1193C" w:rsidRDefault="00000000">
      <w:pPr>
        <w:pStyle w:val="2"/>
        <w:bidi/>
        <w:spacing w:before="320" w:after="160"/>
        <w:jc w:val="right"/>
        <w:rPr>
          <w:rFonts w:cs="Arial"/>
        </w:rPr>
      </w:pPr>
      <w:r>
        <w:rPr>
          <w:b/>
          <w:bCs/>
          <w:color w:val="0F6E6A"/>
          <w:sz w:val="30"/>
          <w:szCs w:val="30"/>
        </w:rPr>
        <w:t>٤.٥ تحصين البيئة</w:t>
      </w:r>
    </w:p>
    <w:p w14:paraId="63F338AA" w14:textId="77777777" w:rsidR="00E1193C" w:rsidRDefault="00000000">
      <w:pPr>
        <w:spacing w:after="200" w:line="320" w:lineRule="auto"/>
        <w:jc w:val="both"/>
        <w:rPr>
          <w:rFonts w:cs="Arial"/>
        </w:rPr>
      </w:pPr>
      <w:r>
        <w:rPr>
          <w:color w:val="1A1A1A"/>
        </w:rPr>
        <w:t>يتناول الوساوس المرتبطة بالإسراف والإهمال البيئي بوصفهما خللًا في وظيفة الاستخلاف.</w:t>
      </w:r>
    </w:p>
    <w:p w14:paraId="04D1CF0B" w14:textId="77777777" w:rsidR="00E1193C" w:rsidRDefault="00000000">
      <w:pPr>
        <w:spacing w:before="240" w:after="120"/>
        <w:jc w:val="right"/>
        <w:rPr>
          <w:rFonts w:cs="Arial"/>
        </w:rPr>
      </w:pPr>
      <w:r>
        <w:rPr>
          <w:b/>
          <w:bCs/>
          <w:color w:val="B8912F"/>
        </w:rPr>
        <w:t>الأساس الشرعي</w:t>
      </w:r>
    </w:p>
    <w:p w14:paraId="00008116" w14:textId="77777777" w:rsidR="00E1193C" w:rsidRDefault="00000000">
      <w:pPr>
        <w:spacing w:after="200" w:line="320" w:lineRule="auto"/>
        <w:jc w:val="both"/>
        <w:rPr>
          <w:rFonts w:cs="Arial"/>
        </w:rPr>
      </w:pPr>
      <w:r>
        <w:rPr>
          <w:color w:val="1A1A1A"/>
        </w:rPr>
        <w:t>يرتكز على مقصد عمارة الأرض دون إفساد كإطار مقاصدي حاكم لكل استهلاك للموارد.</w:t>
      </w:r>
    </w:p>
    <w:p w14:paraId="2E64E34A" w14:textId="77777777" w:rsidR="00E1193C" w:rsidRDefault="00000000">
      <w:pPr>
        <w:spacing w:before="240" w:after="120"/>
        <w:jc w:val="right"/>
        <w:rPr>
          <w:rFonts w:cs="Arial"/>
        </w:rPr>
      </w:pPr>
      <w:r>
        <w:rPr>
          <w:b/>
          <w:bCs/>
          <w:color w:val="B8912F"/>
        </w:rPr>
        <w:t>التقاطع مع العلوم الحديثة</w:t>
      </w:r>
    </w:p>
    <w:p w14:paraId="6F704D7F" w14:textId="77777777" w:rsidR="00E1193C" w:rsidRDefault="00000000">
      <w:pPr>
        <w:spacing w:after="200" w:line="320" w:lineRule="auto"/>
        <w:jc w:val="both"/>
        <w:rPr>
          <w:rFonts w:cs="Arial"/>
        </w:rPr>
      </w:pPr>
      <w:r>
        <w:rPr>
          <w:color w:val="1A1A1A"/>
        </w:rPr>
        <w:t>يتقاطع مع أدبيات 'علم النفس البيئي' في تفسير الانفصال الإدراكي (</w:t>
      </w:r>
      <w:proofErr w:type="spellStart"/>
      <w:r>
        <w:rPr>
          <w:color w:val="1A1A1A"/>
        </w:rPr>
        <w:t>Cognitive</w:t>
      </w:r>
      <w:proofErr w:type="spellEnd"/>
      <w:r>
        <w:rPr>
          <w:color w:val="1A1A1A"/>
        </w:rPr>
        <w:t xml:space="preserve"> </w:t>
      </w:r>
      <w:proofErr w:type="spellStart"/>
      <w:r>
        <w:rPr>
          <w:color w:val="1A1A1A"/>
        </w:rPr>
        <w:t>Dissonance</w:t>
      </w:r>
      <w:proofErr w:type="spellEnd"/>
      <w:r>
        <w:rPr>
          <w:color w:val="1A1A1A"/>
        </w:rPr>
        <w:t>) بين معرفة الفرد بضرر سلوكه الاستهلاكي واستمراره فيه، وهو انفصال تُستثمر فيه الوسوسة لتبرير الاستمرار.</w:t>
      </w:r>
    </w:p>
    <w:p w14:paraId="4259F0EE" w14:textId="77777777" w:rsidR="00E1193C" w:rsidRDefault="00000000">
      <w:pPr>
        <w:spacing w:before="240" w:after="120"/>
        <w:jc w:val="right"/>
        <w:rPr>
          <w:rFonts w:cs="Arial"/>
        </w:rPr>
      </w:pPr>
      <w:r>
        <w:rPr>
          <w:b/>
          <w:bCs/>
          <w:color w:val="B8912F"/>
        </w:rPr>
        <w:t>أدوات تطبيقية مقترحة</w:t>
      </w:r>
    </w:p>
    <w:p w14:paraId="0F7CB49A" w14:textId="77777777" w:rsidR="00E1193C" w:rsidRDefault="00000000">
      <w:pPr>
        <w:spacing w:after="200" w:line="320" w:lineRule="auto"/>
        <w:jc w:val="both"/>
        <w:rPr>
          <w:rFonts w:cs="Arial"/>
        </w:rPr>
      </w:pPr>
      <w:r>
        <w:rPr>
          <w:color w:val="1A1A1A"/>
        </w:rPr>
        <w:t xml:space="preserve">آليات مقترحة: حملات تشجير مرتبطة بالمناسبات التعبدية، برامج تعليمية تربط الاستدامة بالمسؤولية </w:t>
      </w:r>
      <w:proofErr w:type="spellStart"/>
      <w:r>
        <w:rPr>
          <w:color w:val="1A1A1A"/>
        </w:rPr>
        <w:t>الأخروية</w:t>
      </w:r>
      <w:proofErr w:type="spellEnd"/>
      <w:r>
        <w:rPr>
          <w:color w:val="1A1A1A"/>
        </w:rPr>
        <w:t xml:space="preserve"> لا بالمنفعة الدنيوية فقط.</w:t>
      </w:r>
    </w:p>
    <w:p w14:paraId="3E293F21" w14:textId="77777777" w:rsidR="00E1193C" w:rsidRDefault="00000000">
      <w:pPr>
        <w:rPr>
          <w:rFonts w:cs="Arial"/>
        </w:rPr>
      </w:pPr>
      <w:r>
        <w:br w:type="page"/>
      </w:r>
    </w:p>
    <w:p w14:paraId="4F679DE5"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 xml:space="preserve">٥.  الفصل الخامس: التطبيقات المؤسسية </w:t>
      </w:r>
      <w:proofErr w:type="spellStart"/>
      <w:r>
        <w:rPr>
          <w:b/>
          <w:bCs/>
          <w:color w:val="1B2A4A"/>
          <w:sz w:val="36"/>
          <w:szCs w:val="36"/>
        </w:rPr>
        <w:t>والسياساتية</w:t>
      </w:r>
      <w:proofErr w:type="spellEnd"/>
    </w:p>
    <w:p w14:paraId="552129EA" w14:textId="77777777" w:rsidR="00E1193C" w:rsidRDefault="00000000">
      <w:pPr>
        <w:pStyle w:val="2"/>
        <w:bidi/>
        <w:spacing w:before="320" w:after="160"/>
        <w:jc w:val="right"/>
        <w:rPr>
          <w:rFonts w:cs="Arial"/>
        </w:rPr>
      </w:pPr>
      <w:r>
        <w:rPr>
          <w:b/>
          <w:bCs/>
          <w:color w:val="0F6E6A"/>
          <w:sz w:val="30"/>
          <w:szCs w:val="30"/>
        </w:rPr>
        <w:t>٥.١ المستوى الفردي والإرشادي</w:t>
      </w:r>
    </w:p>
    <w:p w14:paraId="7451DA09" w14:textId="77777777" w:rsidR="00E1193C" w:rsidRDefault="00000000">
      <w:pPr>
        <w:spacing w:after="200" w:line="320" w:lineRule="auto"/>
        <w:jc w:val="both"/>
        <w:rPr>
          <w:rFonts w:cs="Arial"/>
        </w:rPr>
      </w:pPr>
      <w:r>
        <w:rPr>
          <w:color w:val="1A1A1A"/>
        </w:rPr>
        <w:t>تطوير بروتوكولات إرشاد فردي قصيرة المدى (٦-٨ جلسات) تدمج التقنيات المذكورة في تحصين النفس مع أدوات التقييم الذاتي الدوري.</w:t>
      </w:r>
    </w:p>
    <w:p w14:paraId="032677EB" w14:textId="77777777" w:rsidR="00E1193C" w:rsidRDefault="00000000">
      <w:pPr>
        <w:pStyle w:val="2"/>
        <w:bidi/>
        <w:spacing w:before="320" w:after="160"/>
        <w:jc w:val="right"/>
        <w:rPr>
          <w:rFonts w:cs="Arial"/>
        </w:rPr>
      </w:pPr>
      <w:r>
        <w:rPr>
          <w:b/>
          <w:bCs/>
          <w:color w:val="0F6E6A"/>
          <w:sz w:val="30"/>
          <w:szCs w:val="30"/>
        </w:rPr>
        <w:t>٥.٢ المستوى الجماعي والمجتمعي</w:t>
      </w:r>
    </w:p>
    <w:p w14:paraId="75D33461" w14:textId="77777777" w:rsidR="00E1193C" w:rsidRDefault="00000000">
      <w:pPr>
        <w:spacing w:after="200" w:line="320" w:lineRule="auto"/>
        <w:jc w:val="both"/>
        <w:rPr>
          <w:rFonts w:cs="Arial"/>
        </w:rPr>
      </w:pPr>
      <w:r>
        <w:rPr>
          <w:color w:val="1A1A1A"/>
        </w:rPr>
        <w:t xml:space="preserve">تصميم برامج مجتمعية دورية (شهرية أو موسمية) ترتبط بمناسبات تعبدية كموسم الحج أو رمضان، بحيث تُستثمر الذروة الروحية الموسمية لتثبيت السلوكيات </w:t>
      </w:r>
      <w:proofErr w:type="spellStart"/>
      <w:r>
        <w:rPr>
          <w:color w:val="1A1A1A"/>
        </w:rPr>
        <w:t>التحصينية</w:t>
      </w:r>
      <w:proofErr w:type="spellEnd"/>
      <w:r>
        <w:rPr>
          <w:color w:val="1A1A1A"/>
        </w:rPr>
        <w:t>.</w:t>
      </w:r>
    </w:p>
    <w:p w14:paraId="428D6E6B" w14:textId="77777777" w:rsidR="00E1193C" w:rsidRDefault="00000000">
      <w:pPr>
        <w:pStyle w:val="2"/>
        <w:bidi/>
        <w:spacing w:before="320" w:after="160"/>
        <w:jc w:val="right"/>
        <w:rPr>
          <w:rFonts w:cs="Arial"/>
        </w:rPr>
      </w:pPr>
      <w:r>
        <w:rPr>
          <w:b/>
          <w:bCs/>
          <w:color w:val="0F6E6A"/>
          <w:sz w:val="30"/>
          <w:szCs w:val="30"/>
        </w:rPr>
        <w:t>٥.٣ المستوى التعليمي</w:t>
      </w:r>
    </w:p>
    <w:p w14:paraId="46D1CEF8" w14:textId="77777777" w:rsidR="00E1193C" w:rsidRDefault="00000000">
      <w:pPr>
        <w:spacing w:after="200" w:line="320" w:lineRule="auto"/>
        <w:jc w:val="both"/>
        <w:rPr>
          <w:rFonts w:cs="Arial"/>
        </w:rPr>
      </w:pPr>
      <w:r>
        <w:rPr>
          <w:color w:val="1A1A1A"/>
        </w:rPr>
        <w:t>إدماج وحدات تعليمية عن 'التفكير النقدي في مواجهة الوسوسة الثقافية' ضمن مناهج التربية الإسلامية والتربية الاجتماعية، مع تدريب معلمين متخصصين.</w:t>
      </w:r>
    </w:p>
    <w:p w14:paraId="79FDE099" w14:textId="77777777" w:rsidR="00E1193C" w:rsidRDefault="00000000">
      <w:pPr>
        <w:pStyle w:val="2"/>
        <w:bidi/>
        <w:spacing w:before="320" w:after="160"/>
        <w:jc w:val="right"/>
        <w:rPr>
          <w:rFonts w:cs="Arial"/>
        </w:rPr>
      </w:pPr>
      <w:r>
        <w:rPr>
          <w:b/>
          <w:bCs/>
          <w:color w:val="0F6E6A"/>
          <w:sz w:val="30"/>
          <w:szCs w:val="30"/>
        </w:rPr>
        <w:t>٥.٤ المستوى الإعلامي</w:t>
      </w:r>
    </w:p>
    <w:p w14:paraId="1B9E4BFD" w14:textId="77777777" w:rsidR="00E1193C" w:rsidRDefault="00000000">
      <w:pPr>
        <w:spacing w:after="200" w:line="320" w:lineRule="auto"/>
        <w:jc w:val="both"/>
        <w:rPr>
          <w:rFonts w:cs="Arial"/>
        </w:rPr>
      </w:pPr>
      <w:r>
        <w:rPr>
          <w:color w:val="1A1A1A"/>
        </w:rPr>
        <w:t>إنتاج محتوى إعلامي رقمي قصير (</w:t>
      </w:r>
      <w:proofErr w:type="spellStart"/>
      <w:r>
        <w:rPr>
          <w:color w:val="1A1A1A"/>
        </w:rPr>
        <w:t>micro-content</w:t>
      </w:r>
      <w:proofErr w:type="spellEnd"/>
      <w:r>
        <w:rPr>
          <w:color w:val="1A1A1A"/>
        </w:rPr>
        <w:t xml:space="preserve">) يستهدف الفئات الشابة عبر منصات التواصل، مع تجنّب الخطاب </w:t>
      </w:r>
      <w:proofErr w:type="spellStart"/>
      <w:r>
        <w:rPr>
          <w:color w:val="1A1A1A"/>
        </w:rPr>
        <w:t>الوعظي</w:t>
      </w:r>
      <w:proofErr w:type="spellEnd"/>
      <w:r>
        <w:rPr>
          <w:color w:val="1A1A1A"/>
        </w:rPr>
        <w:t xml:space="preserve"> المباشر لصالح أسلوب سردي وتحليلي أقرب لأدوات علم النفس الشعبي (</w:t>
      </w:r>
      <w:proofErr w:type="spellStart"/>
      <w:r>
        <w:rPr>
          <w:color w:val="1A1A1A"/>
        </w:rPr>
        <w:t>pop</w:t>
      </w:r>
      <w:proofErr w:type="spellEnd"/>
      <w:r>
        <w:rPr>
          <w:color w:val="1A1A1A"/>
        </w:rPr>
        <w:t xml:space="preserve"> </w:t>
      </w:r>
      <w:proofErr w:type="spellStart"/>
      <w:r>
        <w:rPr>
          <w:color w:val="1A1A1A"/>
        </w:rPr>
        <w:t>psychology</w:t>
      </w:r>
      <w:proofErr w:type="spellEnd"/>
      <w:r>
        <w:rPr>
          <w:color w:val="1A1A1A"/>
        </w:rPr>
        <w:t>) لكن بمرجعية توحيدية صارمة.</w:t>
      </w:r>
    </w:p>
    <w:p w14:paraId="22D5ECDF" w14:textId="77777777" w:rsidR="00E1193C" w:rsidRDefault="00000000">
      <w:pPr>
        <w:pStyle w:val="2"/>
        <w:bidi/>
        <w:spacing w:before="320" w:after="160"/>
        <w:jc w:val="right"/>
        <w:rPr>
          <w:rFonts w:cs="Arial"/>
        </w:rPr>
      </w:pPr>
      <w:r>
        <w:rPr>
          <w:b/>
          <w:bCs/>
          <w:color w:val="0F6E6A"/>
          <w:sz w:val="30"/>
          <w:szCs w:val="30"/>
        </w:rPr>
        <w:t xml:space="preserve">٥.٥ المستوى </w:t>
      </w:r>
      <w:proofErr w:type="spellStart"/>
      <w:r>
        <w:rPr>
          <w:b/>
          <w:bCs/>
          <w:color w:val="0F6E6A"/>
          <w:sz w:val="30"/>
          <w:szCs w:val="30"/>
        </w:rPr>
        <w:t>السياساتي</w:t>
      </w:r>
      <w:proofErr w:type="spellEnd"/>
      <w:r>
        <w:rPr>
          <w:b/>
          <w:bCs/>
          <w:color w:val="0F6E6A"/>
          <w:sz w:val="30"/>
          <w:szCs w:val="30"/>
        </w:rPr>
        <w:t xml:space="preserve"> (إضافة جديدة)</w:t>
      </w:r>
    </w:p>
    <w:p w14:paraId="03ECF730" w14:textId="77777777" w:rsidR="00E1193C" w:rsidRDefault="00000000">
      <w:pPr>
        <w:spacing w:after="200" w:line="320" w:lineRule="auto"/>
        <w:jc w:val="both"/>
        <w:rPr>
          <w:rFonts w:cs="Arial"/>
        </w:rPr>
      </w:pPr>
      <w:r>
        <w:rPr>
          <w:color w:val="1A1A1A"/>
        </w:rPr>
        <w:t>يقترح هذا البحث توسيع نطاق العلم ليشمل توصيات على مستوى السياسات العامة، من قبيل: تنظيم الإعلانات التجارية التي تستثمر الوسوسة الاستهلاكية، ودعم مؤسسات الوقف كبديل هيكلي عن القلق الاقتصادي الفردي، وإدماج معايير بيئية استخلافية في التخطيط الحضري. وتظل هذه المقترحات في طور التصور الأولي وتحتاج إلى دراسات جدوى مستقلة قبل أي تبنٍّ مؤسسي.</w:t>
      </w:r>
    </w:p>
    <w:p w14:paraId="34D3AD8D" w14:textId="77777777" w:rsidR="00E1193C" w:rsidRDefault="00000000">
      <w:pPr>
        <w:rPr>
          <w:rFonts w:cs="Arial"/>
        </w:rPr>
      </w:pPr>
      <w:r>
        <w:br w:type="page"/>
      </w:r>
    </w:p>
    <w:p w14:paraId="37B5CE25"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 xml:space="preserve">٦.  الفصل السادس: مقياس التحصين الروحي (MTR) — أداة </w:t>
      </w:r>
      <w:proofErr w:type="spellStart"/>
      <w:r>
        <w:rPr>
          <w:b/>
          <w:bCs/>
          <w:color w:val="1B2A4A"/>
          <w:sz w:val="36"/>
          <w:szCs w:val="36"/>
        </w:rPr>
        <w:t>سيكومترية</w:t>
      </w:r>
      <w:proofErr w:type="spellEnd"/>
      <w:r>
        <w:rPr>
          <w:b/>
          <w:bCs/>
          <w:color w:val="1B2A4A"/>
          <w:sz w:val="36"/>
          <w:szCs w:val="36"/>
        </w:rPr>
        <w:t xml:space="preserve"> مقترحة</w:t>
      </w:r>
    </w:p>
    <w:p w14:paraId="54B225B3" w14:textId="77777777" w:rsidR="00E1193C" w:rsidRDefault="00000000">
      <w:pPr>
        <w:spacing w:after="200" w:line="320" w:lineRule="auto"/>
        <w:jc w:val="both"/>
        <w:rPr>
          <w:rFonts w:cs="Arial"/>
        </w:rPr>
      </w:pPr>
      <w:r>
        <w:rPr>
          <w:color w:val="1A1A1A"/>
        </w:rPr>
        <w:t xml:space="preserve">تقديم أداة قياس أولية </w:t>
      </w:r>
      <w:proofErr w:type="spellStart"/>
      <w:r>
        <w:rPr>
          <w:color w:val="1A1A1A"/>
        </w:rPr>
        <w:t>استرشادية</w:t>
      </w:r>
      <w:proofErr w:type="spellEnd"/>
      <w:r>
        <w:rPr>
          <w:color w:val="1A1A1A"/>
        </w:rPr>
        <w:t xml:space="preserve"> تهدف إلى تقدير المستوى الذاتي المُدرَك للتحصين الروحي عبر الأبعاد الخمسة. وهذه الصياغة أولية تحتاج إلى تحكيم من متخصصين في القياس النفسي، ودراسات صدق وثبات ميدانية قبل أي استخدام تطبيقي أو تشخيصي، وليست بديلاً عن التقييم الإكلينيكي المتخصص.</w:t>
      </w:r>
    </w:p>
    <w:p w14:paraId="515D3013" w14:textId="77777777" w:rsidR="00E1193C" w:rsidRDefault="00000000">
      <w:pPr>
        <w:pStyle w:val="2"/>
        <w:bidi/>
        <w:spacing w:before="320" w:after="160"/>
        <w:jc w:val="right"/>
        <w:rPr>
          <w:rFonts w:cs="Arial"/>
        </w:rPr>
      </w:pPr>
      <w:r>
        <w:rPr>
          <w:b/>
          <w:bCs/>
          <w:color w:val="0F6E6A"/>
          <w:sz w:val="30"/>
          <w:szCs w:val="30"/>
        </w:rPr>
        <w:t>٦.١ الأبعاد الفرعية الخمسة للمقياس</w:t>
      </w:r>
    </w:p>
    <w:p w14:paraId="7F0A1FE4" w14:textId="77777777" w:rsidR="00E1193C" w:rsidRDefault="00000000">
      <w:pPr>
        <w:pStyle w:val="a4"/>
        <w:numPr>
          <w:ilvl w:val="0"/>
          <w:numId w:val="2"/>
        </w:numPr>
        <w:bidi/>
        <w:spacing w:after="140" w:line="300" w:lineRule="auto"/>
        <w:jc w:val="both"/>
        <w:rPr>
          <w:rFonts w:cs="Arial"/>
        </w:rPr>
      </w:pPr>
      <w:r>
        <w:rPr>
          <w:color w:val="1A1A1A"/>
          <w:sz w:val="24"/>
          <w:szCs w:val="24"/>
        </w:rPr>
        <w:t>البعد النفسي: القدرة على تسمية الخاطر ومقاومة الاسترسال فيه.</w:t>
      </w:r>
    </w:p>
    <w:p w14:paraId="4276699C" w14:textId="77777777" w:rsidR="00E1193C" w:rsidRDefault="00000000">
      <w:pPr>
        <w:pStyle w:val="a4"/>
        <w:numPr>
          <w:ilvl w:val="0"/>
          <w:numId w:val="2"/>
        </w:numPr>
        <w:bidi/>
        <w:spacing w:after="140" w:line="300" w:lineRule="auto"/>
        <w:jc w:val="both"/>
        <w:rPr>
          <w:rFonts w:cs="Arial"/>
        </w:rPr>
      </w:pPr>
      <w:r>
        <w:rPr>
          <w:color w:val="1A1A1A"/>
          <w:sz w:val="24"/>
          <w:szCs w:val="24"/>
        </w:rPr>
        <w:t>البعد الاجتماعي: مرونة العلاقات ومقاومة الانجرار للحسد والتعصب.</w:t>
      </w:r>
    </w:p>
    <w:p w14:paraId="53BE6235" w14:textId="77777777" w:rsidR="00E1193C" w:rsidRDefault="00000000">
      <w:pPr>
        <w:pStyle w:val="a4"/>
        <w:numPr>
          <w:ilvl w:val="0"/>
          <w:numId w:val="2"/>
        </w:numPr>
        <w:bidi/>
        <w:spacing w:after="140" w:line="300" w:lineRule="auto"/>
        <w:jc w:val="both"/>
        <w:rPr>
          <w:rFonts w:cs="Arial"/>
        </w:rPr>
      </w:pPr>
      <w:r>
        <w:rPr>
          <w:color w:val="1A1A1A"/>
          <w:sz w:val="24"/>
          <w:szCs w:val="24"/>
        </w:rPr>
        <w:t>البعد الثقافي: الوعي النقدي تجاه رموز التقديس المُقنَّع.</w:t>
      </w:r>
    </w:p>
    <w:p w14:paraId="49CA719B" w14:textId="77777777" w:rsidR="00E1193C" w:rsidRDefault="00000000">
      <w:pPr>
        <w:pStyle w:val="a4"/>
        <w:numPr>
          <w:ilvl w:val="0"/>
          <w:numId w:val="2"/>
        </w:numPr>
        <w:bidi/>
        <w:spacing w:after="140" w:line="300" w:lineRule="auto"/>
        <w:jc w:val="both"/>
        <w:rPr>
          <w:rFonts w:cs="Arial"/>
        </w:rPr>
      </w:pPr>
      <w:r>
        <w:rPr>
          <w:color w:val="1A1A1A"/>
          <w:sz w:val="24"/>
          <w:szCs w:val="24"/>
        </w:rPr>
        <w:t>البعد الاقتصادي: استقرار الموقف النفسي تجاه المال دون طمع أو جزع.</w:t>
      </w:r>
    </w:p>
    <w:p w14:paraId="767525CA" w14:textId="77777777" w:rsidR="00E1193C" w:rsidRDefault="00000000">
      <w:pPr>
        <w:pStyle w:val="a4"/>
        <w:numPr>
          <w:ilvl w:val="0"/>
          <w:numId w:val="2"/>
        </w:numPr>
        <w:bidi/>
        <w:spacing w:after="140" w:line="300" w:lineRule="auto"/>
        <w:jc w:val="both"/>
        <w:rPr>
          <w:rFonts w:cs="Arial"/>
        </w:rPr>
      </w:pPr>
      <w:r>
        <w:rPr>
          <w:color w:val="1A1A1A"/>
          <w:sz w:val="24"/>
          <w:szCs w:val="24"/>
        </w:rPr>
        <w:t>البعد البيئي: الإحساس بالمسؤولية الاستخلافية تجاه الموارد والبيئة.</w:t>
      </w:r>
    </w:p>
    <w:p w14:paraId="0737B876" w14:textId="77777777" w:rsidR="00E1193C" w:rsidRDefault="00000000">
      <w:pPr>
        <w:pStyle w:val="2"/>
        <w:bidi/>
        <w:spacing w:before="320" w:after="160"/>
        <w:jc w:val="right"/>
        <w:rPr>
          <w:rFonts w:cs="Arial"/>
        </w:rPr>
      </w:pPr>
      <w:r>
        <w:rPr>
          <w:b/>
          <w:bCs/>
          <w:color w:val="0F6E6A"/>
          <w:sz w:val="30"/>
          <w:szCs w:val="30"/>
        </w:rPr>
        <w:t>٦.٢ نموذج بنود استرشادي (عينة أولية)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6"/>
        <w:gridCol w:w="3117"/>
        <w:gridCol w:w="3117"/>
      </w:tblGrid>
      <w:tr w:rsidR="00E1193C" w14:paraId="42BBC162" w14:textId="77777777">
        <w:tblPrEx>
          <w:tblCellMar>
            <w:top w:w="0" w:type="dxa"/>
            <w:bottom w:w="0" w:type="dxa"/>
          </w:tblCellMar>
        </w:tblPrEx>
        <w:trPr>
          <w:tblHeader/>
        </w:trPr>
        <w:tc>
          <w:tcPr>
            <w:tcW w:w="1650" w:type="pct"/>
            <w:shd w:val="clear" w:color="auto" w:fill="1B2A4A"/>
          </w:tcPr>
          <w:p w14:paraId="7FAC46ED" w14:textId="77777777" w:rsidR="00E1193C" w:rsidRDefault="00000000">
            <w:pPr>
              <w:jc w:val="center"/>
              <w:rPr>
                <w:rFonts w:cs="Arial"/>
              </w:rPr>
            </w:pPr>
            <w:r>
              <w:rPr>
                <w:b/>
                <w:bCs/>
                <w:color w:val="FFFFFF"/>
                <w:sz w:val="22"/>
                <w:szCs w:val="22"/>
              </w:rPr>
              <w:t>البُعد</w:t>
            </w:r>
          </w:p>
        </w:tc>
        <w:tc>
          <w:tcPr>
            <w:tcW w:w="1650" w:type="pct"/>
            <w:shd w:val="clear" w:color="auto" w:fill="1B2A4A"/>
          </w:tcPr>
          <w:p w14:paraId="0F29FDEB" w14:textId="77777777" w:rsidR="00E1193C" w:rsidRDefault="00000000">
            <w:pPr>
              <w:jc w:val="center"/>
              <w:rPr>
                <w:rFonts w:cs="Arial"/>
              </w:rPr>
            </w:pPr>
            <w:r>
              <w:rPr>
                <w:b/>
                <w:bCs/>
                <w:color w:val="FFFFFF"/>
                <w:sz w:val="22"/>
                <w:szCs w:val="22"/>
              </w:rPr>
              <w:t xml:space="preserve">عبارة </w:t>
            </w:r>
            <w:proofErr w:type="spellStart"/>
            <w:r>
              <w:rPr>
                <w:b/>
                <w:bCs/>
                <w:color w:val="FFFFFF"/>
                <w:sz w:val="22"/>
                <w:szCs w:val="22"/>
              </w:rPr>
              <w:t>استرشادية</w:t>
            </w:r>
            <w:proofErr w:type="spellEnd"/>
            <w:r>
              <w:rPr>
                <w:b/>
                <w:bCs/>
                <w:color w:val="FFFFFF"/>
                <w:sz w:val="22"/>
                <w:szCs w:val="22"/>
              </w:rPr>
              <w:t xml:space="preserve"> للبند</w:t>
            </w:r>
          </w:p>
        </w:tc>
        <w:tc>
          <w:tcPr>
            <w:tcW w:w="1650" w:type="pct"/>
            <w:shd w:val="clear" w:color="auto" w:fill="1B2A4A"/>
          </w:tcPr>
          <w:p w14:paraId="58FED199" w14:textId="77777777" w:rsidR="00E1193C" w:rsidRDefault="00000000">
            <w:pPr>
              <w:jc w:val="center"/>
              <w:rPr>
                <w:rFonts w:cs="Arial"/>
              </w:rPr>
            </w:pPr>
            <w:r>
              <w:rPr>
                <w:b/>
                <w:bCs/>
                <w:color w:val="FFFFFF"/>
                <w:sz w:val="22"/>
                <w:szCs w:val="22"/>
              </w:rPr>
              <w:t>مقياس الاستجابة</w:t>
            </w:r>
          </w:p>
        </w:tc>
      </w:tr>
      <w:tr w:rsidR="00E1193C" w14:paraId="7F5B99B4" w14:textId="77777777">
        <w:tblPrEx>
          <w:tblCellMar>
            <w:top w:w="0" w:type="dxa"/>
            <w:bottom w:w="0" w:type="dxa"/>
          </w:tblCellMar>
        </w:tblPrEx>
        <w:tc>
          <w:tcPr>
            <w:tcW w:w="1650" w:type="pct"/>
            <w:shd w:val="clear" w:color="auto" w:fill="FFFFFF"/>
          </w:tcPr>
          <w:p w14:paraId="37F6AE89" w14:textId="77777777" w:rsidR="00E1193C" w:rsidRDefault="00000000">
            <w:pPr>
              <w:jc w:val="center"/>
              <w:rPr>
                <w:rFonts w:cs="Arial"/>
              </w:rPr>
            </w:pPr>
            <w:r>
              <w:rPr>
                <w:color w:val="1A1A1A"/>
                <w:sz w:val="22"/>
                <w:szCs w:val="22"/>
              </w:rPr>
              <w:t>النفسي</w:t>
            </w:r>
          </w:p>
        </w:tc>
        <w:tc>
          <w:tcPr>
            <w:tcW w:w="1650" w:type="pct"/>
            <w:shd w:val="clear" w:color="auto" w:fill="FFFFFF"/>
          </w:tcPr>
          <w:p w14:paraId="0D9280C2" w14:textId="77777777" w:rsidR="00E1193C" w:rsidRDefault="00000000">
            <w:pPr>
              <w:jc w:val="center"/>
              <w:rPr>
                <w:rFonts w:cs="Arial"/>
              </w:rPr>
            </w:pPr>
            <w:r>
              <w:rPr>
                <w:color w:val="1A1A1A"/>
                <w:sz w:val="22"/>
                <w:szCs w:val="22"/>
              </w:rPr>
              <w:t>أستطيع ملاحظة الخاطر السيئ فور وروده قبل أن يتمكن مني.</w:t>
            </w:r>
          </w:p>
        </w:tc>
        <w:tc>
          <w:tcPr>
            <w:tcW w:w="1650" w:type="pct"/>
            <w:shd w:val="clear" w:color="auto" w:fill="FFFFFF"/>
          </w:tcPr>
          <w:p w14:paraId="486254CA" w14:textId="77777777" w:rsidR="00E1193C" w:rsidRDefault="00000000">
            <w:pPr>
              <w:jc w:val="center"/>
              <w:rPr>
                <w:rFonts w:cs="Arial"/>
              </w:rPr>
            </w:pPr>
            <w:proofErr w:type="spellStart"/>
            <w:r>
              <w:rPr>
                <w:color w:val="1A1A1A"/>
                <w:sz w:val="22"/>
                <w:szCs w:val="22"/>
              </w:rPr>
              <w:t>ليكرت</w:t>
            </w:r>
            <w:proofErr w:type="spellEnd"/>
            <w:r>
              <w:rPr>
                <w:color w:val="1A1A1A"/>
                <w:sz w:val="22"/>
                <w:szCs w:val="22"/>
              </w:rPr>
              <w:t xml:space="preserve"> ١-٥</w:t>
            </w:r>
          </w:p>
        </w:tc>
      </w:tr>
      <w:tr w:rsidR="00E1193C" w14:paraId="78EEF121" w14:textId="77777777">
        <w:tblPrEx>
          <w:tblCellMar>
            <w:top w:w="0" w:type="dxa"/>
            <w:bottom w:w="0" w:type="dxa"/>
          </w:tblCellMar>
        </w:tblPrEx>
        <w:tc>
          <w:tcPr>
            <w:tcW w:w="1650" w:type="pct"/>
            <w:shd w:val="clear" w:color="auto" w:fill="FFFFFF"/>
          </w:tcPr>
          <w:p w14:paraId="782483CD" w14:textId="77777777" w:rsidR="00E1193C" w:rsidRDefault="00000000">
            <w:pPr>
              <w:jc w:val="center"/>
              <w:rPr>
                <w:rFonts w:cs="Arial"/>
              </w:rPr>
            </w:pPr>
            <w:r>
              <w:rPr>
                <w:color w:val="1A1A1A"/>
                <w:sz w:val="22"/>
                <w:szCs w:val="22"/>
              </w:rPr>
              <w:t>الاجتماعي</w:t>
            </w:r>
          </w:p>
        </w:tc>
        <w:tc>
          <w:tcPr>
            <w:tcW w:w="1650" w:type="pct"/>
            <w:shd w:val="clear" w:color="auto" w:fill="FFFFFF"/>
          </w:tcPr>
          <w:p w14:paraId="2BE14197" w14:textId="77777777" w:rsidR="00E1193C" w:rsidRDefault="00000000">
            <w:pPr>
              <w:jc w:val="center"/>
              <w:rPr>
                <w:rFonts w:cs="Arial"/>
              </w:rPr>
            </w:pPr>
            <w:r>
              <w:rPr>
                <w:color w:val="1A1A1A"/>
                <w:sz w:val="22"/>
                <w:szCs w:val="22"/>
              </w:rPr>
              <w:t>لا أسمح لمشاعر الحسد بالتأثير على تعاملي مع من حولي.</w:t>
            </w:r>
          </w:p>
        </w:tc>
        <w:tc>
          <w:tcPr>
            <w:tcW w:w="1650" w:type="pct"/>
            <w:shd w:val="clear" w:color="auto" w:fill="FFFFFF"/>
          </w:tcPr>
          <w:p w14:paraId="7B9E09E8" w14:textId="77777777" w:rsidR="00E1193C" w:rsidRDefault="00000000">
            <w:pPr>
              <w:jc w:val="center"/>
              <w:rPr>
                <w:rFonts w:cs="Arial"/>
              </w:rPr>
            </w:pPr>
            <w:proofErr w:type="spellStart"/>
            <w:r>
              <w:rPr>
                <w:color w:val="1A1A1A"/>
                <w:sz w:val="22"/>
                <w:szCs w:val="22"/>
              </w:rPr>
              <w:t>ليكرت</w:t>
            </w:r>
            <w:proofErr w:type="spellEnd"/>
            <w:r>
              <w:rPr>
                <w:color w:val="1A1A1A"/>
                <w:sz w:val="22"/>
                <w:szCs w:val="22"/>
              </w:rPr>
              <w:t xml:space="preserve"> ١-٥</w:t>
            </w:r>
          </w:p>
        </w:tc>
      </w:tr>
      <w:tr w:rsidR="00E1193C" w14:paraId="19E0FB5E" w14:textId="77777777">
        <w:tblPrEx>
          <w:tblCellMar>
            <w:top w:w="0" w:type="dxa"/>
            <w:bottom w:w="0" w:type="dxa"/>
          </w:tblCellMar>
        </w:tblPrEx>
        <w:tc>
          <w:tcPr>
            <w:tcW w:w="1650" w:type="pct"/>
            <w:shd w:val="clear" w:color="auto" w:fill="FFFFFF"/>
          </w:tcPr>
          <w:p w14:paraId="01A575C1" w14:textId="77777777" w:rsidR="00E1193C" w:rsidRDefault="00000000">
            <w:pPr>
              <w:jc w:val="center"/>
              <w:rPr>
                <w:rFonts w:cs="Arial"/>
              </w:rPr>
            </w:pPr>
            <w:r>
              <w:rPr>
                <w:color w:val="1A1A1A"/>
                <w:sz w:val="22"/>
                <w:szCs w:val="22"/>
              </w:rPr>
              <w:t>الثقافي</w:t>
            </w:r>
          </w:p>
        </w:tc>
        <w:tc>
          <w:tcPr>
            <w:tcW w:w="1650" w:type="pct"/>
            <w:shd w:val="clear" w:color="auto" w:fill="FFFFFF"/>
          </w:tcPr>
          <w:p w14:paraId="43A31CD8" w14:textId="77777777" w:rsidR="00E1193C" w:rsidRDefault="00000000">
            <w:pPr>
              <w:jc w:val="center"/>
              <w:rPr>
                <w:rFonts w:cs="Arial"/>
              </w:rPr>
            </w:pPr>
            <w:r>
              <w:rPr>
                <w:color w:val="1A1A1A"/>
                <w:sz w:val="22"/>
                <w:szCs w:val="22"/>
              </w:rPr>
              <w:t>أراجع دوافعي قبل اقتناء ما يرتبط بالمظهر الاجتماعي.</w:t>
            </w:r>
          </w:p>
        </w:tc>
        <w:tc>
          <w:tcPr>
            <w:tcW w:w="1650" w:type="pct"/>
            <w:shd w:val="clear" w:color="auto" w:fill="FFFFFF"/>
          </w:tcPr>
          <w:p w14:paraId="639658FE" w14:textId="77777777" w:rsidR="00E1193C" w:rsidRDefault="00000000">
            <w:pPr>
              <w:jc w:val="center"/>
              <w:rPr>
                <w:rFonts w:cs="Arial"/>
              </w:rPr>
            </w:pPr>
            <w:proofErr w:type="spellStart"/>
            <w:r>
              <w:rPr>
                <w:color w:val="1A1A1A"/>
                <w:sz w:val="22"/>
                <w:szCs w:val="22"/>
              </w:rPr>
              <w:t>ليكرت</w:t>
            </w:r>
            <w:proofErr w:type="spellEnd"/>
            <w:r>
              <w:rPr>
                <w:color w:val="1A1A1A"/>
                <w:sz w:val="22"/>
                <w:szCs w:val="22"/>
              </w:rPr>
              <w:t xml:space="preserve"> ١-٥</w:t>
            </w:r>
          </w:p>
        </w:tc>
      </w:tr>
      <w:tr w:rsidR="00E1193C" w14:paraId="7FC216B9" w14:textId="77777777">
        <w:tblPrEx>
          <w:tblCellMar>
            <w:top w:w="0" w:type="dxa"/>
            <w:bottom w:w="0" w:type="dxa"/>
          </w:tblCellMar>
        </w:tblPrEx>
        <w:tc>
          <w:tcPr>
            <w:tcW w:w="1650" w:type="pct"/>
            <w:shd w:val="clear" w:color="auto" w:fill="FFFFFF"/>
          </w:tcPr>
          <w:p w14:paraId="6717F89F" w14:textId="77777777" w:rsidR="00E1193C" w:rsidRDefault="00000000">
            <w:pPr>
              <w:jc w:val="center"/>
              <w:rPr>
                <w:rFonts w:cs="Arial"/>
              </w:rPr>
            </w:pPr>
            <w:r>
              <w:rPr>
                <w:color w:val="1A1A1A"/>
                <w:sz w:val="22"/>
                <w:szCs w:val="22"/>
              </w:rPr>
              <w:t>الاقتصادي</w:t>
            </w:r>
          </w:p>
        </w:tc>
        <w:tc>
          <w:tcPr>
            <w:tcW w:w="1650" w:type="pct"/>
            <w:shd w:val="clear" w:color="auto" w:fill="FFFFFF"/>
          </w:tcPr>
          <w:p w14:paraId="1DA9E3CD" w14:textId="77777777" w:rsidR="00E1193C" w:rsidRDefault="00000000">
            <w:pPr>
              <w:jc w:val="center"/>
              <w:rPr>
                <w:rFonts w:cs="Arial"/>
              </w:rPr>
            </w:pPr>
            <w:r>
              <w:rPr>
                <w:color w:val="1A1A1A"/>
                <w:sz w:val="22"/>
                <w:szCs w:val="22"/>
              </w:rPr>
              <w:t>لا يسيطر عليّ القلق من نقص المال بشكل يدفعني لقرارات متهورة.</w:t>
            </w:r>
          </w:p>
        </w:tc>
        <w:tc>
          <w:tcPr>
            <w:tcW w:w="1650" w:type="pct"/>
            <w:shd w:val="clear" w:color="auto" w:fill="FFFFFF"/>
          </w:tcPr>
          <w:p w14:paraId="1994E280" w14:textId="77777777" w:rsidR="00E1193C" w:rsidRDefault="00000000">
            <w:pPr>
              <w:jc w:val="center"/>
              <w:rPr>
                <w:rFonts w:cs="Arial"/>
              </w:rPr>
            </w:pPr>
            <w:proofErr w:type="spellStart"/>
            <w:r>
              <w:rPr>
                <w:color w:val="1A1A1A"/>
                <w:sz w:val="22"/>
                <w:szCs w:val="22"/>
              </w:rPr>
              <w:t>ليكرت</w:t>
            </w:r>
            <w:proofErr w:type="spellEnd"/>
            <w:r>
              <w:rPr>
                <w:color w:val="1A1A1A"/>
                <w:sz w:val="22"/>
                <w:szCs w:val="22"/>
              </w:rPr>
              <w:t xml:space="preserve"> ١-٥</w:t>
            </w:r>
          </w:p>
        </w:tc>
      </w:tr>
      <w:tr w:rsidR="00E1193C" w14:paraId="12E75C6D" w14:textId="77777777">
        <w:tblPrEx>
          <w:tblCellMar>
            <w:top w:w="0" w:type="dxa"/>
            <w:bottom w:w="0" w:type="dxa"/>
          </w:tblCellMar>
        </w:tblPrEx>
        <w:tc>
          <w:tcPr>
            <w:tcW w:w="1650" w:type="pct"/>
            <w:shd w:val="clear" w:color="auto" w:fill="FFFFFF"/>
          </w:tcPr>
          <w:p w14:paraId="53EEA952" w14:textId="77777777" w:rsidR="00E1193C" w:rsidRDefault="00000000">
            <w:pPr>
              <w:jc w:val="center"/>
              <w:rPr>
                <w:rFonts w:cs="Arial"/>
              </w:rPr>
            </w:pPr>
            <w:r>
              <w:rPr>
                <w:color w:val="1A1A1A"/>
                <w:sz w:val="22"/>
                <w:szCs w:val="22"/>
              </w:rPr>
              <w:t>البيئي</w:t>
            </w:r>
          </w:p>
        </w:tc>
        <w:tc>
          <w:tcPr>
            <w:tcW w:w="1650" w:type="pct"/>
            <w:shd w:val="clear" w:color="auto" w:fill="FFFFFF"/>
          </w:tcPr>
          <w:p w14:paraId="05E2A135" w14:textId="77777777" w:rsidR="00E1193C" w:rsidRDefault="00000000">
            <w:pPr>
              <w:jc w:val="center"/>
              <w:rPr>
                <w:rFonts w:cs="Arial"/>
              </w:rPr>
            </w:pPr>
            <w:r>
              <w:rPr>
                <w:color w:val="1A1A1A"/>
                <w:sz w:val="22"/>
                <w:szCs w:val="22"/>
              </w:rPr>
              <w:t>أشعر بمسؤولية شخصية تجاه ترشيد استهلاكي للموارد.</w:t>
            </w:r>
          </w:p>
        </w:tc>
        <w:tc>
          <w:tcPr>
            <w:tcW w:w="1650" w:type="pct"/>
            <w:shd w:val="clear" w:color="auto" w:fill="FFFFFF"/>
          </w:tcPr>
          <w:p w14:paraId="624F2FBD" w14:textId="77777777" w:rsidR="00E1193C" w:rsidRDefault="00000000">
            <w:pPr>
              <w:jc w:val="center"/>
              <w:rPr>
                <w:rFonts w:cs="Arial"/>
              </w:rPr>
            </w:pPr>
            <w:proofErr w:type="spellStart"/>
            <w:r>
              <w:rPr>
                <w:color w:val="1A1A1A"/>
                <w:sz w:val="22"/>
                <w:szCs w:val="22"/>
              </w:rPr>
              <w:t>ليكرت</w:t>
            </w:r>
            <w:proofErr w:type="spellEnd"/>
            <w:r>
              <w:rPr>
                <w:color w:val="1A1A1A"/>
                <w:sz w:val="22"/>
                <w:szCs w:val="22"/>
              </w:rPr>
              <w:t xml:space="preserve"> ١-٥</w:t>
            </w:r>
          </w:p>
        </w:tc>
      </w:tr>
    </w:tbl>
    <w:p w14:paraId="50D17140" w14:textId="77777777" w:rsidR="00E1193C" w:rsidRDefault="00000000">
      <w:pPr>
        <w:spacing w:after="300" w:line="320" w:lineRule="auto"/>
        <w:jc w:val="both"/>
        <w:rPr>
          <w:rFonts w:cs="Arial"/>
        </w:rPr>
      </w:pPr>
      <w:r>
        <w:rPr>
          <w:color w:val="1A1A1A"/>
        </w:rPr>
        <w:t xml:space="preserve">ملاحظة منهجية: عدد البنود هنا تمثيلي فقط لغرض التوضيح؛ يتطلب البناء النهائي للمقياس ١٥-٢٠ بندًا لكل بعد فرعي، وتحليل عاملي استكشافي وتوكيدي، ودراسة اتساق داخلي (معامل ألفا </w:t>
      </w:r>
      <w:proofErr w:type="spellStart"/>
      <w:r>
        <w:rPr>
          <w:color w:val="1A1A1A"/>
        </w:rPr>
        <w:t>كرونباخ</w:t>
      </w:r>
      <w:proofErr w:type="spellEnd"/>
      <w:r>
        <w:rPr>
          <w:color w:val="1A1A1A"/>
        </w:rPr>
        <w:t>) على عينة تمثيلية.</w:t>
      </w:r>
    </w:p>
    <w:p w14:paraId="0DF2922C" w14:textId="77777777" w:rsidR="00E1193C" w:rsidRDefault="00000000">
      <w:pPr>
        <w:rPr>
          <w:rFonts w:cs="Arial"/>
        </w:rPr>
      </w:pPr>
      <w:r>
        <w:br w:type="page"/>
      </w:r>
    </w:p>
    <w:p w14:paraId="2DDE675F"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٧.  الفصل السابع: نقد الإطار وحدوده المنهجية وآفاق البحث المستقبلي</w:t>
      </w:r>
    </w:p>
    <w:p w14:paraId="483062A1" w14:textId="77777777" w:rsidR="00E1193C" w:rsidRDefault="00000000">
      <w:pPr>
        <w:pStyle w:val="2"/>
        <w:bidi/>
        <w:spacing w:before="320" w:after="160"/>
        <w:jc w:val="right"/>
        <w:rPr>
          <w:rFonts w:cs="Arial"/>
        </w:rPr>
      </w:pPr>
      <w:r>
        <w:rPr>
          <w:b/>
          <w:bCs/>
          <w:color w:val="0F6E6A"/>
          <w:sz w:val="30"/>
          <w:szCs w:val="30"/>
        </w:rPr>
        <w:t>٧.١ إشكالية القياس الغيبي</w:t>
      </w:r>
    </w:p>
    <w:p w14:paraId="0344A065" w14:textId="77777777" w:rsidR="00E1193C" w:rsidRDefault="00000000">
      <w:pPr>
        <w:spacing w:after="200" w:line="320" w:lineRule="auto"/>
        <w:jc w:val="both"/>
        <w:rPr>
          <w:rFonts w:cs="Arial"/>
        </w:rPr>
      </w:pPr>
      <w:r>
        <w:rPr>
          <w:color w:val="1A1A1A"/>
        </w:rPr>
        <w:t>يظل أكبر تحدٍّ منهجي أمام هذا العلم هو استحالة القياس المباشر للفعل الشيطاني ذاته، بخلاف آثاره السلوكية والنفسية القابلة للرصد. وهذا يفرض على الباحث الالتزام بحدود منهجية صارمة: قياس الأثر لا قياس السبب الغيبي.</w:t>
      </w:r>
    </w:p>
    <w:p w14:paraId="7AC9F75D" w14:textId="77777777" w:rsidR="00E1193C" w:rsidRDefault="00000000">
      <w:pPr>
        <w:pStyle w:val="2"/>
        <w:bidi/>
        <w:spacing w:before="320" w:after="160"/>
        <w:jc w:val="right"/>
        <w:rPr>
          <w:rFonts w:cs="Arial"/>
        </w:rPr>
      </w:pPr>
      <w:r>
        <w:rPr>
          <w:b/>
          <w:bCs/>
          <w:color w:val="0F6E6A"/>
          <w:sz w:val="30"/>
          <w:szCs w:val="30"/>
        </w:rPr>
        <w:t>٧.٢ خطر الاختزال النفسي أو الاختزال الغيبي</w:t>
      </w:r>
    </w:p>
    <w:p w14:paraId="31239F3A" w14:textId="77777777" w:rsidR="00E1193C" w:rsidRDefault="00000000">
      <w:pPr>
        <w:spacing w:after="200" w:line="320" w:lineRule="auto"/>
        <w:jc w:val="both"/>
        <w:rPr>
          <w:rFonts w:cs="Arial"/>
        </w:rPr>
      </w:pPr>
      <w:r>
        <w:rPr>
          <w:color w:val="1A1A1A"/>
        </w:rPr>
        <w:t>يواجه العلم خطرين متقابلين: الأول اختزال كل ظاهرة نفسية إلى فعل شيطاني، بما يُعفي الفرد من مسؤوليته النفسية والسلوكية؛ والثاني اختزال الفعل الشيطاني بالكامل إلى تفسيرات نفسية اجتماعية بحتة، بما يفرغ النص الشرعي من دلالته الحقيقية. والموقف المتوازن يقتضي التمييز الدائم — كما فعل الغزالي — بين حديث النفس والوسوسة الخارجية دون خلط تعسفي بينهما.</w:t>
      </w:r>
    </w:p>
    <w:p w14:paraId="3EA048D1" w14:textId="77777777" w:rsidR="00E1193C" w:rsidRDefault="00000000">
      <w:pPr>
        <w:pStyle w:val="2"/>
        <w:bidi/>
        <w:spacing w:before="320" w:after="160"/>
        <w:jc w:val="right"/>
        <w:rPr>
          <w:rFonts w:cs="Arial"/>
        </w:rPr>
      </w:pPr>
      <w:r>
        <w:rPr>
          <w:b/>
          <w:bCs/>
          <w:color w:val="0F6E6A"/>
          <w:sz w:val="30"/>
          <w:szCs w:val="30"/>
        </w:rPr>
        <w:t>٧.٣ التحديات النقدية من زاوية القياس العلمي</w:t>
      </w:r>
    </w:p>
    <w:p w14:paraId="26163E1D" w14:textId="77777777" w:rsidR="00E1193C" w:rsidRDefault="00000000">
      <w:pPr>
        <w:spacing w:after="200" w:line="320" w:lineRule="auto"/>
        <w:jc w:val="both"/>
        <w:rPr>
          <w:rFonts w:cs="Arial"/>
        </w:rPr>
      </w:pPr>
      <w:r>
        <w:rPr>
          <w:color w:val="1A1A1A"/>
        </w:rPr>
        <w:t>يواجه الأدب النقدي حول 'التصديق الإيماني في مقابل الدليل التجريبي' (</w:t>
      </w:r>
      <w:proofErr w:type="spellStart"/>
      <w:r>
        <w:rPr>
          <w:color w:val="1A1A1A"/>
        </w:rPr>
        <w:t>Faith</w:t>
      </w:r>
      <w:proofErr w:type="spellEnd"/>
      <w:r>
        <w:rPr>
          <w:color w:val="1A1A1A"/>
        </w:rPr>
        <w:t xml:space="preserve"> </w:t>
      </w:r>
      <w:proofErr w:type="spellStart"/>
      <w:r>
        <w:rPr>
          <w:color w:val="1A1A1A"/>
        </w:rPr>
        <w:t>vs</w:t>
      </w:r>
      <w:proofErr w:type="spellEnd"/>
      <w:r>
        <w:rPr>
          <w:color w:val="1A1A1A"/>
        </w:rPr>
        <w:t xml:space="preserve">. </w:t>
      </w:r>
      <w:proofErr w:type="spellStart"/>
      <w:r>
        <w:rPr>
          <w:color w:val="1A1A1A"/>
        </w:rPr>
        <w:t>Empirical</w:t>
      </w:r>
      <w:proofErr w:type="spellEnd"/>
      <w:r>
        <w:rPr>
          <w:color w:val="1A1A1A"/>
        </w:rPr>
        <w:t xml:space="preserve"> </w:t>
      </w:r>
      <w:proofErr w:type="spellStart"/>
      <w:r>
        <w:rPr>
          <w:color w:val="1A1A1A"/>
        </w:rPr>
        <w:t>validation</w:t>
      </w:r>
      <w:proofErr w:type="spellEnd"/>
      <w:r>
        <w:rPr>
          <w:color w:val="1A1A1A"/>
        </w:rPr>
        <w:t>) هذا الحقل بسؤال جوهري: هل يمكن أصلاً إخضاع فرضية 'الوسوسة الشيطانية' للتفنيد العلمي (</w:t>
      </w:r>
      <w:proofErr w:type="spellStart"/>
      <w:r>
        <w:rPr>
          <w:color w:val="1A1A1A"/>
        </w:rPr>
        <w:t>falsifiability</w:t>
      </w:r>
      <w:proofErr w:type="spellEnd"/>
      <w:r>
        <w:rPr>
          <w:color w:val="1A1A1A"/>
        </w:rPr>
        <w:t xml:space="preserve">) بالمعنى </w:t>
      </w:r>
      <w:proofErr w:type="spellStart"/>
      <w:r>
        <w:rPr>
          <w:color w:val="1A1A1A"/>
        </w:rPr>
        <w:t>البوبري</w:t>
      </w:r>
      <w:proofErr w:type="spellEnd"/>
      <w:r>
        <w:rPr>
          <w:color w:val="1A1A1A"/>
        </w:rPr>
        <w:t xml:space="preserve"> الصارم؟ ويقرّ هذا البحث بأن الإجابة الصريحة هي النفي الجزئي: يمكن قياس الأثر السلوكي للتدخلات </w:t>
      </w:r>
      <w:proofErr w:type="spellStart"/>
      <w:r>
        <w:rPr>
          <w:color w:val="1A1A1A"/>
        </w:rPr>
        <w:t>التحصينية</w:t>
      </w:r>
      <w:proofErr w:type="spellEnd"/>
      <w:r>
        <w:rPr>
          <w:color w:val="1A1A1A"/>
        </w:rPr>
        <w:t xml:space="preserve"> تجريبيًا، لكن لا يمكن إخضاع الفرضية الغيبية ذاتها للتفنيد بنفس المعايير، وهو ما يضع هذا العلم في فئة معرفية مختلطة بين العلوم التجريبية والعلوم الشرعية التأويلية، ولا ينبغي التعامل معه كعلم تجريبي صرف.</w:t>
      </w:r>
    </w:p>
    <w:p w14:paraId="3E599D40" w14:textId="77777777" w:rsidR="00E1193C" w:rsidRDefault="00000000">
      <w:pPr>
        <w:pStyle w:val="2"/>
        <w:bidi/>
        <w:spacing w:before="320" w:after="160"/>
        <w:jc w:val="right"/>
        <w:rPr>
          <w:rFonts w:cs="Arial"/>
        </w:rPr>
      </w:pPr>
      <w:r>
        <w:rPr>
          <w:b/>
          <w:bCs/>
          <w:color w:val="0F6E6A"/>
          <w:sz w:val="30"/>
          <w:szCs w:val="30"/>
        </w:rPr>
        <w:t>٧.٤ آفاق البحث المستقبلي</w:t>
      </w:r>
    </w:p>
    <w:p w14:paraId="0EF27B5E" w14:textId="77777777" w:rsidR="00E1193C" w:rsidRDefault="00000000">
      <w:pPr>
        <w:pStyle w:val="a4"/>
        <w:numPr>
          <w:ilvl w:val="0"/>
          <w:numId w:val="2"/>
        </w:numPr>
        <w:bidi/>
        <w:spacing w:after="140" w:line="300" w:lineRule="auto"/>
        <w:jc w:val="both"/>
        <w:rPr>
          <w:rFonts w:cs="Arial"/>
        </w:rPr>
      </w:pPr>
      <w:r>
        <w:rPr>
          <w:color w:val="1A1A1A"/>
          <w:sz w:val="24"/>
          <w:szCs w:val="24"/>
        </w:rPr>
        <w:t xml:space="preserve">تطوير المقياس </w:t>
      </w:r>
      <w:proofErr w:type="spellStart"/>
      <w:r>
        <w:rPr>
          <w:color w:val="1A1A1A"/>
          <w:sz w:val="24"/>
          <w:szCs w:val="24"/>
        </w:rPr>
        <w:t>السيكومتري</w:t>
      </w:r>
      <w:proofErr w:type="spellEnd"/>
      <w:r>
        <w:rPr>
          <w:color w:val="1A1A1A"/>
          <w:sz w:val="24"/>
          <w:szCs w:val="24"/>
        </w:rPr>
        <w:t xml:space="preserve"> المقترح وإخضاعه لدراسات صدق وثبات ميدانية موسّعة.</w:t>
      </w:r>
    </w:p>
    <w:p w14:paraId="077373D5" w14:textId="77777777" w:rsidR="00E1193C" w:rsidRDefault="00000000">
      <w:pPr>
        <w:pStyle w:val="a4"/>
        <w:numPr>
          <w:ilvl w:val="0"/>
          <w:numId w:val="2"/>
        </w:numPr>
        <w:bidi/>
        <w:spacing w:after="140" w:line="300" w:lineRule="auto"/>
        <w:jc w:val="both"/>
        <w:rPr>
          <w:rFonts w:cs="Arial"/>
        </w:rPr>
      </w:pPr>
      <w:r>
        <w:rPr>
          <w:color w:val="1A1A1A"/>
          <w:sz w:val="24"/>
          <w:szCs w:val="24"/>
        </w:rPr>
        <w:t>إجراء دراسات مقارنة عبر ثقافية بين تعبيرات الوسوسة في سياقات إسلامية مختلفة (عربية، آسيوية، إفريقية).</w:t>
      </w:r>
    </w:p>
    <w:p w14:paraId="732F6C12" w14:textId="77777777" w:rsidR="00E1193C" w:rsidRDefault="00000000">
      <w:pPr>
        <w:pStyle w:val="a4"/>
        <w:numPr>
          <w:ilvl w:val="0"/>
          <w:numId w:val="2"/>
        </w:numPr>
        <w:bidi/>
        <w:spacing w:after="140" w:line="300" w:lineRule="auto"/>
        <w:jc w:val="both"/>
        <w:rPr>
          <w:rFonts w:cs="Arial"/>
        </w:rPr>
      </w:pPr>
      <w:r>
        <w:rPr>
          <w:color w:val="1A1A1A"/>
          <w:sz w:val="24"/>
          <w:szCs w:val="24"/>
        </w:rPr>
        <w:t>بناء بروتوكولات إرشادية موحّدة قابلة للتكرار (</w:t>
      </w:r>
      <w:proofErr w:type="spellStart"/>
      <w:r>
        <w:rPr>
          <w:color w:val="1A1A1A"/>
          <w:sz w:val="24"/>
          <w:szCs w:val="24"/>
        </w:rPr>
        <w:t>replicable</w:t>
      </w:r>
      <w:proofErr w:type="spellEnd"/>
      <w:r>
        <w:rPr>
          <w:color w:val="1A1A1A"/>
          <w:sz w:val="24"/>
          <w:szCs w:val="24"/>
        </w:rPr>
        <w:t>) في مراكز الإرشاد الأسري والنفسي.</w:t>
      </w:r>
    </w:p>
    <w:p w14:paraId="7D51E97E" w14:textId="77777777" w:rsidR="00E1193C" w:rsidRDefault="00000000">
      <w:pPr>
        <w:pStyle w:val="a4"/>
        <w:numPr>
          <w:ilvl w:val="0"/>
          <w:numId w:val="2"/>
        </w:numPr>
        <w:bidi/>
        <w:spacing w:after="140" w:line="300" w:lineRule="auto"/>
        <w:jc w:val="both"/>
        <w:rPr>
          <w:rFonts w:cs="Arial"/>
        </w:rPr>
      </w:pPr>
      <w:r>
        <w:rPr>
          <w:color w:val="1A1A1A"/>
          <w:sz w:val="24"/>
          <w:szCs w:val="24"/>
        </w:rPr>
        <w:t>دراسة العلاقة بين هذا العلم وأطر علاجية إسلامية أخرى كالعلاج النفسي الإسلامي المتكامل (TIIP).</w:t>
      </w:r>
    </w:p>
    <w:p w14:paraId="4A7789D3" w14:textId="77777777" w:rsidR="00E1193C" w:rsidRDefault="00000000">
      <w:pPr>
        <w:rPr>
          <w:rFonts w:cs="Arial"/>
        </w:rPr>
      </w:pPr>
      <w:r>
        <w:br w:type="page"/>
      </w:r>
    </w:p>
    <w:p w14:paraId="66EF31A7" w14:textId="77777777" w:rsidR="00E1193C" w:rsidRDefault="00000000">
      <w:pPr>
        <w:pStyle w:val="1"/>
        <w:pBdr>
          <w:bottom w:val="single" w:sz="12" w:space="6" w:color="B8912F"/>
        </w:pBdr>
        <w:bidi/>
        <w:spacing w:before="480" w:after="240"/>
        <w:jc w:val="right"/>
        <w:rPr>
          <w:rFonts w:cs="Arial"/>
        </w:rPr>
      </w:pPr>
      <w:r>
        <w:rPr>
          <w:b/>
          <w:bCs/>
          <w:color w:val="1B2A4A"/>
          <w:sz w:val="36"/>
          <w:szCs w:val="36"/>
        </w:rPr>
        <w:t>الخاتمة</w:t>
      </w:r>
    </w:p>
    <w:p w14:paraId="0150B0E2" w14:textId="77777777" w:rsidR="00E1193C" w:rsidRDefault="00000000">
      <w:pPr>
        <w:spacing w:after="200" w:line="320" w:lineRule="auto"/>
        <w:jc w:val="both"/>
        <w:rPr>
          <w:rFonts w:cs="Arial"/>
        </w:rPr>
      </w:pPr>
      <w:r>
        <w:rPr>
          <w:color w:val="1A1A1A"/>
        </w:rPr>
        <w:t xml:space="preserve">خلص هذا البحث إلى أن علم التحصن الروحي، بعد هذا التعميق، يقف على أرضية أكثر صلابة من الناحيتين النظرية والمنهجية، من غير أن يدّعي حسم الإشكاليات </w:t>
      </w:r>
      <w:proofErr w:type="spellStart"/>
      <w:r>
        <w:rPr>
          <w:color w:val="1A1A1A"/>
        </w:rPr>
        <w:t>الابستمولوجية</w:t>
      </w:r>
      <w:proofErr w:type="spellEnd"/>
      <w:r>
        <w:rPr>
          <w:color w:val="1A1A1A"/>
        </w:rPr>
        <w:t xml:space="preserve"> العويصة المرتبطة بتقاطع الغيب والتجربة. فقد جرى في هذا البحث تعميق الأساس النصي عبر استحضار تراث أئمة التزكية، وتوسيع البناء النظري بربط أدق مع علم النفس التحليلي والتحليل النفسي وعلم الاجتماع المعياري وعلم النفس البيئي، إضافة إلى اقتراح أداة قياس أولية قابلة للتطوير. ويبقى هذا العلم، في نهاية المطاف، مشروعًا معرفيًا مفتوحًا يستدعي مزيدًا من التحكيم الأكاديمي والاختبار الميداني قبل ادّعاء اكتمال نضجه العلمي.</w:t>
      </w:r>
    </w:p>
    <w:p w14:paraId="0F9E8015" w14:textId="77777777" w:rsidR="00E1193C" w:rsidRDefault="00000000">
      <w:pPr>
        <w:rPr>
          <w:rFonts w:cs="Arial"/>
        </w:rPr>
      </w:pPr>
      <w:r>
        <w:br w:type="page"/>
      </w:r>
    </w:p>
    <w:p w14:paraId="4EA45F06" w14:textId="77777777" w:rsidR="00E1193C" w:rsidRDefault="00000000">
      <w:pPr>
        <w:shd w:val="clear" w:color="auto" w:fill="1B2A4A"/>
        <w:spacing w:before="200" w:after="100"/>
        <w:jc w:val="center"/>
        <w:rPr>
          <w:rFonts w:cs="Arial"/>
        </w:rPr>
      </w:pPr>
      <w:r>
        <w:rPr>
          <w:b/>
          <w:bCs/>
          <w:color w:val="FFFFFF"/>
          <w:sz w:val="34"/>
          <w:szCs w:val="34"/>
        </w:rPr>
        <w:t>قائمة المراجع</w:t>
      </w:r>
    </w:p>
    <w:p w14:paraId="12DE53C5" w14:textId="77777777" w:rsidR="00E1193C" w:rsidRDefault="00000000">
      <w:pPr>
        <w:spacing w:after="200" w:line="320" w:lineRule="auto"/>
        <w:jc w:val="right"/>
        <w:rPr>
          <w:rFonts w:cs="Arial"/>
        </w:rPr>
      </w:pPr>
      <w:r>
        <w:rPr>
          <w:color w:val="1A1A1A"/>
          <w:sz w:val="22"/>
          <w:szCs w:val="22"/>
        </w:rPr>
        <w:t>القرآن الكريم.</w:t>
      </w:r>
    </w:p>
    <w:p w14:paraId="76405B9E" w14:textId="77777777" w:rsidR="00E1193C" w:rsidRDefault="00000000">
      <w:pPr>
        <w:spacing w:after="200" w:line="320" w:lineRule="auto"/>
        <w:jc w:val="right"/>
        <w:rPr>
          <w:rFonts w:cs="Arial"/>
        </w:rPr>
      </w:pPr>
      <w:r>
        <w:rPr>
          <w:color w:val="1A1A1A"/>
          <w:sz w:val="22"/>
          <w:szCs w:val="22"/>
        </w:rPr>
        <w:t>البخاري، محمد بن إسماعيل، صحيح البخاري.</w:t>
      </w:r>
    </w:p>
    <w:p w14:paraId="1E07BF4D" w14:textId="77777777" w:rsidR="00E1193C" w:rsidRDefault="00000000">
      <w:pPr>
        <w:spacing w:after="200" w:line="320" w:lineRule="auto"/>
        <w:jc w:val="right"/>
        <w:rPr>
          <w:rFonts w:cs="Arial"/>
        </w:rPr>
      </w:pPr>
      <w:r>
        <w:rPr>
          <w:color w:val="1A1A1A"/>
          <w:sz w:val="22"/>
          <w:szCs w:val="22"/>
        </w:rPr>
        <w:t>مسلم بن الحجاج، صحيح مسلم.</w:t>
      </w:r>
    </w:p>
    <w:p w14:paraId="2A42AD0A" w14:textId="77777777" w:rsidR="00E1193C" w:rsidRDefault="00000000">
      <w:pPr>
        <w:spacing w:after="200" w:line="320" w:lineRule="auto"/>
        <w:jc w:val="right"/>
        <w:rPr>
          <w:rFonts w:cs="Arial"/>
        </w:rPr>
      </w:pPr>
      <w:r>
        <w:rPr>
          <w:color w:val="1A1A1A"/>
          <w:sz w:val="22"/>
          <w:szCs w:val="22"/>
        </w:rPr>
        <w:t>الألباني، محمد ناصر الدين، صحيح الجامع الصغير وزيادته.</w:t>
      </w:r>
    </w:p>
    <w:p w14:paraId="5AF517B9" w14:textId="77777777" w:rsidR="00E1193C" w:rsidRDefault="00000000">
      <w:pPr>
        <w:spacing w:after="200" w:line="320" w:lineRule="auto"/>
        <w:jc w:val="right"/>
        <w:rPr>
          <w:rFonts w:cs="Arial"/>
        </w:rPr>
      </w:pPr>
      <w:r>
        <w:rPr>
          <w:color w:val="1A1A1A"/>
          <w:sz w:val="22"/>
          <w:szCs w:val="22"/>
        </w:rPr>
        <w:t>المحاسبي، الحارث بن أسد، الرعاية لحقوق الله.</w:t>
      </w:r>
    </w:p>
    <w:p w14:paraId="079BEBCD" w14:textId="77777777" w:rsidR="00E1193C" w:rsidRDefault="00000000">
      <w:pPr>
        <w:spacing w:after="200" w:line="320" w:lineRule="auto"/>
        <w:jc w:val="right"/>
        <w:rPr>
          <w:rFonts w:cs="Arial"/>
        </w:rPr>
      </w:pPr>
      <w:r>
        <w:rPr>
          <w:color w:val="1A1A1A"/>
          <w:sz w:val="22"/>
          <w:szCs w:val="22"/>
        </w:rPr>
        <w:t>الغزالي، أبو حامد، إحياء علوم الدين.</w:t>
      </w:r>
    </w:p>
    <w:p w14:paraId="03B1D7EA" w14:textId="77777777" w:rsidR="00E1193C" w:rsidRDefault="00000000">
      <w:pPr>
        <w:spacing w:after="200" w:line="320" w:lineRule="auto"/>
        <w:jc w:val="right"/>
        <w:rPr>
          <w:rFonts w:cs="Arial"/>
        </w:rPr>
      </w:pPr>
      <w:r>
        <w:rPr>
          <w:color w:val="1A1A1A"/>
          <w:sz w:val="22"/>
          <w:szCs w:val="22"/>
        </w:rPr>
        <w:t>ابن القيم الجوزية، محمد بن أبي بكر، إغاثة اللهفان من مصايد الشيطان.</w:t>
      </w:r>
    </w:p>
    <w:p w14:paraId="58B4E793" w14:textId="77777777" w:rsidR="00E1193C" w:rsidRDefault="00000000">
      <w:pPr>
        <w:spacing w:after="200" w:line="320" w:lineRule="auto"/>
        <w:jc w:val="right"/>
        <w:rPr>
          <w:rFonts w:cs="Arial"/>
        </w:rPr>
      </w:pPr>
      <w:r>
        <w:rPr>
          <w:color w:val="1A1A1A"/>
          <w:sz w:val="22"/>
          <w:szCs w:val="22"/>
        </w:rPr>
        <w:t>ابن القيم الجوزية، محمد بن أبي بكر، الفوائد.</w:t>
      </w:r>
    </w:p>
    <w:p w14:paraId="2F24DBC1" w14:textId="77777777" w:rsidR="00E1193C" w:rsidRDefault="00000000">
      <w:pPr>
        <w:spacing w:after="200" w:line="320" w:lineRule="auto"/>
        <w:jc w:val="right"/>
        <w:rPr>
          <w:rFonts w:cs="Arial"/>
        </w:rPr>
      </w:pPr>
      <w:r>
        <w:rPr>
          <w:color w:val="1A1A1A"/>
          <w:sz w:val="22"/>
          <w:szCs w:val="22"/>
        </w:rPr>
        <w:t>ابن تيمية، أحمد بن عبد الحليم، مجموع الفتاوى.</w:t>
      </w:r>
    </w:p>
    <w:p w14:paraId="340F3D6D" w14:textId="77777777" w:rsidR="00E1193C" w:rsidRDefault="00000000">
      <w:pPr>
        <w:spacing w:after="200" w:line="320" w:lineRule="auto"/>
        <w:jc w:val="right"/>
        <w:rPr>
          <w:rFonts w:cs="Arial"/>
        </w:rPr>
      </w:pPr>
      <w:proofErr w:type="spellStart"/>
      <w:r>
        <w:rPr>
          <w:color w:val="1A1A1A"/>
          <w:sz w:val="22"/>
          <w:szCs w:val="22"/>
        </w:rPr>
        <w:t>Jung</w:t>
      </w:r>
      <w:proofErr w:type="spellEnd"/>
      <w:r>
        <w:rPr>
          <w:color w:val="1A1A1A"/>
          <w:sz w:val="22"/>
          <w:szCs w:val="22"/>
        </w:rPr>
        <w:t xml:space="preserve">, C. G. (1969). </w:t>
      </w:r>
      <w:proofErr w:type="spellStart"/>
      <w:r>
        <w:rPr>
          <w:color w:val="1A1A1A"/>
          <w:sz w:val="22"/>
          <w:szCs w:val="22"/>
        </w:rPr>
        <w:t>Aion</w:t>
      </w:r>
      <w:proofErr w:type="spellEnd"/>
      <w:r>
        <w:rPr>
          <w:color w:val="1A1A1A"/>
          <w:sz w:val="22"/>
          <w:szCs w:val="22"/>
        </w:rPr>
        <w:t xml:space="preserve">: </w:t>
      </w:r>
      <w:proofErr w:type="spellStart"/>
      <w:r>
        <w:rPr>
          <w:color w:val="1A1A1A"/>
          <w:sz w:val="22"/>
          <w:szCs w:val="22"/>
        </w:rPr>
        <w:t>Researches</w:t>
      </w:r>
      <w:proofErr w:type="spellEnd"/>
      <w:r>
        <w:rPr>
          <w:color w:val="1A1A1A"/>
          <w:sz w:val="22"/>
          <w:szCs w:val="22"/>
        </w:rPr>
        <w:t xml:space="preserve"> </w:t>
      </w:r>
      <w:proofErr w:type="spellStart"/>
      <w:r>
        <w:rPr>
          <w:color w:val="1A1A1A"/>
          <w:sz w:val="22"/>
          <w:szCs w:val="22"/>
        </w:rPr>
        <w:t>into</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Phenomenology</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Self</w:t>
      </w:r>
      <w:proofErr w:type="spellEnd"/>
      <w:r>
        <w:rPr>
          <w:color w:val="1A1A1A"/>
          <w:sz w:val="22"/>
          <w:szCs w:val="22"/>
        </w:rPr>
        <w:t xml:space="preserve">. </w:t>
      </w:r>
      <w:proofErr w:type="spellStart"/>
      <w:r>
        <w:rPr>
          <w:color w:val="1A1A1A"/>
          <w:sz w:val="22"/>
          <w:szCs w:val="22"/>
        </w:rPr>
        <w:t>Princeton</w:t>
      </w:r>
      <w:proofErr w:type="spellEnd"/>
      <w:r>
        <w:rPr>
          <w:color w:val="1A1A1A"/>
          <w:sz w:val="22"/>
          <w:szCs w:val="22"/>
        </w:rPr>
        <w:t xml:space="preserve"> </w:t>
      </w:r>
      <w:proofErr w:type="spellStart"/>
      <w:r>
        <w:rPr>
          <w:color w:val="1A1A1A"/>
          <w:sz w:val="22"/>
          <w:szCs w:val="22"/>
        </w:rPr>
        <w:t>University</w:t>
      </w:r>
      <w:proofErr w:type="spellEnd"/>
      <w:r>
        <w:rPr>
          <w:color w:val="1A1A1A"/>
          <w:sz w:val="22"/>
          <w:szCs w:val="22"/>
        </w:rPr>
        <w:t xml:space="preserve"> </w:t>
      </w:r>
      <w:proofErr w:type="spellStart"/>
      <w:r>
        <w:rPr>
          <w:color w:val="1A1A1A"/>
          <w:sz w:val="22"/>
          <w:szCs w:val="22"/>
        </w:rPr>
        <w:t>Press</w:t>
      </w:r>
      <w:proofErr w:type="spellEnd"/>
      <w:r>
        <w:rPr>
          <w:color w:val="1A1A1A"/>
          <w:sz w:val="22"/>
          <w:szCs w:val="22"/>
        </w:rPr>
        <w:t>.</w:t>
      </w:r>
    </w:p>
    <w:p w14:paraId="47B44EEC" w14:textId="77777777" w:rsidR="00E1193C" w:rsidRDefault="00000000">
      <w:pPr>
        <w:spacing w:after="200" w:line="320" w:lineRule="auto"/>
        <w:jc w:val="right"/>
        <w:rPr>
          <w:rFonts w:cs="Arial"/>
        </w:rPr>
      </w:pPr>
      <w:proofErr w:type="spellStart"/>
      <w:r>
        <w:rPr>
          <w:color w:val="1A1A1A"/>
          <w:sz w:val="22"/>
          <w:szCs w:val="22"/>
        </w:rPr>
        <w:t>Freud</w:t>
      </w:r>
      <w:proofErr w:type="spellEnd"/>
      <w:r>
        <w:rPr>
          <w:color w:val="1A1A1A"/>
          <w:sz w:val="22"/>
          <w:szCs w:val="22"/>
        </w:rPr>
        <w:t xml:space="preserve">, S. (1923).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Ego</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Id</w:t>
      </w:r>
      <w:proofErr w:type="spellEnd"/>
      <w:r>
        <w:rPr>
          <w:color w:val="1A1A1A"/>
          <w:sz w:val="22"/>
          <w:szCs w:val="22"/>
        </w:rPr>
        <w:t xml:space="preserve">. </w:t>
      </w:r>
      <w:proofErr w:type="spellStart"/>
      <w:r>
        <w:rPr>
          <w:color w:val="1A1A1A"/>
          <w:sz w:val="22"/>
          <w:szCs w:val="22"/>
        </w:rPr>
        <w:t>Standard</w:t>
      </w:r>
      <w:proofErr w:type="spellEnd"/>
      <w:r>
        <w:rPr>
          <w:color w:val="1A1A1A"/>
          <w:sz w:val="22"/>
          <w:szCs w:val="22"/>
        </w:rPr>
        <w:t xml:space="preserve"> </w:t>
      </w:r>
      <w:proofErr w:type="spellStart"/>
      <w:r>
        <w:rPr>
          <w:color w:val="1A1A1A"/>
          <w:sz w:val="22"/>
          <w:szCs w:val="22"/>
        </w:rPr>
        <w:t>Edition</w:t>
      </w:r>
      <w:proofErr w:type="spellEnd"/>
      <w:r>
        <w:rPr>
          <w:color w:val="1A1A1A"/>
          <w:sz w:val="22"/>
          <w:szCs w:val="22"/>
        </w:rPr>
        <w:t>.</w:t>
      </w:r>
    </w:p>
    <w:p w14:paraId="6B4482C8" w14:textId="77777777" w:rsidR="00E1193C" w:rsidRDefault="00000000">
      <w:pPr>
        <w:spacing w:after="200" w:line="320" w:lineRule="auto"/>
        <w:jc w:val="right"/>
        <w:rPr>
          <w:rFonts w:cs="Arial"/>
        </w:rPr>
      </w:pPr>
      <w:proofErr w:type="spellStart"/>
      <w:r>
        <w:rPr>
          <w:color w:val="1A1A1A"/>
          <w:sz w:val="22"/>
          <w:szCs w:val="22"/>
        </w:rPr>
        <w:t>Tajfel</w:t>
      </w:r>
      <w:proofErr w:type="spellEnd"/>
      <w:r>
        <w:rPr>
          <w:color w:val="1A1A1A"/>
          <w:sz w:val="22"/>
          <w:szCs w:val="22"/>
        </w:rPr>
        <w:t xml:space="preserve">, H., &amp; </w:t>
      </w:r>
      <w:proofErr w:type="spellStart"/>
      <w:r>
        <w:rPr>
          <w:color w:val="1A1A1A"/>
          <w:sz w:val="22"/>
          <w:szCs w:val="22"/>
        </w:rPr>
        <w:t>Turner</w:t>
      </w:r>
      <w:proofErr w:type="spellEnd"/>
      <w:r>
        <w:rPr>
          <w:color w:val="1A1A1A"/>
          <w:sz w:val="22"/>
          <w:szCs w:val="22"/>
        </w:rPr>
        <w:t xml:space="preserve">, J. C. (1979). </w:t>
      </w:r>
      <w:proofErr w:type="spellStart"/>
      <w:r>
        <w:rPr>
          <w:color w:val="1A1A1A"/>
          <w:sz w:val="22"/>
          <w:szCs w:val="22"/>
        </w:rPr>
        <w:t>An</w:t>
      </w:r>
      <w:proofErr w:type="spellEnd"/>
      <w:r>
        <w:rPr>
          <w:color w:val="1A1A1A"/>
          <w:sz w:val="22"/>
          <w:szCs w:val="22"/>
        </w:rPr>
        <w:t xml:space="preserve"> </w:t>
      </w:r>
      <w:proofErr w:type="spellStart"/>
      <w:r>
        <w:rPr>
          <w:color w:val="1A1A1A"/>
          <w:sz w:val="22"/>
          <w:szCs w:val="22"/>
        </w:rPr>
        <w:t>Integrative</w:t>
      </w:r>
      <w:proofErr w:type="spellEnd"/>
      <w:r>
        <w:rPr>
          <w:color w:val="1A1A1A"/>
          <w:sz w:val="22"/>
          <w:szCs w:val="22"/>
        </w:rPr>
        <w:t xml:space="preserve"> </w:t>
      </w:r>
      <w:proofErr w:type="spellStart"/>
      <w:r>
        <w:rPr>
          <w:color w:val="1A1A1A"/>
          <w:sz w:val="22"/>
          <w:szCs w:val="22"/>
        </w:rPr>
        <w:t>Theory</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Intergroup</w:t>
      </w:r>
      <w:proofErr w:type="spellEnd"/>
      <w:r>
        <w:rPr>
          <w:color w:val="1A1A1A"/>
          <w:sz w:val="22"/>
          <w:szCs w:val="22"/>
        </w:rPr>
        <w:t xml:space="preserve"> </w:t>
      </w:r>
      <w:proofErr w:type="spellStart"/>
      <w:r>
        <w:rPr>
          <w:color w:val="1A1A1A"/>
          <w:sz w:val="22"/>
          <w:szCs w:val="22"/>
        </w:rPr>
        <w:t>Conflict</w:t>
      </w:r>
      <w:proofErr w:type="spellEnd"/>
      <w:r>
        <w:rPr>
          <w:color w:val="1A1A1A"/>
          <w:sz w:val="22"/>
          <w:szCs w:val="22"/>
        </w:rPr>
        <w:t xml:space="preserve">. </w:t>
      </w:r>
      <w:proofErr w:type="spellStart"/>
      <w:r>
        <w:rPr>
          <w:color w:val="1A1A1A"/>
          <w:sz w:val="22"/>
          <w:szCs w:val="22"/>
        </w:rPr>
        <w:t>In</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Social</w:t>
      </w:r>
      <w:proofErr w:type="spellEnd"/>
      <w:r>
        <w:rPr>
          <w:color w:val="1A1A1A"/>
          <w:sz w:val="22"/>
          <w:szCs w:val="22"/>
        </w:rPr>
        <w:t xml:space="preserve"> </w:t>
      </w:r>
      <w:proofErr w:type="spellStart"/>
      <w:r>
        <w:rPr>
          <w:color w:val="1A1A1A"/>
          <w:sz w:val="22"/>
          <w:szCs w:val="22"/>
        </w:rPr>
        <w:t>Psychology</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Intergroup</w:t>
      </w:r>
      <w:proofErr w:type="spellEnd"/>
      <w:r>
        <w:rPr>
          <w:color w:val="1A1A1A"/>
          <w:sz w:val="22"/>
          <w:szCs w:val="22"/>
        </w:rPr>
        <w:t xml:space="preserve"> </w:t>
      </w:r>
      <w:proofErr w:type="spellStart"/>
      <w:r>
        <w:rPr>
          <w:color w:val="1A1A1A"/>
          <w:sz w:val="22"/>
          <w:szCs w:val="22"/>
        </w:rPr>
        <w:t>Relations</w:t>
      </w:r>
      <w:proofErr w:type="spellEnd"/>
      <w:r>
        <w:rPr>
          <w:color w:val="1A1A1A"/>
          <w:sz w:val="22"/>
          <w:szCs w:val="22"/>
        </w:rPr>
        <w:t>.</w:t>
      </w:r>
    </w:p>
    <w:p w14:paraId="3E5A24B3" w14:textId="77777777" w:rsidR="00E1193C" w:rsidRDefault="00000000">
      <w:pPr>
        <w:spacing w:after="200" w:line="320" w:lineRule="auto"/>
        <w:jc w:val="right"/>
        <w:rPr>
          <w:rFonts w:cs="Arial"/>
        </w:rPr>
      </w:pPr>
      <w:proofErr w:type="spellStart"/>
      <w:r>
        <w:rPr>
          <w:color w:val="1A1A1A"/>
          <w:sz w:val="22"/>
          <w:szCs w:val="22"/>
        </w:rPr>
        <w:t>Baumeister</w:t>
      </w:r>
      <w:proofErr w:type="spellEnd"/>
      <w:r>
        <w:rPr>
          <w:color w:val="1A1A1A"/>
          <w:sz w:val="22"/>
          <w:szCs w:val="22"/>
        </w:rPr>
        <w:t xml:space="preserve">, R. F., &amp; </w:t>
      </w:r>
      <w:proofErr w:type="spellStart"/>
      <w:r>
        <w:rPr>
          <w:color w:val="1A1A1A"/>
          <w:sz w:val="22"/>
          <w:szCs w:val="22"/>
        </w:rPr>
        <w:t>Heatherton</w:t>
      </w:r>
      <w:proofErr w:type="spellEnd"/>
      <w:r>
        <w:rPr>
          <w:color w:val="1A1A1A"/>
          <w:sz w:val="22"/>
          <w:szCs w:val="22"/>
        </w:rPr>
        <w:t xml:space="preserve">, T. F. (1996). </w:t>
      </w:r>
      <w:proofErr w:type="spellStart"/>
      <w:r>
        <w:rPr>
          <w:color w:val="1A1A1A"/>
          <w:sz w:val="22"/>
          <w:szCs w:val="22"/>
        </w:rPr>
        <w:t>Self-Regulation</w:t>
      </w:r>
      <w:proofErr w:type="spellEnd"/>
      <w:r>
        <w:rPr>
          <w:color w:val="1A1A1A"/>
          <w:sz w:val="22"/>
          <w:szCs w:val="22"/>
        </w:rPr>
        <w:t xml:space="preserve"> </w:t>
      </w:r>
      <w:proofErr w:type="spellStart"/>
      <w:r>
        <w:rPr>
          <w:color w:val="1A1A1A"/>
          <w:sz w:val="22"/>
          <w:szCs w:val="22"/>
        </w:rPr>
        <w:t>Failure</w:t>
      </w:r>
      <w:proofErr w:type="spellEnd"/>
      <w:r>
        <w:rPr>
          <w:color w:val="1A1A1A"/>
          <w:sz w:val="22"/>
          <w:szCs w:val="22"/>
        </w:rPr>
        <w:t xml:space="preserve">: </w:t>
      </w:r>
      <w:proofErr w:type="spellStart"/>
      <w:r>
        <w:rPr>
          <w:color w:val="1A1A1A"/>
          <w:sz w:val="22"/>
          <w:szCs w:val="22"/>
        </w:rPr>
        <w:t>An</w:t>
      </w:r>
      <w:proofErr w:type="spellEnd"/>
      <w:r>
        <w:rPr>
          <w:color w:val="1A1A1A"/>
          <w:sz w:val="22"/>
          <w:szCs w:val="22"/>
        </w:rPr>
        <w:t xml:space="preserve"> </w:t>
      </w:r>
      <w:proofErr w:type="spellStart"/>
      <w:r>
        <w:rPr>
          <w:color w:val="1A1A1A"/>
          <w:sz w:val="22"/>
          <w:szCs w:val="22"/>
        </w:rPr>
        <w:t>Overview</w:t>
      </w:r>
      <w:proofErr w:type="spellEnd"/>
      <w:r>
        <w:rPr>
          <w:color w:val="1A1A1A"/>
          <w:sz w:val="22"/>
          <w:szCs w:val="22"/>
        </w:rPr>
        <w:t xml:space="preserve">. </w:t>
      </w:r>
      <w:proofErr w:type="spellStart"/>
      <w:r>
        <w:rPr>
          <w:color w:val="1A1A1A"/>
          <w:sz w:val="22"/>
          <w:szCs w:val="22"/>
        </w:rPr>
        <w:t>Psychological</w:t>
      </w:r>
      <w:proofErr w:type="spellEnd"/>
      <w:r>
        <w:rPr>
          <w:color w:val="1A1A1A"/>
          <w:sz w:val="22"/>
          <w:szCs w:val="22"/>
        </w:rPr>
        <w:t xml:space="preserve"> </w:t>
      </w:r>
      <w:proofErr w:type="spellStart"/>
      <w:r>
        <w:rPr>
          <w:color w:val="1A1A1A"/>
          <w:sz w:val="22"/>
          <w:szCs w:val="22"/>
        </w:rPr>
        <w:t>Inquiry</w:t>
      </w:r>
      <w:proofErr w:type="spellEnd"/>
      <w:r>
        <w:rPr>
          <w:color w:val="1A1A1A"/>
          <w:sz w:val="22"/>
          <w:szCs w:val="22"/>
        </w:rPr>
        <w:t>.</w:t>
      </w:r>
    </w:p>
    <w:p w14:paraId="233EAC0A" w14:textId="77777777" w:rsidR="00E1193C" w:rsidRDefault="00000000">
      <w:pPr>
        <w:spacing w:after="200" w:line="320" w:lineRule="auto"/>
        <w:jc w:val="right"/>
        <w:rPr>
          <w:rFonts w:cs="Arial"/>
        </w:rPr>
      </w:pPr>
      <w:proofErr w:type="spellStart"/>
      <w:r>
        <w:rPr>
          <w:color w:val="1A1A1A"/>
          <w:sz w:val="22"/>
          <w:szCs w:val="22"/>
        </w:rPr>
        <w:t>Mullainathan</w:t>
      </w:r>
      <w:proofErr w:type="spellEnd"/>
      <w:r>
        <w:rPr>
          <w:color w:val="1A1A1A"/>
          <w:sz w:val="22"/>
          <w:szCs w:val="22"/>
        </w:rPr>
        <w:t xml:space="preserve">, S., &amp; </w:t>
      </w:r>
      <w:proofErr w:type="spellStart"/>
      <w:r>
        <w:rPr>
          <w:color w:val="1A1A1A"/>
          <w:sz w:val="22"/>
          <w:szCs w:val="22"/>
        </w:rPr>
        <w:t>Shafir</w:t>
      </w:r>
      <w:proofErr w:type="spellEnd"/>
      <w:r>
        <w:rPr>
          <w:color w:val="1A1A1A"/>
          <w:sz w:val="22"/>
          <w:szCs w:val="22"/>
        </w:rPr>
        <w:t xml:space="preserve">, E. (2013). </w:t>
      </w:r>
      <w:proofErr w:type="spellStart"/>
      <w:r>
        <w:rPr>
          <w:color w:val="1A1A1A"/>
          <w:sz w:val="22"/>
          <w:szCs w:val="22"/>
        </w:rPr>
        <w:t>Scarcity</w:t>
      </w:r>
      <w:proofErr w:type="spellEnd"/>
      <w:r>
        <w:rPr>
          <w:color w:val="1A1A1A"/>
          <w:sz w:val="22"/>
          <w:szCs w:val="22"/>
        </w:rPr>
        <w:t xml:space="preserve">: </w:t>
      </w:r>
      <w:proofErr w:type="spellStart"/>
      <w:r>
        <w:rPr>
          <w:color w:val="1A1A1A"/>
          <w:sz w:val="22"/>
          <w:szCs w:val="22"/>
        </w:rPr>
        <w:t>Why</w:t>
      </w:r>
      <w:proofErr w:type="spellEnd"/>
      <w:r>
        <w:rPr>
          <w:color w:val="1A1A1A"/>
          <w:sz w:val="22"/>
          <w:szCs w:val="22"/>
        </w:rPr>
        <w:t xml:space="preserve"> </w:t>
      </w:r>
      <w:proofErr w:type="spellStart"/>
      <w:r>
        <w:rPr>
          <w:color w:val="1A1A1A"/>
          <w:sz w:val="22"/>
          <w:szCs w:val="22"/>
        </w:rPr>
        <w:t>Having</w:t>
      </w:r>
      <w:proofErr w:type="spellEnd"/>
      <w:r>
        <w:rPr>
          <w:color w:val="1A1A1A"/>
          <w:sz w:val="22"/>
          <w:szCs w:val="22"/>
        </w:rPr>
        <w:t xml:space="preserve"> </w:t>
      </w:r>
      <w:proofErr w:type="spellStart"/>
      <w:r>
        <w:rPr>
          <w:color w:val="1A1A1A"/>
          <w:sz w:val="22"/>
          <w:szCs w:val="22"/>
        </w:rPr>
        <w:t>Too</w:t>
      </w:r>
      <w:proofErr w:type="spellEnd"/>
      <w:r>
        <w:rPr>
          <w:color w:val="1A1A1A"/>
          <w:sz w:val="22"/>
          <w:szCs w:val="22"/>
        </w:rPr>
        <w:t xml:space="preserve"> </w:t>
      </w:r>
      <w:proofErr w:type="spellStart"/>
      <w:r>
        <w:rPr>
          <w:color w:val="1A1A1A"/>
          <w:sz w:val="22"/>
          <w:szCs w:val="22"/>
        </w:rPr>
        <w:t>Little</w:t>
      </w:r>
      <w:proofErr w:type="spellEnd"/>
      <w:r>
        <w:rPr>
          <w:color w:val="1A1A1A"/>
          <w:sz w:val="22"/>
          <w:szCs w:val="22"/>
        </w:rPr>
        <w:t xml:space="preserve"> </w:t>
      </w:r>
      <w:proofErr w:type="spellStart"/>
      <w:r>
        <w:rPr>
          <w:color w:val="1A1A1A"/>
          <w:sz w:val="22"/>
          <w:szCs w:val="22"/>
        </w:rPr>
        <w:t>Means</w:t>
      </w:r>
      <w:proofErr w:type="spellEnd"/>
      <w:r>
        <w:rPr>
          <w:color w:val="1A1A1A"/>
          <w:sz w:val="22"/>
          <w:szCs w:val="22"/>
        </w:rPr>
        <w:t xml:space="preserve"> </w:t>
      </w:r>
      <w:proofErr w:type="spellStart"/>
      <w:r>
        <w:rPr>
          <w:color w:val="1A1A1A"/>
          <w:sz w:val="22"/>
          <w:szCs w:val="22"/>
        </w:rPr>
        <w:t>So</w:t>
      </w:r>
      <w:proofErr w:type="spellEnd"/>
      <w:r>
        <w:rPr>
          <w:color w:val="1A1A1A"/>
          <w:sz w:val="22"/>
          <w:szCs w:val="22"/>
        </w:rPr>
        <w:t xml:space="preserve"> </w:t>
      </w:r>
      <w:proofErr w:type="spellStart"/>
      <w:r>
        <w:rPr>
          <w:color w:val="1A1A1A"/>
          <w:sz w:val="22"/>
          <w:szCs w:val="22"/>
        </w:rPr>
        <w:t>Much</w:t>
      </w:r>
      <w:proofErr w:type="spellEnd"/>
      <w:r>
        <w:rPr>
          <w:color w:val="1A1A1A"/>
          <w:sz w:val="22"/>
          <w:szCs w:val="22"/>
        </w:rPr>
        <w:t xml:space="preserve">. </w:t>
      </w:r>
      <w:proofErr w:type="spellStart"/>
      <w:r>
        <w:rPr>
          <w:color w:val="1A1A1A"/>
          <w:sz w:val="22"/>
          <w:szCs w:val="22"/>
        </w:rPr>
        <w:t>Times</w:t>
      </w:r>
      <w:proofErr w:type="spellEnd"/>
      <w:r>
        <w:rPr>
          <w:color w:val="1A1A1A"/>
          <w:sz w:val="22"/>
          <w:szCs w:val="22"/>
        </w:rPr>
        <w:t xml:space="preserve"> </w:t>
      </w:r>
      <w:proofErr w:type="spellStart"/>
      <w:r>
        <w:rPr>
          <w:color w:val="1A1A1A"/>
          <w:sz w:val="22"/>
          <w:szCs w:val="22"/>
        </w:rPr>
        <w:t>Books</w:t>
      </w:r>
      <w:proofErr w:type="spellEnd"/>
      <w:r>
        <w:rPr>
          <w:color w:val="1A1A1A"/>
          <w:sz w:val="22"/>
          <w:szCs w:val="22"/>
        </w:rPr>
        <w:t>.</w:t>
      </w:r>
    </w:p>
    <w:p w14:paraId="365ABA46" w14:textId="77777777" w:rsidR="00E1193C" w:rsidRDefault="00000000">
      <w:pPr>
        <w:spacing w:after="200" w:line="320" w:lineRule="auto"/>
        <w:jc w:val="right"/>
        <w:rPr>
          <w:rFonts w:cs="Arial"/>
        </w:rPr>
      </w:pPr>
      <w:proofErr w:type="spellStart"/>
      <w:r>
        <w:rPr>
          <w:color w:val="1A1A1A"/>
          <w:sz w:val="22"/>
          <w:szCs w:val="22"/>
        </w:rPr>
        <w:t>Roszak</w:t>
      </w:r>
      <w:proofErr w:type="spellEnd"/>
      <w:r>
        <w:rPr>
          <w:color w:val="1A1A1A"/>
          <w:sz w:val="22"/>
          <w:szCs w:val="22"/>
        </w:rPr>
        <w:t xml:space="preserve">, T., </w:t>
      </w:r>
      <w:proofErr w:type="spellStart"/>
      <w:r>
        <w:rPr>
          <w:color w:val="1A1A1A"/>
          <w:sz w:val="22"/>
          <w:szCs w:val="22"/>
        </w:rPr>
        <w:t>Gomes</w:t>
      </w:r>
      <w:proofErr w:type="spellEnd"/>
      <w:r>
        <w:rPr>
          <w:color w:val="1A1A1A"/>
          <w:sz w:val="22"/>
          <w:szCs w:val="22"/>
        </w:rPr>
        <w:t xml:space="preserve">, M. E., &amp; </w:t>
      </w:r>
      <w:proofErr w:type="spellStart"/>
      <w:r>
        <w:rPr>
          <w:color w:val="1A1A1A"/>
          <w:sz w:val="22"/>
          <w:szCs w:val="22"/>
        </w:rPr>
        <w:t>Kanner</w:t>
      </w:r>
      <w:proofErr w:type="spellEnd"/>
      <w:r>
        <w:rPr>
          <w:color w:val="1A1A1A"/>
          <w:sz w:val="22"/>
          <w:szCs w:val="22"/>
        </w:rPr>
        <w:t>, A. D. (</w:t>
      </w:r>
      <w:proofErr w:type="spellStart"/>
      <w:r>
        <w:rPr>
          <w:color w:val="1A1A1A"/>
          <w:sz w:val="22"/>
          <w:szCs w:val="22"/>
        </w:rPr>
        <w:t>Eds</w:t>
      </w:r>
      <w:proofErr w:type="spellEnd"/>
      <w:r>
        <w:rPr>
          <w:color w:val="1A1A1A"/>
          <w:sz w:val="22"/>
          <w:szCs w:val="22"/>
        </w:rPr>
        <w:t xml:space="preserve">.). (1995). </w:t>
      </w:r>
      <w:proofErr w:type="spellStart"/>
      <w:r>
        <w:rPr>
          <w:color w:val="1A1A1A"/>
          <w:sz w:val="22"/>
          <w:szCs w:val="22"/>
        </w:rPr>
        <w:t>Ecopsychology</w:t>
      </w:r>
      <w:proofErr w:type="spellEnd"/>
      <w:r>
        <w:rPr>
          <w:color w:val="1A1A1A"/>
          <w:sz w:val="22"/>
          <w:szCs w:val="22"/>
        </w:rPr>
        <w:t xml:space="preserve">: </w:t>
      </w:r>
      <w:proofErr w:type="spellStart"/>
      <w:r>
        <w:rPr>
          <w:color w:val="1A1A1A"/>
          <w:sz w:val="22"/>
          <w:szCs w:val="22"/>
        </w:rPr>
        <w:t>Restoring</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Earth</w:t>
      </w:r>
      <w:proofErr w:type="spellEnd"/>
      <w:r>
        <w:rPr>
          <w:color w:val="1A1A1A"/>
          <w:sz w:val="22"/>
          <w:szCs w:val="22"/>
        </w:rPr>
        <w:t xml:space="preserve">, </w:t>
      </w:r>
      <w:proofErr w:type="spellStart"/>
      <w:r>
        <w:rPr>
          <w:color w:val="1A1A1A"/>
          <w:sz w:val="22"/>
          <w:szCs w:val="22"/>
        </w:rPr>
        <w:t>Healing</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Mind</w:t>
      </w:r>
      <w:proofErr w:type="spellEnd"/>
      <w:r>
        <w:rPr>
          <w:color w:val="1A1A1A"/>
          <w:sz w:val="22"/>
          <w:szCs w:val="22"/>
        </w:rPr>
        <w:t xml:space="preserve">. </w:t>
      </w:r>
      <w:proofErr w:type="spellStart"/>
      <w:r>
        <w:rPr>
          <w:color w:val="1A1A1A"/>
          <w:sz w:val="22"/>
          <w:szCs w:val="22"/>
        </w:rPr>
        <w:t>Sierra</w:t>
      </w:r>
      <w:proofErr w:type="spellEnd"/>
      <w:r>
        <w:rPr>
          <w:color w:val="1A1A1A"/>
          <w:sz w:val="22"/>
          <w:szCs w:val="22"/>
        </w:rPr>
        <w:t xml:space="preserve"> </w:t>
      </w:r>
      <w:proofErr w:type="spellStart"/>
      <w:r>
        <w:rPr>
          <w:color w:val="1A1A1A"/>
          <w:sz w:val="22"/>
          <w:szCs w:val="22"/>
        </w:rPr>
        <w:t>Club</w:t>
      </w:r>
      <w:proofErr w:type="spellEnd"/>
      <w:r>
        <w:rPr>
          <w:color w:val="1A1A1A"/>
          <w:sz w:val="22"/>
          <w:szCs w:val="22"/>
        </w:rPr>
        <w:t xml:space="preserve"> </w:t>
      </w:r>
      <w:proofErr w:type="spellStart"/>
      <w:r>
        <w:rPr>
          <w:color w:val="1A1A1A"/>
          <w:sz w:val="22"/>
          <w:szCs w:val="22"/>
        </w:rPr>
        <w:t>Books</w:t>
      </w:r>
      <w:proofErr w:type="spellEnd"/>
      <w:r>
        <w:rPr>
          <w:color w:val="1A1A1A"/>
          <w:sz w:val="22"/>
          <w:szCs w:val="22"/>
        </w:rPr>
        <w:t>.</w:t>
      </w:r>
    </w:p>
    <w:p w14:paraId="51A8E393" w14:textId="77777777" w:rsidR="00E1193C" w:rsidRDefault="00000000">
      <w:pPr>
        <w:spacing w:after="200" w:line="320" w:lineRule="auto"/>
        <w:jc w:val="right"/>
        <w:rPr>
          <w:rFonts w:cs="Arial"/>
        </w:rPr>
      </w:pPr>
      <w:proofErr w:type="spellStart"/>
      <w:r>
        <w:rPr>
          <w:color w:val="1A1A1A"/>
          <w:sz w:val="22"/>
          <w:szCs w:val="22"/>
        </w:rPr>
        <w:t>Keshavarzi</w:t>
      </w:r>
      <w:proofErr w:type="spellEnd"/>
      <w:r>
        <w:rPr>
          <w:color w:val="1A1A1A"/>
          <w:sz w:val="22"/>
          <w:szCs w:val="22"/>
        </w:rPr>
        <w:t xml:space="preserve">, H., &amp; </w:t>
      </w:r>
      <w:proofErr w:type="spellStart"/>
      <w:r>
        <w:rPr>
          <w:color w:val="1A1A1A"/>
          <w:sz w:val="22"/>
          <w:szCs w:val="22"/>
        </w:rPr>
        <w:t>Haque</w:t>
      </w:r>
      <w:proofErr w:type="spellEnd"/>
      <w:r>
        <w:rPr>
          <w:color w:val="1A1A1A"/>
          <w:sz w:val="22"/>
          <w:szCs w:val="22"/>
        </w:rPr>
        <w:t xml:space="preserve">, A. (2013). </w:t>
      </w:r>
      <w:proofErr w:type="spellStart"/>
      <w:r>
        <w:rPr>
          <w:color w:val="1A1A1A"/>
          <w:sz w:val="22"/>
          <w:szCs w:val="22"/>
        </w:rPr>
        <w:t>Outlining</w:t>
      </w:r>
      <w:proofErr w:type="spellEnd"/>
      <w:r>
        <w:rPr>
          <w:color w:val="1A1A1A"/>
          <w:sz w:val="22"/>
          <w:szCs w:val="22"/>
        </w:rPr>
        <w:t xml:space="preserve"> a </w:t>
      </w:r>
      <w:proofErr w:type="spellStart"/>
      <w:r>
        <w:rPr>
          <w:color w:val="1A1A1A"/>
          <w:sz w:val="22"/>
          <w:szCs w:val="22"/>
        </w:rPr>
        <w:t>Psychotherapy</w:t>
      </w:r>
      <w:proofErr w:type="spellEnd"/>
      <w:r>
        <w:rPr>
          <w:color w:val="1A1A1A"/>
          <w:sz w:val="22"/>
          <w:szCs w:val="22"/>
        </w:rPr>
        <w:t xml:space="preserve"> </w:t>
      </w:r>
      <w:proofErr w:type="spellStart"/>
      <w:r>
        <w:rPr>
          <w:color w:val="1A1A1A"/>
          <w:sz w:val="22"/>
          <w:szCs w:val="22"/>
        </w:rPr>
        <w:t>Model</w:t>
      </w:r>
      <w:proofErr w:type="spellEnd"/>
      <w:r>
        <w:rPr>
          <w:color w:val="1A1A1A"/>
          <w:sz w:val="22"/>
          <w:szCs w:val="22"/>
        </w:rPr>
        <w:t xml:space="preserve"> </w:t>
      </w:r>
      <w:proofErr w:type="spellStart"/>
      <w:r>
        <w:rPr>
          <w:color w:val="1A1A1A"/>
          <w:sz w:val="22"/>
          <w:szCs w:val="22"/>
        </w:rPr>
        <w:t>for</w:t>
      </w:r>
      <w:proofErr w:type="spellEnd"/>
      <w:r>
        <w:rPr>
          <w:color w:val="1A1A1A"/>
          <w:sz w:val="22"/>
          <w:szCs w:val="22"/>
        </w:rPr>
        <w:t xml:space="preserve"> </w:t>
      </w:r>
      <w:proofErr w:type="spellStart"/>
      <w:r>
        <w:rPr>
          <w:color w:val="1A1A1A"/>
          <w:sz w:val="22"/>
          <w:szCs w:val="22"/>
        </w:rPr>
        <w:t>Enhancing</w:t>
      </w:r>
      <w:proofErr w:type="spellEnd"/>
      <w:r>
        <w:rPr>
          <w:color w:val="1A1A1A"/>
          <w:sz w:val="22"/>
          <w:szCs w:val="22"/>
        </w:rPr>
        <w:t xml:space="preserve"> </w:t>
      </w:r>
      <w:proofErr w:type="spellStart"/>
      <w:r>
        <w:rPr>
          <w:color w:val="1A1A1A"/>
          <w:sz w:val="22"/>
          <w:szCs w:val="22"/>
        </w:rPr>
        <w:t>Muslim</w:t>
      </w:r>
      <w:proofErr w:type="spellEnd"/>
      <w:r>
        <w:rPr>
          <w:color w:val="1A1A1A"/>
          <w:sz w:val="22"/>
          <w:szCs w:val="22"/>
        </w:rPr>
        <w:t xml:space="preserve"> </w:t>
      </w:r>
      <w:proofErr w:type="spellStart"/>
      <w:r>
        <w:rPr>
          <w:color w:val="1A1A1A"/>
          <w:sz w:val="22"/>
          <w:szCs w:val="22"/>
        </w:rPr>
        <w:t>Mental</w:t>
      </w:r>
      <w:proofErr w:type="spellEnd"/>
      <w:r>
        <w:rPr>
          <w:color w:val="1A1A1A"/>
          <w:sz w:val="22"/>
          <w:szCs w:val="22"/>
        </w:rPr>
        <w:t xml:space="preserve"> </w:t>
      </w:r>
      <w:proofErr w:type="spellStart"/>
      <w:r>
        <w:rPr>
          <w:color w:val="1A1A1A"/>
          <w:sz w:val="22"/>
          <w:szCs w:val="22"/>
        </w:rPr>
        <w:t>Health</w:t>
      </w:r>
      <w:proofErr w:type="spellEnd"/>
      <w:r>
        <w:rPr>
          <w:color w:val="1A1A1A"/>
          <w:sz w:val="22"/>
          <w:szCs w:val="22"/>
        </w:rPr>
        <w:t xml:space="preserve">. </w:t>
      </w:r>
      <w:proofErr w:type="spellStart"/>
      <w:r>
        <w:rPr>
          <w:color w:val="1A1A1A"/>
          <w:sz w:val="22"/>
          <w:szCs w:val="22"/>
        </w:rPr>
        <w:t>Journal</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Religion</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Health</w:t>
      </w:r>
      <w:proofErr w:type="spellEnd"/>
      <w:r>
        <w:rPr>
          <w:color w:val="1A1A1A"/>
          <w:sz w:val="22"/>
          <w:szCs w:val="22"/>
        </w:rPr>
        <w:t>.</w:t>
      </w:r>
    </w:p>
    <w:p w14:paraId="572F5791" w14:textId="77777777" w:rsidR="00E1193C" w:rsidRDefault="00000000">
      <w:pPr>
        <w:spacing w:after="200" w:line="320" w:lineRule="auto"/>
        <w:jc w:val="right"/>
        <w:rPr>
          <w:rFonts w:cs="Arial"/>
        </w:rPr>
      </w:pPr>
      <w:proofErr w:type="spellStart"/>
      <w:r>
        <w:rPr>
          <w:color w:val="1A1A1A"/>
          <w:sz w:val="22"/>
          <w:szCs w:val="22"/>
        </w:rPr>
        <w:t>Popper</w:t>
      </w:r>
      <w:proofErr w:type="spellEnd"/>
      <w:r>
        <w:rPr>
          <w:color w:val="1A1A1A"/>
          <w:sz w:val="22"/>
          <w:szCs w:val="22"/>
        </w:rPr>
        <w:t xml:space="preserve">, K. (1959).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Logic</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Scientific</w:t>
      </w:r>
      <w:proofErr w:type="spellEnd"/>
      <w:r>
        <w:rPr>
          <w:color w:val="1A1A1A"/>
          <w:sz w:val="22"/>
          <w:szCs w:val="22"/>
        </w:rPr>
        <w:t xml:space="preserve"> </w:t>
      </w:r>
      <w:proofErr w:type="spellStart"/>
      <w:r>
        <w:rPr>
          <w:color w:val="1A1A1A"/>
          <w:sz w:val="22"/>
          <w:szCs w:val="22"/>
        </w:rPr>
        <w:t>Discovery</w:t>
      </w:r>
      <w:proofErr w:type="spellEnd"/>
      <w:r>
        <w:rPr>
          <w:color w:val="1A1A1A"/>
          <w:sz w:val="22"/>
          <w:szCs w:val="22"/>
        </w:rPr>
        <w:t xml:space="preserve">. </w:t>
      </w:r>
      <w:proofErr w:type="spellStart"/>
      <w:r>
        <w:rPr>
          <w:color w:val="1A1A1A"/>
          <w:sz w:val="22"/>
          <w:szCs w:val="22"/>
        </w:rPr>
        <w:t>Hutchinson</w:t>
      </w:r>
      <w:proofErr w:type="spellEnd"/>
      <w:r>
        <w:rPr>
          <w:color w:val="1A1A1A"/>
          <w:sz w:val="22"/>
          <w:szCs w:val="22"/>
        </w:rPr>
        <w:t xml:space="preserve"> &amp; </w:t>
      </w:r>
      <w:proofErr w:type="spellStart"/>
      <w:r>
        <w:rPr>
          <w:color w:val="1A1A1A"/>
          <w:sz w:val="22"/>
          <w:szCs w:val="22"/>
        </w:rPr>
        <w:t>Co</w:t>
      </w:r>
      <w:proofErr w:type="spellEnd"/>
      <w:r>
        <w:rPr>
          <w:color w:val="1A1A1A"/>
          <w:sz w:val="22"/>
          <w:szCs w:val="22"/>
        </w:rPr>
        <w:t>.</w:t>
      </w:r>
    </w:p>
    <w:sectPr w:rsidR="00E1193C">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1324" w14:textId="77777777" w:rsidR="00EF6A7C" w:rsidRDefault="00EF6A7C">
      <w:pPr>
        <w:rPr>
          <w:rFonts w:cs="Arial"/>
        </w:rPr>
      </w:pPr>
      <w:r>
        <w:separator/>
      </w:r>
    </w:p>
  </w:endnote>
  <w:endnote w:type="continuationSeparator" w:id="0">
    <w:p w14:paraId="484F6136" w14:textId="77777777" w:rsidR="00EF6A7C" w:rsidRDefault="00EF6A7C">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842C" w14:textId="77777777" w:rsidR="00E1193C" w:rsidRDefault="00000000">
    <w:pPr>
      <w:jc w:val="center"/>
      <w:rPr>
        <w:rFonts w:cs="Arial"/>
      </w:rP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D951" w14:textId="77777777" w:rsidR="00EF6A7C" w:rsidRDefault="00EF6A7C">
      <w:pPr>
        <w:rPr>
          <w:rFonts w:cs="Arial"/>
        </w:rPr>
      </w:pPr>
      <w:r>
        <w:separator/>
      </w:r>
    </w:p>
  </w:footnote>
  <w:footnote w:type="continuationSeparator" w:id="0">
    <w:p w14:paraId="784B57F1" w14:textId="77777777" w:rsidR="00EF6A7C" w:rsidRDefault="00EF6A7C">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3535" w14:textId="77777777" w:rsidR="00E1193C" w:rsidRDefault="00000000">
    <w:pPr>
      <w:pBdr>
        <w:bottom w:val="single" w:sz="4" w:space="4" w:color="B8912F"/>
      </w:pBdr>
      <w:jc w:val="center"/>
      <w:rPr>
        <w:rFonts w:cs="Arial"/>
      </w:rPr>
    </w:pPr>
    <w:r>
      <w:rPr>
        <w:color w:val="0F6E6A"/>
        <w:sz w:val="18"/>
        <w:szCs w:val="18"/>
      </w:rPr>
      <w:t>علم التحصّن الروحي — دراسة استخلافية تعميقية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0548"/>
    <w:multiLevelType w:val="hybridMultilevel"/>
    <w:tmpl w:val="FFFFFFFF"/>
    <w:lvl w:ilvl="0" w:tplc="8F88EA02">
      <w:start w:val="1"/>
      <w:numFmt w:val="bullet"/>
      <w:lvlText w:val="•"/>
      <w:lvlJc w:val="right"/>
      <w:pPr>
        <w:ind w:right="720" w:hanging="360"/>
      </w:pPr>
    </w:lvl>
    <w:lvl w:ilvl="1" w:tplc="F72CD3CA">
      <w:numFmt w:val="decimal"/>
      <w:lvlText w:val=""/>
      <w:lvlJc w:val="left"/>
    </w:lvl>
    <w:lvl w:ilvl="2" w:tplc="8D1AC76C">
      <w:numFmt w:val="decimal"/>
      <w:lvlText w:val=""/>
      <w:lvlJc w:val="left"/>
    </w:lvl>
    <w:lvl w:ilvl="3" w:tplc="064C15E2">
      <w:numFmt w:val="decimal"/>
      <w:lvlText w:val=""/>
      <w:lvlJc w:val="left"/>
    </w:lvl>
    <w:lvl w:ilvl="4" w:tplc="C6AE86C0">
      <w:numFmt w:val="decimal"/>
      <w:lvlText w:val=""/>
      <w:lvlJc w:val="left"/>
    </w:lvl>
    <w:lvl w:ilvl="5" w:tplc="FF5068B8">
      <w:numFmt w:val="decimal"/>
      <w:lvlText w:val=""/>
      <w:lvlJc w:val="left"/>
    </w:lvl>
    <w:lvl w:ilvl="6" w:tplc="F300DA02">
      <w:numFmt w:val="decimal"/>
      <w:lvlText w:val=""/>
      <w:lvlJc w:val="left"/>
    </w:lvl>
    <w:lvl w:ilvl="7" w:tplc="3F58892A">
      <w:numFmt w:val="decimal"/>
      <w:lvlText w:val=""/>
      <w:lvlJc w:val="left"/>
    </w:lvl>
    <w:lvl w:ilvl="8" w:tplc="A81EFE0E">
      <w:numFmt w:val="decimal"/>
      <w:lvlText w:val=""/>
      <w:lvlJc w:val="left"/>
    </w:lvl>
  </w:abstractNum>
  <w:abstractNum w:abstractNumId="1" w15:restartNumberingAfterBreak="0">
    <w:nsid w:val="59AF6239"/>
    <w:multiLevelType w:val="hybridMultilevel"/>
    <w:tmpl w:val="FFFFFFFF"/>
    <w:lvl w:ilvl="0" w:tplc="018A8D50">
      <w:start w:val="1"/>
      <w:numFmt w:val="bullet"/>
      <w:lvlText w:val="●"/>
      <w:lvlJc w:val="left"/>
      <w:pPr>
        <w:ind w:left="720" w:hanging="360"/>
      </w:pPr>
    </w:lvl>
    <w:lvl w:ilvl="1" w:tplc="BBAAF1DC">
      <w:start w:val="1"/>
      <w:numFmt w:val="bullet"/>
      <w:lvlText w:val="○"/>
      <w:lvlJc w:val="left"/>
      <w:pPr>
        <w:ind w:left="1440" w:hanging="360"/>
      </w:pPr>
    </w:lvl>
    <w:lvl w:ilvl="2" w:tplc="3C747F3E">
      <w:start w:val="1"/>
      <w:numFmt w:val="bullet"/>
      <w:lvlText w:val="■"/>
      <w:lvlJc w:val="left"/>
      <w:pPr>
        <w:ind w:left="2160" w:hanging="360"/>
      </w:pPr>
    </w:lvl>
    <w:lvl w:ilvl="3" w:tplc="FF02AD66">
      <w:start w:val="1"/>
      <w:numFmt w:val="bullet"/>
      <w:lvlText w:val="●"/>
      <w:lvlJc w:val="left"/>
      <w:pPr>
        <w:ind w:left="2880" w:hanging="360"/>
      </w:pPr>
    </w:lvl>
    <w:lvl w:ilvl="4" w:tplc="C8FE31BC">
      <w:start w:val="1"/>
      <w:numFmt w:val="bullet"/>
      <w:lvlText w:val="○"/>
      <w:lvlJc w:val="left"/>
      <w:pPr>
        <w:ind w:left="3600" w:hanging="360"/>
      </w:pPr>
    </w:lvl>
    <w:lvl w:ilvl="5" w:tplc="7FBAA402">
      <w:start w:val="1"/>
      <w:numFmt w:val="bullet"/>
      <w:lvlText w:val="■"/>
      <w:lvlJc w:val="left"/>
      <w:pPr>
        <w:ind w:left="4320" w:hanging="360"/>
      </w:pPr>
    </w:lvl>
    <w:lvl w:ilvl="6" w:tplc="5178D5DA">
      <w:start w:val="1"/>
      <w:numFmt w:val="bullet"/>
      <w:lvlText w:val="●"/>
      <w:lvlJc w:val="left"/>
      <w:pPr>
        <w:ind w:left="5040" w:hanging="360"/>
      </w:pPr>
    </w:lvl>
    <w:lvl w:ilvl="7" w:tplc="92F07C16">
      <w:start w:val="1"/>
      <w:numFmt w:val="bullet"/>
      <w:lvlText w:val="●"/>
      <w:lvlJc w:val="left"/>
      <w:pPr>
        <w:ind w:left="5760" w:hanging="360"/>
      </w:pPr>
    </w:lvl>
    <w:lvl w:ilvl="8" w:tplc="E1D8E090">
      <w:start w:val="1"/>
      <w:numFmt w:val="bullet"/>
      <w:lvlText w:val="●"/>
      <w:lvlJc w:val="left"/>
      <w:pPr>
        <w:ind w:left="6480" w:hanging="360"/>
      </w:pPr>
    </w:lvl>
  </w:abstractNum>
  <w:num w:numId="1" w16cid:durableId="213203177">
    <w:abstractNumId w:val="1"/>
    <w:lvlOverride w:ilvl="0">
      <w:startOverride w:val="1"/>
    </w:lvlOverride>
  </w:num>
  <w:num w:numId="2" w16cid:durableId="14244933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93C"/>
    <w:rsid w:val="00D1661F"/>
    <w:rsid w:val="00D6729F"/>
    <w:rsid w:val="00E1193C"/>
    <w:rsid w:val="00EF6A7C"/>
    <w:rsid w:val="00F966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78E0137"/>
  <w15:docId w15:val="{055958BE-299B-544E-9B03-76A94466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2807</Words>
  <Characters>16002</Characters>
  <Application>Microsoft Office Word</Application>
  <DocSecurity>0</DocSecurity>
  <Lines>133</Lines>
  <Paragraphs>37</Paragraphs>
  <ScaleCrop>false</ScaleCrop>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2026-07-05T10:57:00Z</dcterms:created>
  <dcterms:modified xsi:type="dcterms:W3CDTF">2026-07-05T11:11:00Z</dcterms:modified>
</cp:coreProperties>
</file>