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AC2CF" w14:textId="77777777" w:rsidR="00853581" w:rsidRDefault="00853581">
      <w:pPr>
        <w:spacing w:after="600"/>
      </w:pPr>
    </w:p>
    <w:p w14:paraId="5FF05584" w14:textId="77777777" w:rsidR="00853581" w:rsidRDefault="005C2A2E">
      <w:pPr>
        <w:spacing w:after="100"/>
        <w:jc w:val="center"/>
      </w:pPr>
      <w:r>
        <w:rPr>
          <w:rFonts w:ascii="Traditional Arabic" w:eastAsia="Traditional Arabic" w:hAnsi="Traditional Arabic" w:cs="Traditional Arabic"/>
          <w:i/>
          <w:iCs/>
          <w:color w:val="0E6F6C"/>
          <w:sz w:val="24"/>
          <w:szCs w:val="24"/>
          <w:rtl/>
        </w:rPr>
        <w:t>دراسة أكاديمية موسّعة في علم النفس الاستخلافي</w:t>
      </w:r>
    </w:p>
    <w:p w14:paraId="220D8C63" w14:textId="77777777" w:rsidR="00853581" w:rsidRDefault="00853581">
      <w:pPr>
        <w:spacing w:after="300"/>
      </w:pPr>
    </w:p>
    <w:p w14:paraId="7CCF66DC" w14:textId="77777777" w:rsidR="00853581" w:rsidRDefault="005C2A2E">
      <w:pPr>
        <w:spacing w:after="200"/>
        <w:jc w:val="center"/>
      </w:pPr>
      <w:r>
        <w:rPr>
          <w:rFonts w:ascii="Traditional Arabic" w:eastAsia="Traditional Arabic" w:hAnsi="Traditional Arabic" w:cs="Traditional Arabic"/>
          <w:b/>
          <w:bCs/>
          <w:color w:val="102A43"/>
          <w:sz w:val="40"/>
          <w:szCs w:val="40"/>
          <w:rtl/>
        </w:rPr>
        <w:t>من «المعيشة الضنك» إلى «الحياة الطيبة»:</w:t>
      </w:r>
    </w:p>
    <w:p w14:paraId="3BAA0F44" w14:textId="77777777" w:rsidR="00853581" w:rsidRDefault="005C2A2E">
      <w:pPr>
        <w:spacing w:after="400"/>
        <w:jc w:val="center"/>
      </w:pPr>
      <w:r>
        <w:rPr>
          <w:rFonts w:ascii="Traditional Arabic" w:eastAsia="Traditional Arabic" w:hAnsi="Traditional Arabic" w:cs="Traditional Arabic"/>
          <w:b/>
          <w:bCs/>
          <w:color w:val="102A43"/>
          <w:sz w:val="40"/>
          <w:szCs w:val="40"/>
          <w:rtl/>
        </w:rPr>
        <w:t>نحو نظرية استخلافية للاكتئاب</w:t>
      </w:r>
    </w:p>
    <w:p w14:paraId="06187B99" w14:textId="77777777" w:rsidR="00853581" w:rsidRDefault="005C2A2E">
      <w:pPr>
        <w:spacing w:after="600"/>
        <w:jc w:val="center"/>
      </w:pPr>
      <w:r>
        <w:rPr>
          <w:rFonts w:ascii="Traditional Arabic" w:eastAsia="Traditional Arabic" w:hAnsi="Traditional Arabic" w:cs="Traditional Arabic"/>
          <w:i/>
          <w:iCs/>
          <w:color w:val="0E6F6C"/>
          <w:sz w:val="26"/>
          <w:szCs w:val="26"/>
          <w:rtl/>
        </w:rPr>
        <w:t>دراسة في أنطولوجيا «الفراغ الوجودي» وديناميكيات «الطاقة المحتجزة» عند عبد السلام الزراع</w:t>
      </w:r>
    </w:p>
    <w:p w14:paraId="744A5287" w14:textId="77777777" w:rsidR="00853581" w:rsidRDefault="00853581">
      <w:pPr>
        <w:spacing w:after="800"/>
      </w:pPr>
    </w:p>
    <w:p w14:paraId="624CFCDA" w14:textId="77777777" w:rsidR="00853581" w:rsidRDefault="005C2A2E">
      <w:pPr>
        <w:spacing w:after="100"/>
        <w:jc w:val="center"/>
      </w:pPr>
      <w:r>
        <w:rPr>
          <w:rFonts w:ascii="Traditional Arabic" w:eastAsia="Traditional Arabic" w:hAnsi="Traditional Arabic" w:cs="Traditional Arabic"/>
          <w:b/>
          <w:bCs/>
          <w:color w:val="B8860B"/>
          <w:sz w:val="24"/>
          <w:szCs w:val="24"/>
          <w:rtl/>
        </w:rPr>
        <w:t>الطبعة الأكاديمية الموسّعة</w:t>
      </w:r>
    </w:p>
    <w:p w14:paraId="3E8D221E" w14:textId="77777777" w:rsidR="00853581" w:rsidRDefault="005C2A2E">
      <w:pPr>
        <w:jc w:val="center"/>
      </w:pPr>
      <w:r>
        <w:rPr>
          <w:rFonts w:ascii="Traditional Arabic" w:eastAsia="Traditional Arabic" w:hAnsi="Traditional Arabic" w:cs="Traditional Arabic"/>
          <w:color w:val="102A43"/>
          <w:sz w:val="22"/>
          <w:szCs w:val="22"/>
          <w:rtl/>
        </w:rPr>
        <w:t>1447هـ – 2026م</w:t>
      </w:r>
    </w:p>
    <w:p w14:paraId="4762BA74" w14:textId="77777777" w:rsidR="00853581" w:rsidRDefault="005C2A2E">
      <w:r>
        <w:br w:type="page"/>
      </w:r>
    </w:p>
    <w:p w14:paraId="3197E103"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  </w:t>
      </w:r>
      <w:r>
        <w:rPr>
          <w:rFonts w:ascii="Traditional Arabic" w:eastAsia="Traditional Arabic" w:hAnsi="Traditional Arabic" w:cs="Traditional Arabic"/>
          <w:b/>
          <w:bCs/>
          <w:color w:val="102A43"/>
          <w:sz w:val="28"/>
          <w:szCs w:val="28"/>
          <w:rtl/>
        </w:rPr>
        <w:t>تمهيد: الاكتئاب بوصفه «مُخبراً» أنطولوجياً — حين «يصرخ» الوجود من أجل «المعنى»</w:t>
      </w:r>
    </w:p>
    <w:p w14:paraId="2AA00702"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في عام 2023، أعلنت «منظمة الصحة العالمية» (WHO) أن «الاكتئاب» أصبح «السبب الرئيسي للإعاقة» في العالم، وأن أكثر من 280 مليون شخص يعانون منه. وفي كل عام، تُصرف «المليارات» على «مضادات الاكتئاب» و«العلاجات النفسية». ومع ذلك، فإن «معدلات» الاكتئاب — بدلاً من أن «تنخفض» — «ترتفع» بشكل «مُطرد». هذا «التناقض» — بين «زيادة» «الاستثمار» في «العلاج» و«زيادة» «المعاناة» — يطرح «سؤالاً» «وجودياً» «عميقاً»: هل «المشكلة» في «أدواتنا» العلاجية، أم في «فهمنا» لـ«طبيعة» «الاكتئاب» نفسه؟</w:t>
      </w:r>
    </w:p>
    <w:p w14:paraId="5839A62D"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هذا «السؤال» ليس «بلاغياً»، بل هو «سؤال منهجي» يفرض نفسه على أي مقاربة تدّعي «الشمول». فحين «تتضاعف» «الميزانيات البحثية» المخصصة لـ«علم الأعصاب» و«الصيدلة النفسية» دون أن «يقابلها» «انخفاض» يُذكر في «معدلات الانتشار» أو «معدلات الانتكاس»، فإن «فرضية العمل» الأكثر رصانة ليست «الاستمرار» في «مضاعفة» «الجرعة» من «النموذج» نفسه، بل «مراجعة» «الافتراضات» التي يقوم عليها. هذا بالضبط ما يفعله «كون» (</w:t>
      </w:r>
      <w:proofErr w:type="spellStart"/>
      <w:r>
        <w:rPr>
          <w:rFonts w:ascii="Traditional Arabic" w:eastAsia="Traditional Arabic" w:hAnsi="Traditional Arabic" w:cs="Traditional Arabic"/>
          <w:color w:val="2B2B2B"/>
          <w:sz w:val="26"/>
          <w:szCs w:val="26"/>
          <w:rtl/>
        </w:rPr>
        <w:t>Kuhn</w:t>
      </w:r>
      <w:proofErr w:type="spellEnd"/>
      <w:r>
        <w:rPr>
          <w:rFonts w:ascii="Traditional Arabic" w:eastAsia="Traditional Arabic" w:hAnsi="Traditional Arabic" w:cs="Traditional Arabic"/>
          <w:color w:val="2B2B2B"/>
          <w:sz w:val="26"/>
          <w:szCs w:val="26"/>
          <w:rtl/>
        </w:rPr>
        <w:t>) حين يصف «الأزمة العلمية» بوصفها لحظة «تراكم» «الشواهد المُعارضة» (</w:t>
      </w:r>
      <w:proofErr w:type="spellStart"/>
      <w:r>
        <w:rPr>
          <w:rFonts w:ascii="Traditional Arabic" w:eastAsia="Traditional Arabic" w:hAnsi="Traditional Arabic" w:cs="Traditional Arabic"/>
          <w:color w:val="2B2B2B"/>
          <w:sz w:val="26"/>
          <w:szCs w:val="26"/>
          <w:rtl/>
        </w:rPr>
        <w:t>anomalies</w:t>
      </w:r>
      <w:proofErr w:type="spellEnd"/>
      <w:r>
        <w:rPr>
          <w:rFonts w:ascii="Traditional Arabic" w:eastAsia="Traditional Arabic" w:hAnsi="Traditional Arabic" w:cs="Traditional Arabic"/>
          <w:color w:val="2B2B2B"/>
          <w:sz w:val="26"/>
          <w:szCs w:val="26"/>
          <w:rtl/>
        </w:rPr>
        <w:t>) التي «يعجز» «النموذج السائد» عن «استيعابها» ضمن «أطره» القائمة.</w:t>
      </w:r>
    </w:p>
    <w:p w14:paraId="36A8ED02"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 xml:space="preserve">في هذا السياق، يقدم الباحث عبد السلام الزراع، من خلال «نموذجه الاستخلافي» وبروتوكول «العلاج بحرث المصالحة التحويلية» (TLRT)، «تشخيصاً» «مغايراً» </w:t>
      </w:r>
      <w:proofErr w:type="spellStart"/>
      <w:r>
        <w:rPr>
          <w:rFonts w:ascii="Traditional Arabic" w:eastAsia="Traditional Arabic" w:hAnsi="Traditional Arabic" w:cs="Traditional Arabic"/>
          <w:color w:val="2B2B2B"/>
          <w:sz w:val="26"/>
          <w:szCs w:val="26"/>
          <w:rtl/>
        </w:rPr>
        <w:t>و«جذرياً</w:t>
      </w:r>
      <w:proofErr w:type="spellEnd"/>
      <w:r>
        <w:rPr>
          <w:rFonts w:ascii="Traditional Arabic" w:eastAsia="Traditional Arabic" w:hAnsi="Traditional Arabic" w:cs="Traditional Arabic"/>
          <w:color w:val="2B2B2B"/>
          <w:sz w:val="26"/>
          <w:szCs w:val="26"/>
          <w:rtl/>
        </w:rPr>
        <w:t xml:space="preserve">» للاكتئاب. فهو لا ينظر إليه بوصفه «خللاً كيميائياً» في الدماغ (كما يفعل «النموذج الطبي»)، ولا بوصفه «تشوهاً معرفياً» (كما يفعل «العلاج المعرفي»)، ولا بوصفه «عرضاً» لـ«صراع لا واعٍ» (كما يفعل «التحليل النفسي»)، بل بوصفه «أزمة وجودية وبنيوية» عميقة في «النفس البشرية»، و«جرس إنذار فطري» يُخبر الإنسان أن «مسار </w:t>
      </w:r>
      <w:proofErr w:type="spellStart"/>
      <w:r>
        <w:rPr>
          <w:rFonts w:ascii="Traditional Arabic" w:eastAsia="Traditional Arabic" w:hAnsi="Traditional Arabic" w:cs="Traditional Arabic"/>
          <w:color w:val="2B2B2B"/>
          <w:sz w:val="26"/>
          <w:szCs w:val="26"/>
          <w:rtl/>
        </w:rPr>
        <w:t>استخلافه</w:t>
      </w:r>
      <w:proofErr w:type="spellEnd"/>
      <w:r>
        <w:rPr>
          <w:rFonts w:ascii="Traditional Arabic" w:eastAsia="Traditional Arabic" w:hAnsi="Traditional Arabic" w:cs="Traditional Arabic"/>
          <w:color w:val="2B2B2B"/>
          <w:sz w:val="26"/>
          <w:szCs w:val="26"/>
          <w:rtl/>
        </w:rPr>
        <w:t>» معطل.</w:t>
      </w:r>
    </w:p>
    <w:p w14:paraId="09992558"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وتكمن «الإضافة النوعية» لهذه «الدراسة الموسّعة» في أنها لا تكتفي بـ«عرض» «النموذج الاستخلافي» بوصفه «بديلاً» «معزولاً»، بل «تُخضعه» لـ«اختبار» «مقارن» «صارم» أمام «النماذج» «العلمية» و«الفلسفية» و«الروحية» الكبرى — الطبي، المعرفي، التحليلي، الوجودي، وكذلك «التراث الكلامي والصوفي الإسلامي» في «مدارج السالكين» و«إحياء علوم الدين» — سعياً إلى «تأصيل» «موقعه» «</w:t>
      </w:r>
      <w:proofErr w:type="spellStart"/>
      <w:r>
        <w:rPr>
          <w:rFonts w:ascii="Traditional Arabic" w:eastAsia="Traditional Arabic" w:hAnsi="Traditional Arabic" w:cs="Traditional Arabic"/>
          <w:color w:val="2B2B2B"/>
          <w:sz w:val="26"/>
          <w:szCs w:val="26"/>
          <w:rtl/>
        </w:rPr>
        <w:t>الإبستمولوجي</w:t>
      </w:r>
      <w:proofErr w:type="spellEnd"/>
      <w:r>
        <w:rPr>
          <w:rFonts w:ascii="Traditional Arabic" w:eastAsia="Traditional Arabic" w:hAnsi="Traditional Arabic" w:cs="Traditional Arabic"/>
          <w:color w:val="2B2B2B"/>
          <w:sz w:val="26"/>
          <w:szCs w:val="26"/>
          <w:rtl/>
        </w:rPr>
        <w:t>» بوصفه «نموذجاً» «تكاملياً» «حَدّياً» (</w:t>
      </w:r>
      <w:proofErr w:type="spellStart"/>
      <w:r>
        <w:rPr>
          <w:rFonts w:ascii="Traditional Arabic" w:eastAsia="Traditional Arabic" w:hAnsi="Traditional Arabic" w:cs="Traditional Arabic"/>
          <w:color w:val="2B2B2B"/>
          <w:sz w:val="26"/>
          <w:szCs w:val="26"/>
          <w:rtl/>
        </w:rPr>
        <w:t>liminal</w:t>
      </w:r>
      <w:proofErr w:type="spellEnd"/>
      <w:r>
        <w:rPr>
          <w:rFonts w:ascii="Traditional Arabic" w:eastAsia="Traditional Arabic" w:hAnsi="Traditional Arabic" w:cs="Traditional Arabic"/>
          <w:color w:val="2B2B2B"/>
          <w:sz w:val="26"/>
          <w:szCs w:val="26"/>
          <w:rtl/>
        </w:rPr>
        <w:t>) يقف على «تخوم» «العلم» و«الروح» معاً، لا بديلاً «</w:t>
      </w:r>
      <w:proofErr w:type="spellStart"/>
      <w:r>
        <w:rPr>
          <w:rFonts w:ascii="Traditional Arabic" w:eastAsia="Traditional Arabic" w:hAnsi="Traditional Arabic" w:cs="Traditional Arabic"/>
          <w:color w:val="2B2B2B"/>
          <w:sz w:val="26"/>
          <w:szCs w:val="26"/>
          <w:rtl/>
        </w:rPr>
        <w:t>إقصائياً</w:t>
      </w:r>
      <w:proofErr w:type="spellEnd"/>
      <w:r>
        <w:rPr>
          <w:rFonts w:ascii="Traditional Arabic" w:eastAsia="Traditional Arabic" w:hAnsi="Traditional Arabic" w:cs="Traditional Arabic"/>
          <w:color w:val="2B2B2B"/>
          <w:sz w:val="26"/>
          <w:szCs w:val="26"/>
          <w:rtl/>
        </w:rPr>
        <w:t>» لأيٍّ منهما.</w:t>
      </w:r>
    </w:p>
    <w:p w14:paraId="533A5C9C"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هذه الدراسة — التي تتجاوز «الوصف» إلى «التحليل» و«التأصيل» والتحقق المنهجي — تسعى إلى «تفكيك» هذا «المفهوم» و«إعادة بنائه» في ضوء «علم النفس الاستخلافي»، مع «مقارنته» بالنماذج النفسية الأخرى، و«تتبعه» في «مراحل» «التحول» التي يمر بها «الإنسان» في رحلته من «المعيشة الضنك» إلى «الحياة الطيبة».</w:t>
      </w:r>
    </w:p>
    <w:p w14:paraId="00FFBCFE" w14:textId="77777777" w:rsidR="00853581" w:rsidRDefault="005C2A2E">
      <w:pPr>
        <w:pStyle w:val="1"/>
        <w:pBdr>
          <w:top w:val="single" w:sz="6" w:space="0" w:color="B8860B"/>
          <w:bottom w:val="single" w:sz="6" w:space="0" w:color="B8860B"/>
        </w:pBdr>
        <w:shd w:val="clear" w:color="auto" w:fill="1B3A5C"/>
        <w:bidi/>
        <w:spacing w:before="480" w:after="320"/>
        <w:jc w:val="center"/>
      </w:pPr>
      <w:r>
        <w:rPr>
          <w:rFonts w:ascii="Traditional Arabic" w:eastAsia="Traditional Arabic" w:hAnsi="Traditional Arabic" w:cs="Traditional Arabic"/>
          <w:b/>
          <w:bCs/>
          <w:color w:val="F4E9D8"/>
          <w:sz w:val="22"/>
          <w:szCs w:val="22"/>
          <w:rtl/>
        </w:rPr>
        <w:t>الفصل الأول</w:t>
      </w:r>
      <w:r>
        <w:rPr>
          <w:rFonts w:ascii="Traditional Arabic" w:eastAsia="Traditional Arabic" w:hAnsi="Traditional Arabic" w:cs="Traditional Arabic"/>
          <w:sz w:val="22"/>
          <w:szCs w:val="22"/>
          <w:rtl/>
        </w:rPr>
        <w:t xml:space="preserve">  </w:t>
      </w:r>
      <w:r>
        <w:rPr>
          <w:rFonts w:ascii="Traditional Arabic" w:eastAsia="Traditional Arabic" w:hAnsi="Traditional Arabic" w:cs="Traditional Arabic"/>
          <w:b/>
          <w:bCs/>
          <w:color w:val="FFFFFF"/>
          <w:sz w:val="34"/>
          <w:szCs w:val="34"/>
          <w:rtl/>
        </w:rPr>
        <w:t>«أركيولوجيا» الاكتئاب — «تفكيك» النماذج التقليدية و«بيان» قصورها</w:t>
      </w:r>
    </w:p>
    <w:p w14:paraId="6E021A76"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قبل «تقديم» «البديل» الاستخلافي، تفرض «الأمانة المنهجية» «مساءلة» «النماذج» «السائدة» بـ«معايير» «داخلية» (</w:t>
      </w:r>
      <w:proofErr w:type="spellStart"/>
      <w:r>
        <w:rPr>
          <w:rFonts w:ascii="Traditional Arabic" w:eastAsia="Traditional Arabic" w:hAnsi="Traditional Arabic" w:cs="Traditional Arabic"/>
          <w:color w:val="2B2B2B"/>
          <w:sz w:val="26"/>
          <w:szCs w:val="26"/>
          <w:rtl/>
        </w:rPr>
        <w:t>Internal</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Critique</w:t>
      </w:r>
      <w:proofErr w:type="spellEnd"/>
      <w:r>
        <w:rPr>
          <w:rFonts w:ascii="Traditional Arabic" w:eastAsia="Traditional Arabic" w:hAnsi="Traditional Arabic" w:cs="Traditional Arabic"/>
          <w:color w:val="2B2B2B"/>
          <w:sz w:val="26"/>
          <w:szCs w:val="26"/>
          <w:rtl/>
        </w:rPr>
        <w:t>) — أي «محاكمتها» وفق «غاياتها» «المعلنة» ومدى «وفائها» بها — قبل «الانتقال» إلى «محاكمة» «خارجية» (</w:t>
      </w:r>
      <w:proofErr w:type="spellStart"/>
      <w:r>
        <w:rPr>
          <w:rFonts w:ascii="Traditional Arabic" w:eastAsia="Traditional Arabic" w:hAnsi="Traditional Arabic" w:cs="Traditional Arabic"/>
          <w:color w:val="2B2B2B"/>
          <w:sz w:val="26"/>
          <w:szCs w:val="26"/>
          <w:rtl/>
        </w:rPr>
        <w:t>External</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Critique</w:t>
      </w:r>
      <w:proofErr w:type="spellEnd"/>
      <w:r>
        <w:rPr>
          <w:rFonts w:ascii="Traditional Arabic" w:eastAsia="Traditional Arabic" w:hAnsi="Traditional Arabic" w:cs="Traditional Arabic"/>
          <w:color w:val="2B2B2B"/>
          <w:sz w:val="26"/>
          <w:szCs w:val="26"/>
          <w:rtl/>
        </w:rPr>
        <w:t>) تستدعي «إطاراً» «معرفياً» مغايراً. وهذا هو «منهج» «</w:t>
      </w:r>
      <w:proofErr w:type="spellStart"/>
      <w:r>
        <w:rPr>
          <w:rFonts w:ascii="Traditional Arabic" w:eastAsia="Traditional Arabic" w:hAnsi="Traditional Arabic" w:cs="Traditional Arabic"/>
          <w:color w:val="2B2B2B"/>
          <w:sz w:val="26"/>
          <w:szCs w:val="26"/>
          <w:rtl/>
        </w:rPr>
        <w:t>الأركيولوجيا</w:t>
      </w:r>
      <w:proofErr w:type="spellEnd"/>
      <w:r>
        <w:rPr>
          <w:rFonts w:ascii="Traditional Arabic" w:eastAsia="Traditional Arabic" w:hAnsi="Traditional Arabic" w:cs="Traditional Arabic"/>
          <w:color w:val="2B2B2B"/>
          <w:sz w:val="26"/>
          <w:szCs w:val="26"/>
          <w:rtl/>
        </w:rPr>
        <w:t xml:space="preserve"> المعرفية» الذي تتبناه هذه الدراسة: «تفكيك» «طبقات» «الافتراض» المتراكمة في كل «نموذج»، لا لـ«إبطاله» بالجملة، بل لـ«تحديد» «حدود» «صلاحيته».</w:t>
      </w:r>
    </w:p>
    <w:p w14:paraId="61BE17ED"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1.1  </w:t>
      </w:r>
      <w:r>
        <w:rPr>
          <w:rFonts w:ascii="Traditional Arabic" w:eastAsia="Traditional Arabic" w:hAnsi="Traditional Arabic" w:cs="Traditional Arabic"/>
          <w:b/>
          <w:bCs/>
          <w:color w:val="102A43"/>
          <w:sz w:val="28"/>
          <w:szCs w:val="28"/>
          <w:rtl/>
        </w:rPr>
        <w:t>«النموذج الطبي» و«الاختزال» الكيميائي</w:t>
      </w:r>
    </w:p>
    <w:p w14:paraId="54A8DC74"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ينظر «النموذج الطبي» (السائد في «الطب النفسي» المعاصر) إلى الاكتئاب بوصفه «مرضاً» (</w:t>
      </w:r>
      <w:proofErr w:type="spellStart"/>
      <w:r>
        <w:rPr>
          <w:rFonts w:ascii="Traditional Arabic" w:eastAsia="Traditional Arabic" w:hAnsi="Traditional Arabic" w:cs="Traditional Arabic"/>
          <w:color w:val="2B2B2B"/>
          <w:sz w:val="26"/>
          <w:szCs w:val="26"/>
          <w:rtl/>
        </w:rPr>
        <w:t>Disease</w:t>
      </w:r>
      <w:proofErr w:type="spellEnd"/>
      <w:r>
        <w:rPr>
          <w:rFonts w:ascii="Traditional Arabic" w:eastAsia="Traditional Arabic" w:hAnsi="Traditional Arabic" w:cs="Traditional Arabic"/>
          <w:color w:val="2B2B2B"/>
          <w:sz w:val="26"/>
          <w:szCs w:val="26"/>
          <w:rtl/>
        </w:rPr>
        <w:t>) ناتجاً عن «خلل» في «النواقل العصبية» (خاصة «</w:t>
      </w:r>
      <w:proofErr w:type="spellStart"/>
      <w:r>
        <w:rPr>
          <w:rFonts w:ascii="Traditional Arabic" w:eastAsia="Traditional Arabic" w:hAnsi="Traditional Arabic" w:cs="Traditional Arabic"/>
          <w:color w:val="2B2B2B"/>
          <w:sz w:val="26"/>
          <w:szCs w:val="26"/>
          <w:rtl/>
        </w:rPr>
        <w:t>السيروتونين</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و«الدوبامين</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و«النورأدرينالين</w:t>
      </w:r>
      <w:proofErr w:type="spellEnd"/>
      <w:r>
        <w:rPr>
          <w:rFonts w:ascii="Traditional Arabic" w:eastAsia="Traditional Arabic" w:hAnsi="Traditional Arabic" w:cs="Traditional Arabic"/>
          <w:color w:val="2B2B2B"/>
          <w:sz w:val="26"/>
          <w:szCs w:val="26"/>
          <w:rtl/>
        </w:rPr>
        <w:t>»)، وفق ما يُعرف بـ«فرضية أحادي الأمين» (</w:t>
      </w:r>
      <w:proofErr w:type="spellStart"/>
      <w:r>
        <w:rPr>
          <w:rFonts w:ascii="Traditional Arabic" w:eastAsia="Traditional Arabic" w:hAnsi="Traditional Arabic" w:cs="Traditional Arabic"/>
          <w:color w:val="2B2B2B"/>
          <w:sz w:val="26"/>
          <w:szCs w:val="26"/>
          <w:rtl/>
        </w:rPr>
        <w:t>Monoamine</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Hypothesis</w:t>
      </w:r>
      <w:proofErr w:type="spellEnd"/>
      <w:r>
        <w:rPr>
          <w:rFonts w:ascii="Traditional Arabic" w:eastAsia="Traditional Arabic" w:hAnsi="Traditional Arabic" w:cs="Traditional Arabic"/>
          <w:color w:val="2B2B2B"/>
          <w:sz w:val="26"/>
          <w:szCs w:val="26"/>
          <w:rtl/>
        </w:rPr>
        <w:t>). و«العلاج» — وفق هذا «النموذج» — هو «تصحيح» هذا «الخلل» عبر «العقاقير» (مضادات الاكتئاب)، وقد استقر هذا «الإطار التشخيصي» في «الدليل التشخيصي والإحصائي للاضطرابات النفسية» (DSM-5) بوصفه «تصنيفاً» «عرَضياً» (</w:t>
      </w:r>
      <w:proofErr w:type="spellStart"/>
      <w:r>
        <w:rPr>
          <w:rFonts w:ascii="Traditional Arabic" w:eastAsia="Traditional Arabic" w:hAnsi="Traditional Arabic" w:cs="Traditional Arabic"/>
          <w:color w:val="2B2B2B"/>
          <w:sz w:val="26"/>
          <w:szCs w:val="26"/>
          <w:rtl/>
        </w:rPr>
        <w:t>Symptom-based</w:t>
      </w:r>
      <w:proofErr w:type="spellEnd"/>
      <w:r>
        <w:rPr>
          <w:rFonts w:ascii="Traditional Arabic" w:eastAsia="Traditional Arabic" w:hAnsi="Traditional Arabic" w:cs="Traditional Arabic"/>
          <w:color w:val="2B2B2B"/>
          <w:sz w:val="26"/>
          <w:szCs w:val="26"/>
          <w:rtl/>
        </w:rPr>
        <w:t>) لا «سببياً».</w:t>
      </w:r>
    </w:p>
    <w:p w14:paraId="6D1E238E"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هذا «النموذج» — رغم «فائدته» «العملية» في بعض «الحالات»، وخاصة «الحالات الحادة» التي تستدعي «تدخلاً» «عاجلاً» — يعاني من «قصور» «أنطولوجي» «جوهري» يمكن «تفصيله» في ثلاثة «مستويات»:</w:t>
      </w:r>
    </w:p>
    <w:p w14:paraId="3847017D"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«الاختزال» (</w:t>
      </w:r>
      <w:proofErr w:type="spellStart"/>
      <w:r>
        <w:rPr>
          <w:rFonts w:ascii="Traditional Arabic" w:eastAsia="Traditional Arabic" w:hAnsi="Traditional Arabic" w:cs="Traditional Arabic"/>
          <w:color w:val="2B2B2B"/>
          <w:sz w:val="26"/>
          <w:szCs w:val="26"/>
          <w:rtl/>
        </w:rPr>
        <w:t>Reductionism</w:t>
      </w:r>
      <w:proofErr w:type="spellEnd"/>
      <w:r>
        <w:rPr>
          <w:rFonts w:ascii="Traditional Arabic" w:eastAsia="Traditional Arabic" w:hAnsi="Traditional Arabic" w:cs="Traditional Arabic"/>
          <w:color w:val="2B2B2B"/>
          <w:sz w:val="26"/>
          <w:szCs w:val="26"/>
          <w:rtl/>
        </w:rPr>
        <w:t>): إنه «يُختزل» «ظاهرة» «وجودية» «معقدة» (الاكتئاب) في «بعد» «واحد» (الكيمياء العصبية)، متجاهلاً «الأبعاد» «النفسية» و«الاجتماعية» و«الروحية» و«الوجودية» لهذه «الظاهرة»، في مخالفة صريحة لما يدعو إليه «النموذج الحيوي-النفسي-الاجتماعي» (</w:t>
      </w:r>
      <w:proofErr w:type="spellStart"/>
      <w:r>
        <w:rPr>
          <w:rFonts w:ascii="Traditional Arabic" w:eastAsia="Traditional Arabic" w:hAnsi="Traditional Arabic" w:cs="Traditional Arabic"/>
          <w:color w:val="2B2B2B"/>
          <w:sz w:val="26"/>
          <w:szCs w:val="26"/>
          <w:rtl/>
        </w:rPr>
        <w:t>Biopsychosocial</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Model</w:t>
      </w:r>
      <w:proofErr w:type="spellEnd"/>
      <w:r>
        <w:rPr>
          <w:rFonts w:ascii="Traditional Arabic" w:eastAsia="Traditional Arabic" w:hAnsi="Traditional Arabic" w:cs="Traditional Arabic"/>
          <w:color w:val="2B2B2B"/>
          <w:sz w:val="26"/>
          <w:szCs w:val="26"/>
          <w:rtl/>
        </w:rPr>
        <w:t xml:space="preserve">) الذي </w:t>
      </w:r>
      <w:proofErr w:type="spellStart"/>
      <w:r>
        <w:rPr>
          <w:rFonts w:ascii="Traditional Arabic" w:eastAsia="Traditional Arabic" w:hAnsi="Traditional Arabic" w:cs="Traditional Arabic"/>
          <w:color w:val="2B2B2B"/>
          <w:sz w:val="26"/>
          <w:szCs w:val="26"/>
          <w:rtl/>
        </w:rPr>
        <w:t>أرساه</w:t>
      </w:r>
      <w:proofErr w:type="spellEnd"/>
      <w:r>
        <w:rPr>
          <w:rFonts w:ascii="Traditional Arabic" w:eastAsia="Traditional Arabic" w:hAnsi="Traditional Arabic" w:cs="Traditional Arabic"/>
          <w:color w:val="2B2B2B"/>
          <w:sz w:val="26"/>
          <w:szCs w:val="26"/>
          <w:rtl/>
        </w:rPr>
        <w:t xml:space="preserve"> إنجل (</w:t>
      </w:r>
      <w:proofErr w:type="spellStart"/>
      <w:r>
        <w:rPr>
          <w:rFonts w:ascii="Traditional Arabic" w:eastAsia="Traditional Arabic" w:hAnsi="Traditional Arabic" w:cs="Traditional Arabic"/>
          <w:color w:val="2B2B2B"/>
          <w:sz w:val="26"/>
          <w:szCs w:val="26"/>
          <w:rtl/>
        </w:rPr>
        <w:t>Engel</w:t>
      </w:r>
      <w:proofErr w:type="spellEnd"/>
      <w:r>
        <w:rPr>
          <w:rFonts w:ascii="Traditional Arabic" w:eastAsia="Traditional Arabic" w:hAnsi="Traditional Arabic" w:cs="Traditional Arabic"/>
          <w:color w:val="2B2B2B"/>
          <w:sz w:val="26"/>
          <w:szCs w:val="26"/>
          <w:rtl/>
        </w:rPr>
        <w:t>) نفسه كـ«تصحيح» لهذا «الاختزال».</w:t>
      </w:r>
    </w:p>
    <w:p w14:paraId="1710D87A"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 xml:space="preserve">«السطحية» العلاجية: إنه «يُعالج» «الأعراض» (الحزن، فقدان اللذة، الأرق) دون أن «يُعالج» «الأسباب» «العميقة» (فقدان المعنى، الفراغ الوجودي، الفصام الأخلاقي). وهذا — في «علم النفس الاستخلافي» — يشبه «مُعالجة» «الحُمّى» </w:t>
      </w:r>
      <w:proofErr w:type="spellStart"/>
      <w:r>
        <w:rPr>
          <w:rFonts w:ascii="Traditional Arabic" w:eastAsia="Traditional Arabic" w:hAnsi="Traditional Arabic" w:cs="Traditional Arabic"/>
          <w:color w:val="2B2B2B"/>
          <w:sz w:val="26"/>
          <w:szCs w:val="26"/>
          <w:rtl/>
        </w:rPr>
        <w:t>بـ«مُخفضات</w:t>
      </w:r>
      <w:proofErr w:type="spellEnd"/>
      <w:r>
        <w:rPr>
          <w:rFonts w:ascii="Traditional Arabic" w:eastAsia="Traditional Arabic" w:hAnsi="Traditional Arabic" w:cs="Traditional Arabic"/>
          <w:color w:val="2B2B2B"/>
          <w:sz w:val="26"/>
          <w:szCs w:val="26"/>
          <w:rtl/>
        </w:rPr>
        <w:t xml:space="preserve"> الحرارة» دون «البحث» عن «العدوى» التي «تُسببها».</w:t>
      </w:r>
    </w:p>
    <w:p w14:paraId="7C4D7F68"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 xml:space="preserve">«التجاهل» «الغائي»: إنه «يتجاهل» «حقيقة» أن «الاكتئاب» — في كثير من «الحالات» — ليس «مرضاً» يجب «القضاء عليه»، بل هو «عَرَض» و«رسالة» و«صرخة» «وجودية» يجب «الاستماع» إليها، على نحو يستدعي ما تصفه «الأدبيات النقدية» في «الطب النفسي» (كما عند توماس </w:t>
      </w:r>
      <w:proofErr w:type="spellStart"/>
      <w:r>
        <w:rPr>
          <w:rFonts w:ascii="Traditional Arabic" w:eastAsia="Traditional Arabic" w:hAnsi="Traditional Arabic" w:cs="Traditional Arabic"/>
          <w:color w:val="2B2B2B"/>
          <w:sz w:val="26"/>
          <w:szCs w:val="26"/>
          <w:rtl/>
        </w:rPr>
        <w:t>زاس</w:t>
      </w:r>
      <w:proofErr w:type="spellEnd"/>
      <w:r>
        <w:rPr>
          <w:rFonts w:ascii="Traditional Arabic" w:eastAsia="Traditional Arabic" w:hAnsi="Traditional Arabic" w:cs="Traditional Arabic"/>
          <w:color w:val="2B2B2B"/>
          <w:sz w:val="26"/>
          <w:szCs w:val="26"/>
          <w:rtl/>
        </w:rPr>
        <w:t xml:space="preserve"> ولاحقاً جوانا </w:t>
      </w:r>
      <w:proofErr w:type="spellStart"/>
      <w:r>
        <w:rPr>
          <w:rFonts w:ascii="Traditional Arabic" w:eastAsia="Traditional Arabic" w:hAnsi="Traditional Arabic" w:cs="Traditional Arabic"/>
          <w:color w:val="2B2B2B"/>
          <w:sz w:val="26"/>
          <w:szCs w:val="26"/>
          <w:rtl/>
        </w:rPr>
        <w:t>مونكريف</w:t>
      </w:r>
      <w:proofErr w:type="spellEnd"/>
      <w:r>
        <w:rPr>
          <w:rFonts w:ascii="Traditional Arabic" w:eastAsia="Traditional Arabic" w:hAnsi="Traditional Arabic" w:cs="Traditional Arabic"/>
          <w:color w:val="2B2B2B"/>
          <w:sz w:val="26"/>
          <w:szCs w:val="26"/>
          <w:rtl/>
        </w:rPr>
        <w:t>) بـ«أزمة الصلاحية» (</w:t>
      </w:r>
      <w:proofErr w:type="spellStart"/>
      <w:r>
        <w:rPr>
          <w:rFonts w:ascii="Traditional Arabic" w:eastAsia="Traditional Arabic" w:hAnsi="Traditional Arabic" w:cs="Traditional Arabic"/>
          <w:color w:val="2B2B2B"/>
          <w:sz w:val="26"/>
          <w:szCs w:val="26"/>
          <w:rtl/>
        </w:rPr>
        <w:t>Validity</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Crisis</w:t>
      </w:r>
      <w:proofErr w:type="spellEnd"/>
      <w:r>
        <w:rPr>
          <w:rFonts w:ascii="Traditional Arabic" w:eastAsia="Traditional Arabic" w:hAnsi="Traditional Arabic" w:cs="Traditional Arabic"/>
          <w:color w:val="2B2B2B"/>
          <w:sz w:val="26"/>
          <w:szCs w:val="26"/>
          <w:rtl/>
        </w:rPr>
        <w:t>) في «فرضية أحادي الأمين» ذاتها.</w:t>
      </w:r>
    </w:p>
    <w:p w14:paraId="441DB6BC"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1.2  </w:t>
      </w:r>
      <w:r>
        <w:rPr>
          <w:rFonts w:ascii="Traditional Arabic" w:eastAsia="Traditional Arabic" w:hAnsi="Traditional Arabic" w:cs="Traditional Arabic"/>
          <w:b/>
          <w:bCs/>
          <w:color w:val="102A43"/>
          <w:sz w:val="28"/>
          <w:szCs w:val="28"/>
          <w:rtl/>
        </w:rPr>
        <w:t>«النموذج المعرفي» و«التشوه» الفكري</w:t>
      </w:r>
    </w:p>
    <w:p w14:paraId="42F8312C"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ينظر «النموذج المعرفي» (الذي أسسه «</w:t>
      </w:r>
      <w:proofErr w:type="spellStart"/>
      <w:r>
        <w:rPr>
          <w:rFonts w:ascii="Traditional Arabic" w:eastAsia="Traditional Arabic" w:hAnsi="Traditional Arabic" w:cs="Traditional Arabic"/>
          <w:color w:val="2B2B2B"/>
          <w:sz w:val="26"/>
          <w:szCs w:val="26"/>
          <w:rtl/>
        </w:rPr>
        <w:t>آرون</w:t>
      </w:r>
      <w:proofErr w:type="spellEnd"/>
      <w:r>
        <w:rPr>
          <w:rFonts w:ascii="Traditional Arabic" w:eastAsia="Traditional Arabic" w:hAnsi="Traditional Arabic" w:cs="Traditional Arabic"/>
          <w:color w:val="2B2B2B"/>
          <w:sz w:val="26"/>
          <w:szCs w:val="26"/>
          <w:rtl/>
        </w:rPr>
        <w:t xml:space="preserve"> بيك») إلى الاكتئاب بوصفه «نتاجاً» لـ«أفكار سلبية آلية» و«تشوهات معرفية» (مثل «التعميم المفرط»، «التفكير الكارثي»، «التجريد الانتقائي»)، تنشأ عن «مخططات» (</w:t>
      </w:r>
      <w:proofErr w:type="spellStart"/>
      <w:r>
        <w:rPr>
          <w:rFonts w:ascii="Traditional Arabic" w:eastAsia="Traditional Arabic" w:hAnsi="Traditional Arabic" w:cs="Traditional Arabic"/>
          <w:color w:val="2B2B2B"/>
          <w:sz w:val="26"/>
          <w:szCs w:val="26"/>
          <w:rtl/>
        </w:rPr>
        <w:t>Schemas</w:t>
      </w:r>
      <w:proofErr w:type="spellEnd"/>
      <w:r>
        <w:rPr>
          <w:rFonts w:ascii="Traditional Arabic" w:eastAsia="Traditional Arabic" w:hAnsi="Traditional Arabic" w:cs="Traditional Arabic"/>
          <w:color w:val="2B2B2B"/>
          <w:sz w:val="26"/>
          <w:szCs w:val="26"/>
          <w:rtl/>
        </w:rPr>
        <w:t>) عميقة سلبية عن «الذات» و«العالم» و«المستقبل» — وهو ما يُعرف بـ«الثالوث المعرفي» (</w:t>
      </w:r>
      <w:proofErr w:type="spellStart"/>
      <w:r>
        <w:rPr>
          <w:rFonts w:ascii="Traditional Arabic" w:eastAsia="Traditional Arabic" w:hAnsi="Traditional Arabic" w:cs="Traditional Arabic"/>
          <w:color w:val="2B2B2B"/>
          <w:sz w:val="26"/>
          <w:szCs w:val="26"/>
          <w:rtl/>
        </w:rPr>
        <w:t>Cognitive</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Triad</w:t>
      </w:r>
      <w:proofErr w:type="spellEnd"/>
      <w:r>
        <w:rPr>
          <w:rFonts w:ascii="Traditional Arabic" w:eastAsia="Traditional Arabic" w:hAnsi="Traditional Arabic" w:cs="Traditional Arabic"/>
          <w:color w:val="2B2B2B"/>
          <w:sz w:val="26"/>
          <w:szCs w:val="26"/>
          <w:rtl/>
        </w:rPr>
        <w:t>). و«العلاج» — وفق هذا «النموذج» — هو «تصحيح» هذه «الأفكار» عبر «إعادة الهيكلة المعرفية» (</w:t>
      </w:r>
      <w:proofErr w:type="spellStart"/>
      <w:r>
        <w:rPr>
          <w:rFonts w:ascii="Traditional Arabic" w:eastAsia="Traditional Arabic" w:hAnsi="Traditional Arabic" w:cs="Traditional Arabic"/>
          <w:color w:val="2B2B2B"/>
          <w:sz w:val="26"/>
          <w:szCs w:val="26"/>
          <w:rtl/>
        </w:rPr>
        <w:t>Cognitive</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Restructuring</w:t>
      </w:r>
      <w:proofErr w:type="spellEnd"/>
      <w:r>
        <w:rPr>
          <w:rFonts w:ascii="Traditional Arabic" w:eastAsia="Traditional Arabic" w:hAnsi="Traditional Arabic" w:cs="Traditional Arabic"/>
          <w:color w:val="2B2B2B"/>
          <w:sz w:val="26"/>
          <w:szCs w:val="26"/>
          <w:rtl/>
        </w:rPr>
        <w:t>).</w:t>
      </w:r>
    </w:p>
    <w:p w14:paraId="46834DE2"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هذا «النموذج» — رغم «فعاليته» «المثبتة» «تجريبياً» في «عشرات» «التجارب العشوائية المُحكمة» — يعاني من «قصور» «أنطولوجي» أيضاً:</w:t>
      </w:r>
    </w:p>
    <w:p w14:paraId="364FBC55"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 xml:space="preserve">«التمركز حول الفكر»: إنه «يُختزل» «الاكتئاب» في «البُعد» «الفكري»، متجاهلاً «الأبعاد» «الوجدانية» و«الجسدية» و«الوجودية». فـ«الإنسان» ليس «مجرد» «آلة» «تُعالج» «المعلومات»، بل هو «كائن» «يُعاني» </w:t>
      </w:r>
      <w:proofErr w:type="spellStart"/>
      <w:r>
        <w:rPr>
          <w:rFonts w:ascii="Traditional Arabic" w:eastAsia="Traditional Arabic" w:hAnsi="Traditional Arabic" w:cs="Traditional Arabic"/>
          <w:color w:val="2B2B2B"/>
          <w:sz w:val="26"/>
          <w:szCs w:val="26"/>
          <w:rtl/>
        </w:rPr>
        <w:t>و«يُحب</w:t>
      </w:r>
      <w:proofErr w:type="spellEnd"/>
      <w:r>
        <w:rPr>
          <w:rFonts w:ascii="Traditional Arabic" w:eastAsia="Traditional Arabic" w:hAnsi="Traditional Arabic" w:cs="Traditional Arabic"/>
          <w:color w:val="2B2B2B"/>
          <w:sz w:val="26"/>
          <w:szCs w:val="26"/>
          <w:rtl/>
        </w:rPr>
        <w:t>» و«يأمل» و«ييأس».</w:t>
      </w:r>
    </w:p>
    <w:p w14:paraId="2BF8CB91"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«تجاهل السياق»: إنه «يُعالج» «الأفكار» «السلبية» كما لو كانت «نتاجاً» «فردياً» «خالصاً»، متجاهلاً «السياق» «الاجتماعي» و«الثقافي» و«الوجودي» الذي «يُنتج» هذه «الأفكار». فـ«الفكر» «الكارثي» — مثلاً — قد يكون «استجابة» «واقعية» لـ«واقع» «كارثي» فعلاً، وهو ما يستدعي «نقد» «التحيّز» «</w:t>
      </w:r>
      <w:proofErr w:type="spellStart"/>
      <w:r>
        <w:rPr>
          <w:rFonts w:ascii="Traditional Arabic" w:eastAsia="Traditional Arabic" w:hAnsi="Traditional Arabic" w:cs="Traditional Arabic"/>
          <w:color w:val="2B2B2B"/>
          <w:sz w:val="26"/>
          <w:szCs w:val="26"/>
          <w:rtl/>
        </w:rPr>
        <w:t>الفردنوي</w:t>
      </w:r>
      <w:proofErr w:type="spellEnd"/>
      <w:r>
        <w:rPr>
          <w:rFonts w:ascii="Traditional Arabic" w:eastAsia="Traditional Arabic" w:hAnsi="Traditional Arabic" w:cs="Traditional Arabic"/>
          <w:color w:val="2B2B2B"/>
          <w:sz w:val="26"/>
          <w:szCs w:val="26"/>
          <w:rtl/>
        </w:rPr>
        <w:t>» (</w:t>
      </w:r>
      <w:proofErr w:type="spellStart"/>
      <w:r>
        <w:rPr>
          <w:rFonts w:ascii="Traditional Arabic" w:eastAsia="Traditional Arabic" w:hAnsi="Traditional Arabic" w:cs="Traditional Arabic"/>
          <w:color w:val="2B2B2B"/>
          <w:sz w:val="26"/>
          <w:szCs w:val="26"/>
          <w:rtl/>
        </w:rPr>
        <w:t>Individualistic</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Bias</w:t>
      </w:r>
      <w:proofErr w:type="spellEnd"/>
      <w:r>
        <w:rPr>
          <w:rFonts w:ascii="Traditional Arabic" w:eastAsia="Traditional Arabic" w:hAnsi="Traditional Arabic" w:cs="Traditional Arabic"/>
          <w:color w:val="2B2B2B"/>
          <w:sz w:val="26"/>
          <w:szCs w:val="26"/>
          <w:rtl/>
        </w:rPr>
        <w:t>) الكامن في «العلاج المعرفي السلوكي» حين «يُصدَّر» بمعزل عن «سياقه» «الثقافي» الأصلي.</w:t>
      </w:r>
    </w:p>
    <w:p w14:paraId="02A6467B"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1.3  </w:t>
      </w:r>
      <w:r>
        <w:rPr>
          <w:rFonts w:ascii="Traditional Arabic" w:eastAsia="Traditional Arabic" w:hAnsi="Traditional Arabic" w:cs="Traditional Arabic"/>
          <w:b/>
          <w:bCs/>
          <w:color w:val="102A43"/>
          <w:sz w:val="28"/>
          <w:szCs w:val="28"/>
          <w:rtl/>
        </w:rPr>
        <w:t xml:space="preserve">«النموذج التحليلي» و«الصراع» </w:t>
      </w:r>
      <w:proofErr w:type="spellStart"/>
      <w:r>
        <w:rPr>
          <w:rFonts w:ascii="Traditional Arabic" w:eastAsia="Traditional Arabic" w:hAnsi="Traditional Arabic" w:cs="Traditional Arabic"/>
          <w:b/>
          <w:bCs/>
          <w:color w:val="102A43"/>
          <w:sz w:val="28"/>
          <w:szCs w:val="28"/>
          <w:rtl/>
        </w:rPr>
        <w:t>اللاواعي</w:t>
      </w:r>
      <w:proofErr w:type="spellEnd"/>
    </w:p>
    <w:p w14:paraId="3FEA9721"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 xml:space="preserve">ينظر «النموذج التحليلي» (فرويد، كلاين، </w:t>
      </w:r>
      <w:proofErr w:type="spellStart"/>
      <w:r>
        <w:rPr>
          <w:rFonts w:ascii="Traditional Arabic" w:eastAsia="Traditional Arabic" w:hAnsi="Traditional Arabic" w:cs="Traditional Arabic"/>
          <w:color w:val="2B2B2B"/>
          <w:sz w:val="26"/>
          <w:szCs w:val="26"/>
          <w:rtl/>
        </w:rPr>
        <w:t>وينيكوت</w:t>
      </w:r>
      <w:proofErr w:type="spellEnd"/>
      <w:r>
        <w:rPr>
          <w:rFonts w:ascii="Traditional Arabic" w:eastAsia="Traditional Arabic" w:hAnsi="Traditional Arabic" w:cs="Traditional Arabic"/>
          <w:color w:val="2B2B2B"/>
          <w:sz w:val="26"/>
          <w:szCs w:val="26"/>
          <w:rtl/>
        </w:rPr>
        <w:t xml:space="preserve">) إلى الاكتئاب بوصفه «نتاجاً» لـ«صراع لا واعٍ» بين «الأنا» و«الأنا الأعلى»، أو «حزن» «غير محلول» على «فقدان» «موضوع حب» مبكر، كما فصّل فرويد في مقالته المرجعية «الحداد </w:t>
      </w:r>
      <w:proofErr w:type="spellStart"/>
      <w:r>
        <w:rPr>
          <w:rFonts w:ascii="Traditional Arabic" w:eastAsia="Traditional Arabic" w:hAnsi="Traditional Arabic" w:cs="Traditional Arabic"/>
          <w:color w:val="2B2B2B"/>
          <w:sz w:val="26"/>
          <w:szCs w:val="26"/>
          <w:rtl/>
        </w:rPr>
        <w:t>والمالنخوليا</w:t>
      </w:r>
      <w:proofErr w:type="spellEnd"/>
      <w:r>
        <w:rPr>
          <w:rFonts w:ascii="Traditional Arabic" w:eastAsia="Traditional Arabic" w:hAnsi="Traditional Arabic" w:cs="Traditional Arabic"/>
          <w:color w:val="2B2B2B"/>
          <w:sz w:val="26"/>
          <w:szCs w:val="26"/>
          <w:rtl/>
        </w:rPr>
        <w:t>» (</w:t>
      </w:r>
      <w:proofErr w:type="spellStart"/>
      <w:r>
        <w:rPr>
          <w:rFonts w:ascii="Traditional Arabic" w:eastAsia="Traditional Arabic" w:hAnsi="Traditional Arabic" w:cs="Traditional Arabic"/>
          <w:color w:val="2B2B2B"/>
          <w:sz w:val="26"/>
          <w:szCs w:val="26"/>
          <w:rtl/>
        </w:rPr>
        <w:t>Mourning</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and</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Melancholia</w:t>
      </w:r>
      <w:proofErr w:type="spellEnd"/>
      <w:r>
        <w:rPr>
          <w:rFonts w:ascii="Traditional Arabic" w:eastAsia="Traditional Arabic" w:hAnsi="Traditional Arabic" w:cs="Traditional Arabic"/>
          <w:color w:val="2B2B2B"/>
          <w:sz w:val="26"/>
          <w:szCs w:val="26"/>
          <w:rtl/>
        </w:rPr>
        <w:t>). و«العلاج» — وفق هذا «النموذج» — هو «جعل» «</w:t>
      </w:r>
      <w:proofErr w:type="spellStart"/>
      <w:r>
        <w:rPr>
          <w:rFonts w:ascii="Traditional Arabic" w:eastAsia="Traditional Arabic" w:hAnsi="Traditional Arabic" w:cs="Traditional Arabic"/>
          <w:color w:val="2B2B2B"/>
          <w:sz w:val="26"/>
          <w:szCs w:val="26"/>
          <w:rtl/>
        </w:rPr>
        <w:t>اللاواعي</w:t>
      </w:r>
      <w:proofErr w:type="spellEnd"/>
      <w:r>
        <w:rPr>
          <w:rFonts w:ascii="Traditional Arabic" w:eastAsia="Traditional Arabic" w:hAnsi="Traditional Arabic" w:cs="Traditional Arabic"/>
          <w:color w:val="2B2B2B"/>
          <w:sz w:val="26"/>
          <w:szCs w:val="26"/>
          <w:rtl/>
        </w:rPr>
        <w:t>» «واعياً» عبر «التداعي الحر» و«تحليل» «الأحلام» و«النقل».</w:t>
      </w:r>
    </w:p>
    <w:p w14:paraId="25B49A8B"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 xml:space="preserve">«التمركز حول الماضي»: إنه «يُختزل» «الاكتئاب» في «صدمات» «الماضي» (الطفولة)، متجاهلاً «تحديات» «الحاضر» و«آفاق» «المستقبل». فـ«الإنسان» ليس «مجرد» «نتاج» لـ«تاريخه»، بل هو «كائن» «يُواجه» «حاضره» </w:t>
      </w:r>
      <w:proofErr w:type="spellStart"/>
      <w:r>
        <w:rPr>
          <w:rFonts w:ascii="Traditional Arabic" w:eastAsia="Traditional Arabic" w:hAnsi="Traditional Arabic" w:cs="Traditional Arabic"/>
          <w:color w:val="2B2B2B"/>
          <w:sz w:val="26"/>
          <w:szCs w:val="26"/>
          <w:rtl/>
        </w:rPr>
        <w:t>و«يُخطط</w:t>
      </w:r>
      <w:proofErr w:type="spellEnd"/>
      <w:r>
        <w:rPr>
          <w:rFonts w:ascii="Traditional Arabic" w:eastAsia="Traditional Arabic" w:hAnsi="Traditional Arabic" w:cs="Traditional Arabic"/>
          <w:color w:val="2B2B2B"/>
          <w:sz w:val="26"/>
          <w:szCs w:val="26"/>
          <w:rtl/>
        </w:rPr>
        <w:t>» لـ«مستقبله».</w:t>
      </w:r>
    </w:p>
    <w:p w14:paraId="1C9990E7"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«غياب الغائية»: إنه «يفتقر» إلى «رؤية» «غائية» لـ«الإنسان». فـ«التحليل» — عند فرويد — لا «يَعِد» بـ«السعادة»، بل «يَعِد» — في «أحسن» الأحوال — بـ«تحويل» «البؤس» «العصابي» إلى «بؤس» «عادي» (</w:t>
      </w:r>
      <w:proofErr w:type="spellStart"/>
      <w:r>
        <w:rPr>
          <w:rFonts w:ascii="Traditional Arabic" w:eastAsia="Traditional Arabic" w:hAnsi="Traditional Arabic" w:cs="Traditional Arabic"/>
          <w:color w:val="2B2B2B"/>
          <w:sz w:val="26"/>
          <w:szCs w:val="26"/>
          <w:rtl/>
        </w:rPr>
        <w:t>Common</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Unhappiness</w:t>
      </w:r>
      <w:proofErr w:type="spellEnd"/>
      <w:r>
        <w:rPr>
          <w:rFonts w:ascii="Traditional Arabic" w:eastAsia="Traditional Arabic" w:hAnsi="Traditional Arabic" w:cs="Traditional Arabic"/>
          <w:color w:val="2B2B2B"/>
          <w:sz w:val="26"/>
          <w:szCs w:val="26"/>
          <w:rtl/>
        </w:rPr>
        <w:t>). وهذا — في «علم النفس الاستخلافي» — «أفق» «ضيق» لا «يُرضي» «طموح» «الإنسان» «الخليفة».</w:t>
      </w:r>
    </w:p>
    <w:p w14:paraId="4A58AF8E"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1.4  </w:t>
      </w:r>
      <w:r>
        <w:rPr>
          <w:rFonts w:ascii="Traditional Arabic" w:eastAsia="Traditional Arabic" w:hAnsi="Traditional Arabic" w:cs="Traditional Arabic"/>
          <w:b/>
          <w:bCs/>
          <w:color w:val="102A43"/>
          <w:sz w:val="28"/>
          <w:szCs w:val="28"/>
          <w:rtl/>
        </w:rPr>
        <w:t>نحو «نموذج» «استخلافي»: «الاكتئاب» كـ«أزمة وجودية» و«جرس إنذار فطري»</w:t>
      </w:r>
    </w:p>
    <w:p w14:paraId="4753B8EC"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في مقابل هذه «النماذج» «القاصرة»، يقدم «النموذج الاستخلافي» «رؤية» «مغايرة» و«شاملة» للاكتئاب، تقوم على ثلاث «قضايا» «مركزية»:</w:t>
      </w:r>
    </w:p>
    <w:p w14:paraId="71EA0382"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الاكتئاب ليس «مرضاً» (بالمعنى «الطبي» الضيق)، بل هو «أزمة وجودية» ناتجة عن «انقطاع» «صلة» الإنسان بـ«فطرته» و«رسالته الكونية» كـ«خليفة».</w:t>
      </w:r>
    </w:p>
    <w:p w14:paraId="399580E5"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 xml:space="preserve">الاكتئاب ليس «خللاً» (بالمعنى «الكيميائي»)، بل هو «جرس إنذار فطري» يُخبر الإنسان أن «مسار </w:t>
      </w:r>
      <w:proofErr w:type="spellStart"/>
      <w:r>
        <w:rPr>
          <w:rFonts w:ascii="Traditional Arabic" w:eastAsia="Traditional Arabic" w:hAnsi="Traditional Arabic" w:cs="Traditional Arabic"/>
          <w:color w:val="2B2B2B"/>
          <w:sz w:val="26"/>
          <w:szCs w:val="26"/>
          <w:rtl/>
        </w:rPr>
        <w:t>استخلافه</w:t>
      </w:r>
      <w:proofErr w:type="spellEnd"/>
      <w:r>
        <w:rPr>
          <w:rFonts w:ascii="Traditional Arabic" w:eastAsia="Traditional Arabic" w:hAnsi="Traditional Arabic" w:cs="Traditional Arabic"/>
          <w:color w:val="2B2B2B"/>
          <w:sz w:val="26"/>
          <w:szCs w:val="26"/>
          <w:rtl/>
        </w:rPr>
        <w:t>» معطل، وأن «حياته» «فقدت» «معناها» و«اتجاهها».</w:t>
      </w:r>
    </w:p>
    <w:p w14:paraId="377EB5F9"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 xml:space="preserve">الاكتئاب ليس «عدواً» يجب «إبادته»، بل هو «طاقة وجودية محتجزة» «ضلت» طريقها، و«تبحث» عن «منفذ» «لتتحول» عبره إلى «فاعلية </w:t>
      </w:r>
      <w:proofErr w:type="spellStart"/>
      <w:r>
        <w:rPr>
          <w:rFonts w:ascii="Traditional Arabic" w:eastAsia="Traditional Arabic" w:hAnsi="Traditional Arabic" w:cs="Traditional Arabic"/>
          <w:color w:val="2B2B2B"/>
          <w:sz w:val="26"/>
          <w:szCs w:val="26"/>
          <w:rtl/>
        </w:rPr>
        <w:t>إحسانية</w:t>
      </w:r>
      <w:proofErr w:type="spellEnd"/>
      <w:r>
        <w:rPr>
          <w:rFonts w:ascii="Traditional Arabic" w:eastAsia="Traditional Arabic" w:hAnsi="Traditional Arabic" w:cs="Traditional Arabic"/>
          <w:color w:val="2B2B2B"/>
          <w:sz w:val="26"/>
          <w:szCs w:val="26"/>
          <w:rtl/>
        </w:rPr>
        <w:t>».</w:t>
      </w:r>
    </w:p>
    <w:p w14:paraId="1317D0B3" w14:textId="77777777" w:rsidR="00853581" w:rsidRDefault="005C2A2E">
      <w:pPr>
        <w:spacing w:before="240" w:after="140"/>
        <w:jc w:val="right"/>
      </w:pPr>
      <w:r>
        <w:rPr>
          <w:rFonts w:ascii="Traditional Arabic" w:eastAsia="Traditional Arabic" w:hAnsi="Traditional Arabic" w:cs="Traditional Arabic"/>
          <w:b/>
          <w:bCs/>
          <w:color w:val="B8860B"/>
          <w:sz w:val="24"/>
          <w:szCs w:val="24"/>
          <w:rtl/>
        </w:rPr>
        <w:t xml:space="preserve">◈ </w:t>
      </w:r>
      <w:r>
        <w:rPr>
          <w:rFonts w:ascii="Traditional Arabic" w:eastAsia="Traditional Arabic" w:hAnsi="Traditional Arabic" w:cs="Traditional Arabic"/>
          <w:b/>
          <w:bCs/>
          <w:i/>
          <w:iCs/>
          <w:color w:val="0E6F6C"/>
          <w:sz w:val="24"/>
          <w:szCs w:val="24"/>
          <w:rtl/>
        </w:rPr>
        <w:t>جدول مقارن أولي: موقع الأنموذج الاستخلافي من النماذج الثلاثة</w:t>
      </w:r>
    </w:p>
    <w:tbl>
      <w:tblPr>
        <w:tblW w:w="9000" w:type="dxa"/>
        <w:tblBorders>
          <w:top w:val="single" w:sz="4" w:space="0" w:color="1B3A5C"/>
          <w:left w:val="single" w:sz="4" w:space="0" w:color="1B3A5C"/>
          <w:bottom w:val="single" w:sz="4" w:space="0" w:color="1B3A5C"/>
          <w:right w:val="single" w:sz="4" w:space="0" w:color="1B3A5C"/>
          <w:insideH w:val="single" w:sz="2" w:space="0" w:color="B5B5B5"/>
          <w:insideV w:val="single" w:sz="2" w:space="0" w:color="B5B5B5"/>
        </w:tblBorders>
        <w:tblCellMar>
          <w:left w:w="10" w:type="dxa"/>
          <w:right w:w="10" w:type="dxa"/>
        </w:tblCellMar>
        <w:tblLook w:val="0000" w:firstRow="0" w:lastRow="0" w:firstColumn="0" w:lastColumn="0" w:noHBand="0" w:noVBand="0"/>
      </w:tblPr>
      <w:tblGrid>
        <w:gridCol w:w="1600"/>
        <w:gridCol w:w="1850"/>
        <w:gridCol w:w="1850"/>
        <w:gridCol w:w="1850"/>
        <w:gridCol w:w="1850"/>
      </w:tblGrid>
      <w:tr w:rsidR="00853581" w14:paraId="190C4BD6" w14:textId="77777777">
        <w:tblPrEx>
          <w:tblCellMar>
            <w:top w:w="0" w:type="dxa"/>
            <w:bottom w:w="0" w:type="dxa"/>
          </w:tblCellMar>
        </w:tblPrEx>
        <w:trPr>
          <w:tblHeader/>
        </w:trPr>
        <w:tc>
          <w:tcPr>
            <w:tcW w:w="1600" w:type="dxa"/>
            <w:shd w:val="clear" w:color="auto" w:fill="1B3A5C"/>
            <w:tcMar>
              <w:top w:w="120" w:type="dxa"/>
              <w:left w:w="140" w:type="dxa"/>
              <w:bottom w:w="120" w:type="dxa"/>
              <w:right w:w="140" w:type="dxa"/>
            </w:tcMar>
            <w:vAlign w:val="center"/>
          </w:tcPr>
          <w:p w14:paraId="13AE2232" w14:textId="77777777" w:rsidR="00853581" w:rsidRDefault="005C2A2E">
            <w:pPr>
              <w:jc w:val="center"/>
            </w:pPr>
            <w:r>
              <w:rPr>
                <w:rFonts w:ascii="Traditional Arabic" w:eastAsia="Traditional Arabic" w:hAnsi="Traditional Arabic" w:cs="Traditional Arabic"/>
                <w:b/>
                <w:bCs/>
                <w:color w:val="FFFFFF"/>
                <w:sz w:val="22"/>
                <w:szCs w:val="22"/>
                <w:rtl/>
              </w:rPr>
              <w:t>المعيار</w:t>
            </w:r>
          </w:p>
        </w:tc>
        <w:tc>
          <w:tcPr>
            <w:tcW w:w="1850" w:type="dxa"/>
            <w:shd w:val="clear" w:color="auto" w:fill="1B3A5C"/>
            <w:tcMar>
              <w:top w:w="120" w:type="dxa"/>
              <w:left w:w="140" w:type="dxa"/>
              <w:bottom w:w="120" w:type="dxa"/>
              <w:right w:w="140" w:type="dxa"/>
            </w:tcMar>
            <w:vAlign w:val="center"/>
          </w:tcPr>
          <w:p w14:paraId="1A62905D" w14:textId="77777777" w:rsidR="00853581" w:rsidRDefault="005C2A2E">
            <w:pPr>
              <w:jc w:val="center"/>
            </w:pPr>
            <w:r>
              <w:rPr>
                <w:rFonts w:ascii="Traditional Arabic" w:eastAsia="Traditional Arabic" w:hAnsi="Traditional Arabic" w:cs="Traditional Arabic"/>
                <w:b/>
                <w:bCs/>
                <w:color w:val="FFFFFF"/>
                <w:sz w:val="22"/>
                <w:szCs w:val="22"/>
                <w:rtl/>
              </w:rPr>
              <w:t>الطبي</w:t>
            </w:r>
          </w:p>
        </w:tc>
        <w:tc>
          <w:tcPr>
            <w:tcW w:w="1850" w:type="dxa"/>
            <w:shd w:val="clear" w:color="auto" w:fill="1B3A5C"/>
            <w:tcMar>
              <w:top w:w="120" w:type="dxa"/>
              <w:left w:w="140" w:type="dxa"/>
              <w:bottom w:w="120" w:type="dxa"/>
              <w:right w:w="140" w:type="dxa"/>
            </w:tcMar>
            <w:vAlign w:val="center"/>
          </w:tcPr>
          <w:p w14:paraId="5248FC1A" w14:textId="77777777" w:rsidR="00853581" w:rsidRDefault="005C2A2E">
            <w:pPr>
              <w:jc w:val="center"/>
            </w:pPr>
            <w:r>
              <w:rPr>
                <w:rFonts w:ascii="Traditional Arabic" w:eastAsia="Traditional Arabic" w:hAnsi="Traditional Arabic" w:cs="Traditional Arabic"/>
                <w:b/>
                <w:bCs/>
                <w:color w:val="FFFFFF"/>
                <w:sz w:val="22"/>
                <w:szCs w:val="22"/>
                <w:rtl/>
              </w:rPr>
              <w:t>المعرفي</w:t>
            </w:r>
          </w:p>
        </w:tc>
        <w:tc>
          <w:tcPr>
            <w:tcW w:w="1850" w:type="dxa"/>
            <w:shd w:val="clear" w:color="auto" w:fill="1B3A5C"/>
            <w:tcMar>
              <w:top w:w="120" w:type="dxa"/>
              <w:left w:w="140" w:type="dxa"/>
              <w:bottom w:w="120" w:type="dxa"/>
              <w:right w:w="140" w:type="dxa"/>
            </w:tcMar>
            <w:vAlign w:val="center"/>
          </w:tcPr>
          <w:p w14:paraId="54FC53C0" w14:textId="77777777" w:rsidR="00853581" w:rsidRDefault="005C2A2E">
            <w:pPr>
              <w:jc w:val="center"/>
            </w:pPr>
            <w:r>
              <w:rPr>
                <w:rFonts w:ascii="Traditional Arabic" w:eastAsia="Traditional Arabic" w:hAnsi="Traditional Arabic" w:cs="Traditional Arabic"/>
                <w:b/>
                <w:bCs/>
                <w:color w:val="FFFFFF"/>
                <w:sz w:val="22"/>
                <w:szCs w:val="22"/>
                <w:rtl/>
              </w:rPr>
              <w:t>التحليلي</w:t>
            </w:r>
          </w:p>
        </w:tc>
        <w:tc>
          <w:tcPr>
            <w:tcW w:w="1850" w:type="dxa"/>
            <w:shd w:val="clear" w:color="auto" w:fill="1B3A5C"/>
            <w:tcMar>
              <w:top w:w="120" w:type="dxa"/>
              <w:left w:w="140" w:type="dxa"/>
              <w:bottom w:w="120" w:type="dxa"/>
              <w:right w:w="140" w:type="dxa"/>
            </w:tcMar>
            <w:vAlign w:val="center"/>
          </w:tcPr>
          <w:p w14:paraId="6F25D293" w14:textId="77777777" w:rsidR="00853581" w:rsidRDefault="005C2A2E">
            <w:pPr>
              <w:jc w:val="center"/>
            </w:pPr>
            <w:r>
              <w:rPr>
                <w:rFonts w:ascii="Traditional Arabic" w:eastAsia="Traditional Arabic" w:hAnsi="Traditional Arabic" w:cs="Traditional Arabic"/>
                <w:b/>
                <w:bCs/>
                <w:color w:val="FFFFFF"/>
                <w:sz w:val="22"/>
                <w:szCs w:val="22"/>
                <w:rtl/>
              </w:rPr>
              <w:t>الاستخلافي</w:t>
            </w:r>
          </w:p>
        </w:tc>
      </w:tr>
      <w:tr w:rsidR="00853581" w14:paraId="049E247E" w14:textId="77777777">
        <w:tblPrEx>
          <w:tblCellMar>
            <w:top w:w="0" w:type="dxa"/>
            <w:bottom w:w="0" w:type="dxa"/>
          </w:tblCellMar>
        </w:tblPrEx>
        <w:tc>
          <w:tcPr>
            <w:tcW w:w="1600" w:type="dxa"/>
            <w:shd w:val="clear" w:color="auto" w:fill="E4F2F1"/>
            <w:tcMar>
              <w:top w:w="120" w:type="dxa"/>
              <w:left w:w="140" w:type="dxa"/>
              <w:bottom w:w="120" w:type="dxa"/>
              <w:right w:w="140" w:type="dxa"/>
            </w:tcMar>
            <w:vAlign w:val="center"/>
          </w:tcPr>
          <w:p w14:paraId="07C622F1" w14:textId="77777777" w:rsidR="00853581" w:rsidRDefault="005C2A2E">
            <w:pPr>
              <w:jc w:val="center"/>
            </w:pPr>
            <w:r>
              <w:rPr>
                <w:rFonts w:ascii="Traditional Arabic" w:eastAsia="Traditional Arabic" w:hAnsi="Traditional Arabic" w:cs="Traditional Arabic"/>
                <w:b/>
                <w:bCs/>
                <w:color w:val="102A43"/>
                <w:sz w:val="21"/>
                <w:szCs w:val="21"/>
                <w:rtl/>
              </w:rPr>
              <w:t>مصدر الاكتئاب</w:t>
            </w:r>
          </w:p>
        </w:tc>
        <w:tc>
          <w:tcPr>
            <w:tcW w:w="1850" w:type="dxa"/>
            <w:shd w:val="clear" w:color="auto" w:fill="FFFFFF"/>
            <w:tcMar>
              <w:top w:w="120" w:type="dxa"/>
              <w:left w:w="140" w:type="dxa"/>
              <w:bottom w:w="120" w:type="dxa"/>
              <w:right w:w="140" w:type="dxa"/>
            </w:tcMar>
            <w:vAlign w:val="center"/>
          </w:tcPr>
          <w:p w14:paraId="573734FE" w14:textId="77777777" w:rsidR="00853581" w:rsidRDefault="005C2A2E">
            <w:pPr>
              <w:jc w:val="center"/>
            </w:pPr>
            <w:r>
              <w:rPr>
                <w:rFonts w:ascii="Traditional Arabic" w:eastAsia="Traditional Arabic" w:hAnsi="Traditional Arabic" w:cs="Traditional Arabic"/>
                <w:color w:val="102A43"/>
                <w:sz w:val="21"/>
                <w:szCs w:val="21"/>
                <w:rtl/>
              </w:rPr>
              <w:t>خلل كيميائي</w:t>
            </w:r>
          </w:p>
        </w:tc>
        <w:tc>
          <w:tcPr>
            <w:tcW w:w="1850" w:type="dxa"/>
            <w:shd w:val="clear" w:color="auto" w:fill="FFFFFF"/>
            <w:tcMar>
              <w:top w:w="120" w:type="dxa"/>
              <w:left w:w="140" w:type="dxa"/>
              <w:bottom w:w="120" w:type="dxa"/>
              <w:right w:w="140" w:type="dxa"/>
            </w:tcMar>
            <w:vAlign w:val="center"/>
          </w:tcPr>
          <w:p w14:paraId="7BF8CC03" w14:textId="77777777" w:rsidR="00853581" w:rsidRDefault="005C2A2E">
            <w:pPr>
              <w:jc w:val="center"/>
            </w:pPr>
            <w:r>
              <w:rPr>
                <w:rFonts w:ascii="Traditional Arabic" w:eastAsia="Traditional Arabic" w:hAnsi="Traditional Arabic" w:cs="Traditional Arabic"/>
                <w:color w:val="102A43"/>
                <w:sz w:val="21"/>
                <w:szCs w:val="21"/>
                <w:rtl/>
              </w:rPr>
              <w:t>تشوه معرفي</w:t>
            </w:r>
          </w:p>
        </w:tc>
        <w:tc>
          <w:tcPr>
            <w:tcW w:w="1850" w:type="dxa"/>
            <w:shd w:val="clear" w:color="auto" w:fill="FFFFFF"/>
            <w:tcMar>
              <w:top w:w="120" w:type="dxa"/>
              <w:left w:w="140" w:type="dxa"/>
              <w:bottom w:w="120" w:type="dxa"/>
              <w:right w:w="140" w:type="dxa"/>
            </w:tcMar>
            <w:vAlign w:val="center"/>
          </w:tcPr>
          <w:p w14:paraId="12B783D5" w14:textId="77777777" w:rsidR="00853581" w:rsidRDefault="005C2A2E">
            <w:pPr>
              <w:jc w:val="center"/>
            </w:pPr>
            <w:r>
              <w:rPr>
                <w:rFonts w:ascii="Traditional Arabic" w:eastAsia="Traditional Arabic" w:hAnsi="Traditional Arabic" w:cs="Traditional Arabic"/>
                <w:color w:val="102A43"/>
                <w:sz w:val="21"/>
                <w:szCs w:val="21"/>
                <w:rtl/>
              </w:rPr>
              <w:t>صراع لا واعٍ</w:t>
            </w:r>
          </w:p>
        </w:tc>
        <w:tc>
          <w:tcPr>
            <w:tcW w:w="1850" w:type="dxa"/>
            <w:shd w:val="clear" w:color="auto" w:fill="FFFFFF"/>
            <w:tcMar>
              <w:top w:w="120" w:type="dxa"/>
              <w:left w:w="140" w:type="dxa"/>
              <w:bottom w:w="120" w:type="dxa"/>
              <w:right w:w="140" w:type="dxa"/>
            </w:tcMar>
            <w:vAlign w:val="center"/>
          </w:tcPr>
          <w:p w14:paraId="254935B5" w14:textId="77777777" w:rsidR="00853581" w:rsidRDefault="005C2A2E">
            <w:pPr>
              <w:jc w:val="center"/>
            </w:pPr>
            <w:r>
              <w:rPr>
                <w:rFonts w:ascii="Traditional Arabic" w:eastAsia="Traditional Arabic" w:hAnsi="Traditional Arabic" w:cs="Traditional Arabic"/>
                <w:color w:val="102A43"/>
                <w:sz w:val="21"/>
                <w:szCs w:val="21"/>
                <w:rtl/>
              </w:rPr>
              <w:t>انقطاع فطري + طاقة محتجزة</w:t>
            </w:r>
          </w:p>
        </w:tc>
      </w:tr>
      <w:tr w:rsidR="00853581" w14:paraId="6AF0D386" w14:textId="77777777">
        <w:tblPrEx>
          <w:tblCellMar>
            <w:top w:w="0" w:type="dxa"/>
            <w:bottom w:w="0" w:type="dxa"/>
          </w:tblCellMar>
        </w:tblPrEx>
        <w:tc>
          <w:tcPr>
            <w:tcW w:w="1600" w:type="dxa"/>
            <w:shd w:val="clear" w:color="auto" w:fill="E4F2F1"/>
            <w:tcMar>
              <w:top w:w="120" w:type="dxa"/>
              <w:left w:w="140" w:type="dxa"/>
              <w:bottom w:w="120" w:type="dxa"/>
              <w:right w:w="140" w:type="dxa"/>
            </w:tcMar>
            <w:vAlign w:val="center"/>
          </w:tcPr>
          <w:p w14:paraId="41EAB10B" w14:textId="77777777" w:rsidR="00853581" w:rsidRDefault="005C2A2E">
            <w:pPr>
              <w:jc w:val="center"/>
            </w:pPr>
            <w:r>
              <w:rPr>
                <w:rFonts w:ascii="Traditional Arabic" w:eastAsia="Traditional Arabic" w:hAnsi="Traditional Arabic" w:cs="Traditional Arabic"/>
                <w:b/>
                <w:bCs/>
                <w:color w:val="102A43"/>
                <w:sz w:val="21"/>
                <w:szCs w:val="21"/>
                <w:rtl/>
              </w:rPr>
              <w:t>زمن التركيز</w:t>
            </w:r>
          </w:p>
        </w:tc>
        <w:tc>
          <w:tcPr>
            <w:tcW w:w="1850" w:type="dxa"/>
            <w:shd w:val="clear" w:color="auto" w:fill="FFFFFF"/>
            <w:tcMar>
              <w:top w:w="120" w:type="dxa"/>
              <w:left w:w="140" w:type="dxa"/>
              <w:bottom w:w="120" w:type="dxa"/>
              <w:right w:w="140" w:type="dxa"/>
            </w:tcMar>
            <w:vAlign w:val="center"/>
          </w:tcPr>
          <w:p w14:paraId="6396C078" w14:textId="77777777" w:rsidR="00853581" w:rsidRDefault="005C2A2E">
            <w:pPr>
              <w:jc w:val="center"/>
            </w:pPr>
            <w:r>
              <w:rPr>
                <w:rFonts w:ascii="Traditional Arabic" w:eastAsia="Traditional Arabic" w:hAnsi="Traditional Arabic" w:cs="Traditional Arabic"/>
                <w:color w:val="102A43"/>
                <w:sz w:val="21"/>
                <w:szCs w:val="21"/>
                <w:rtl/>
              </w:rPr>
              <w:t>الحاضر العرَضي</w:t>
            </w:r>
          </w:p>
        </w:tc>
        <w:tc>
          <w:tcPr>
            <w:tcW w:w="1850" w:type="dxa"/>
            <w:shd w:val="clear" w:color="auto" w:fill="FFFFFF"/>
            <w:tcMar>
              <w:top w:w="120" w:type="dxa"/>
              <w:left w:w="140" w:type="dxa"/>
              <w:bottom w:w="120" w:type="dxa"/>
              <w:right w:w="140" w:type="dxa"/>
            </w:tcMar>
            <w:vAlign w:val="center"/>
          </w:tcPr>
          <w:p w14:paraId="2962B4C1" w14:textId="77777777" w:rsidR="00853581" w:rsidRDefault="005C2A2E">
            <w:pPr>
              <w:jc w:val="center"/>
            </w:pPr>
            <w:r>
              <w:rPr>
                <w:rFonts w:ascii="Traditional Arabic" w:eastAsia="Traditional Arabic" w:hAnsi="Traditional Arabic" w:cs="Traditional Arabic"/>
                <w:color w:val="102A43"/>
                <w:sz w:val="21"/>
                <w:szCs w:val="21"/>
                <w:rtl/>
              </w:rPr>
              <w:t>الحاضر الفكري</w:t>
            </w:r>
          </w:p>
        </w:tc>
        <w:tc>
          <w:tcPr>
            <w:tcW w:w="1850" w:type="dxa"/>
            <w:shd w:val="clear" w:color="auto" w:fill="FFFFFF"/>
            <w:tcMar>
              <w:top w:w="120" w:type="dxa"/>
              <w:left w:w="140" w:type="dxa"/>
              <w:bottom w:w="120" w:type="dxa"/>
              <w:right w:w="140" w:type="dxa"/>
            </w:tcMar>
            <w:vAlign w:val="center"/>
          </w:tcPr>
          <w:p w14:paraId="4ABD1EF0" w14:textId="77777777" w:rsidR="00853581" w:rsidRDefault="005C2A2E">
            <w:pPr>
              <w:jc w:val="center"/>
            </w:pPr>
            <w:r>
              <w:rPr>
                <w:rFonts w:ascii="Traditional Arabic" w:eastAsia="Traditional Arabic" w:hAnsi="Traditional Arabic" w:cs="Traditional Arabic"/>
                <w:color w:val="102A43"/>
                <w:sz w:val="21"/>
                <w:szCs w:val="21"/>
                <w:rtl/>
              </w:rPr>
              <w:t>الماضي</w:t>
            </w:r>
          </w:p>
        </w:tc>
        <w:tc>
          <w:tcPr>
            <w:tcW w:w="1850" w:type="dxa"/>
            <w:shd w:val="clear" w:color="auto" w:fill="FFFFFF"/>
            <w:tcMar>
              <w:top w:w="120" w:type="dxa"/>
              <w:left w:w="140" w:type="dxa"/>
              <w:bottom w:w="120" w:type="dxa"/>
              <w:right w:w="140" w:type="dxa"/>
            </w:tcMar>
            <w:vAlign w:val="center"/>
          </w:tcPr>
          <w:p w14:paraId="5458BA53" w14:textId="77777777" w:rsidR="00853581" w:rsidRDefault="005C2A2E">
            <w:pPr>
              <w:jc w:val="center"/>
            </w:pPr>
            <w:r>
              <w:rPr>
                <w:rFonts w:ascii="Traditional Arabic" w:eastAsia="Traditional Arabic" w:hAnsi="Traditional Arabic" w:cs="Traditional Arabic"/>
                <w:color w:val="102A43"/>
                <w:sz w:val="21"/>
                <w:szCs w:val="21"/>
                <w:rtl/>
              </w:rPr>
              <w:t>الحاضر والمستقبل معاً</w:t>
            </w:r>
          </w:p>
        </w:tc>
      </w:tr>
      <w:tr w:rsidR="00853581" w14:paraId="3584E9F7" w14:textId="77777777">
        <w:tblPrEx>
          <w:tblCellMar>
            <w:top w:w="0" w:type="dxa"/>
            <w:bottom w:w="0" w:type="dxa"/>
          </w:tblCellMar>
        </w:tblPrEx>
        <w:tc>
          <w:tcPr>
            <w:tcW w:w="1600" w:type="dxa"/>
            <w:shd w:val="clear" w:color="auto" w:fill="E4F2F1"/>
            <w:tcMar>
              <w:top w:w="120" w:type="dxa"/>
              <w:left w:w="140" w:type="dxa"/>
              <w:bottom w:w="120" w:type="dxa"/>
              <w:right w:w="140" w:type="dxa"/>
            </w:tcMar>
            <w:vAlign w:val="center"/>
          </w:tcPr>
          <w:p w14:paraId="33EF9F8F" w14:textId="77777777" w:rsidR="00853581" w:rsidRDefault="005C2A2E">
            <w:pPr>
              <w:jc w:val="center"/>
            </w:pPr>
            <w:r>
              <w:rPr>
                <w:rFonts w:ascii="Traditional Arabic" w:eastAsia="Traditional Arabic" w:hAnsi="Traditional Arabic" w:cs="Traditional Arabic"/>
                <w:b/>
                <w:bCs/>
                <w:color w:val="102A43"/>
                <w:sz w:val="21"/>
                <w:szCs w:val="21"/>
                <w:rtl/>
              </w:rPr>
              <w:t>غاية العلاج</w:t>
            </w:r>
          </w:p>
        </w:tc>
        <w:tc>
          <w:tcPr>
            <w:tcW w:w="1850" w:type="dxa"/>
            <w:shd w:val="clear" w:color="auto" w:fill="FFFFFF"/>
            <w:tcMar>
              <w:top w:w="120" w:type="dxa"/>
              <w:left w:w="140" w:type="dxa"/>
              <w:bottom w:w="120" w:type="dxa"/>
              <w:right w:w="140" w:type="dxa"/>
            </w:tcMar>
            <w:vAlign w:val="center"/>
          </w:tcPr>
          <w:p w14:paraId="0AC90FBD" w14:textId="77777777" w:rsidR="00853581" w:rsidRDefault="005C2A2E">
            <w:pPr>
              <w:jc w:val="center"/>
            </w:pPr>
            <w:r>
              <w:rPr>
                <w:rFonts w:ascii="Traditional Arabic" w:eastAsia="Traditional Arabic" w:hAnsi="Traditional Arabic" w:cs="Traditional Arabic"/>
                <w:color w:val="102A43"/>
                <w:sz w:val="21"/>
                <w:szCs w:val="21"/>
                <w:rtl/>
              </w:rPr>
              <w:t>إزالة الأعراض</w:t>
            </w:r>
          </w:p>
        </w:tc>
        <w:tc>
          <w:tcPr>
            <w:tcW w:w="1850" w:type="dxa"/>
            <w:shd w:val="clear" w:color="auto" w:fill="FFFFFF"/>
            <w:tcMar>
              <w:top w:w="120" w:type="dxa"/>
              <w:left w:w="140" w:type="dxa"/>
              <w:bottom w:w="120" w:type="dxa"/>
              <w:right w:w="140" w:type="dxa"/>
            </w:tcMar>
            <w:vAlign w:val="center"/>
          </w:tcPr>
          <w:p w14:paraId="5E6D7085" w14:textId="77777777" w:rsidR="00853581" w:rsidRDefault="005C2A2E">
            <w:pPr>
              <w:jc w:val="center"/>
            </w:pPr>
            <w:r>
              <w:rPr>
                <w:rFonts w:ascii="Traditional Arabic" w:eastAsia="Traditional Arabic" w:hAnsi="Traditional Arabic" w:cs="Traditional Arabic"/>
                <w:color w:val="102A43"/>
                <w:sz w:val="21"/>
                <w:szCs w:val="21"/>
                <w:rtl/>
              </w:rPr>
              <w:t>تصحيح الفكر</w:t>
            </w:r>
          </w:p>
        </w:tc>
        <w:tc>
          <w:tcPr>
            <w:tcW w:w="1850" w:type="dxa"/>
            <w:shd w:val="clear" w:color="auto" w:fill="FFFFFF"/>
            <w:tcMar>
              <w:top w:w="120" w:type="dxa"/>
              <w:left w:w="140" w:type="dxa"/>
              <w:bottom w:w="120" w:type="dxa"/>
              <w:right w:w="140" w:type="dxa"/>
            </w:tcMar>
            <w:vAlign w:val="center"/>
          </w:tcPr>
          <w:p w14:paraId="27827443" w14:textId="77777777" w:rsidR="00853581" w:rsidRDefault="005C2A2E">
            <w:pPr>
              <w:jc w:val="center"/>
            </w:pPr>
            <w:r>
              <w:rPr>
                <w:rFonts w:ascii="Traditional Arabic" w:eastAsia="Traditional Arabic" w:hAnsi="Traditional Arabic" w:cs="Traditional Arabic"/>
                <w:color w:val="102A43"/>
                <w:sz w:val="21"/>
                <w:szCs w:val="21"/>
                <w:rtl/>
              </w:rPr>
              <w:t>تسوية الصراع</w:t>
            </w:r>
          </w:p>
        </w:tc>
        <w:tc>
          <w:tcPr>
            <w:tcW w:w="1850" w:type="dxa"/>
            <w:shd w:val="clear" w:color="auto" w:fill="FFFFFF"/>
            <w:tcMar>
              <w:top w:w="120" w:type="dxa"/>
              <w:left w:w="140" w:type="dxa"/>
              <w:bottom w:w="120" w:type="dxa"/>
              <w:right w:w="140" w:type="dxa"/>
            </w:tcMar>
            <w:vAlign w:val="center"/>
          </w:tcPr>
          <w:p w14:paraId="52B2EEED" w14:textId="77777777" w:rsidR="00853581" w:rsidRDefault="005C2A2E">
            <w:pPr>
              <w:jc w:val="center"/>
            </w:pPr>
            <w:r>
              <w:rPr>
                <w:rFonts w:ascii="Traditional Arabic" w:eastAsia="Traditional Arabic" w:hAnsi="Traditional Arabic" w:cs="Traditional Arabic"/>
                <w:color w:val="102A43"/>
                <w:sz w:val="21"/>
                <w:szCs w:val="21"/>
                <w:rtl/>
              </w:rPr>
              <w:t>تحويل الطاقة نحو الإحسان</w:t>
            </w:r>
          </w:p>
        </w:tc>
      </w:tr>
      <w:tr w:rsidR="00853581" w14:paraId="07836819" w14:textId="77777777">
        <w:tblPrEx>
          <w:tblCellMar>
            <w:top w:w="0" w:type="dxa"/>
            <w:bottom w:w="0" w:type="dxa"/>
          </w:tblCellMar>
        </w:tblPrEx>
        <w:tc>
          <w:tcPr>
            <w:tcW w:w="1600" w:type="dxa"/>
            <w:shd w:val="clear" w:color="auto" w:fill="E4F2F1"/>
            <w:tcMar>
              <w:top w:w="120" w:type="dxa"/>
              <w:left w:w="140" w:type="dxa"/>
              <w:bottom w:w="120" w:type="dxa"/>
              <w:right w:w="140" w:type="dxa"/>
            </w:tcMar>
            <w:vAlign w:val="center"/>
          </w:tcPr>
          <w:p w14:paraId="471089D6" w14:textId="77777777" w:rsidR="00853581" w:rsidRDefault="005C2A2E">
            <w:pPr>
              <w:jc w:val="center"/>
            </w:pPr>
            <w:r>
              <w:rPr>
                <w:rFonts w:ascii="Traditional Arabic" w:eastAsia="Traditional Arabic" w:hAnsi="Traditional Arabic" w:cs="Traditional Arabic"/>
                <w:b/>
                <w:bCs/>
                <w:color w:val="102A43"/>
                <w:sz w:val="21"/>
                <w:szCs w:val="21"/>
                <w:rtl/>
              </w:rPr>
              <w:t>أفق النتيجة</w:t>
            </w:r>
          </w:p>
        </w:tc>
        <w:tc>
          <w:tcPr>
            <w:tcW w:w="1850" w:type="dxa"/>
            <w:shd w:val="clear" w:color="auto" w:fill="FFFFFF"/>
            <w:tcMar>
              <w:top w:w="120" w:type="dxa"/>
              <w:left w:w="140" w:type="dxa"/>
              <w:bottom w:w="120" w:type="dxa"/>
              <w:right w:w="140" w:type="dxa"/>
            </w:tcMar>
            <w:vAlign w:val="center"/>
          </w:tcPr>
          <w:p w14:paraId="6084C02A" w14:textId="77777777" w:rsidR="00853581" w:rsidRDefault="005C2A2E">
            <w:pPr>
              <w:jc w:val="center"/>
            </w:pPr>
            <w:r>
              <w:rPr>
                <w:rFonts w:ascii="Traditional Arabic" w:eastAsia="Traditional Arabic" w:hAnsi="Traditional Arabic" w:cs="Traditional Arabic"/>
                <w:color w:val="102A43"/>
                <w:sz w:val="21"/>
                <w:szCs w:val="21"/>
                <w:rtl/>
              </w:rPr>
              <w:t>هدوء كيميائي</w:t>
            </w:r>
          </w:p>
        </w:tc>
        <w:tc>
          <w:tcPr>
            <w:tcW w:w="1850" w:type="dxa"/>
            <w:shd w:val="clear" w:color="auto" w:fill="FFFFFF"/>
            <w:tcMar>
              <w:top w:w="120" w:type="dxa"/>
              <w:left w:w="140" w:type="dxa"/>
              <w:bottom w:w="120" w:type="dxa"/>
              <w:right w:w="140" w:type="dxa"/>
            </w:tcMar>
            <w:vAlign w:val="center"/>
          </w:tcPr>
          <w:p w14:paraId="5FCCFAE6" w14:textId="77777777" w:rsidR="00853581" w:rsidRDefault="005C2A2E">
            <w:pPr>
              <w:jc w:val="center"/>
            </w:pPr>
            <w:r>
              <w:rPr>
                <w:rFonts w:ascii="Traditional Arabic" w:eastAsia="Traditional Arabic" w:hAnsi="Traditional Arabic" w:cs="Traditional Arabic"/>
                <w:color w:val="102A43"/>
                <w:sz w:val="21"/>
                <w:szCs w:val="21"/>
                <w:rtl/>
              </w:rPr>
              <w:t>توازن فكري</w:t>
            </w:r>
          </w:p>
        </w:tc>
        <w:tc>
          <w:tcPr>
            <w:tcW w:w="1850" w:type="dxa"/>
            <w:shd w:val="clear" w:color="auto" w:fill="FFFFFF"/>
            <w:tcMar>
              <w:top w:w="120" w:type="dxa"/>
              <w:left w:w="140" w:type="dxa"/>
              <w:bottom w:w="120" w:type="dxa"/>
              <w:right w:w="140" w:type="dxa"/>
            </w:tcMar>
            <w:vAlign w:val="center"/>
          </w:tcPr>
          <w:p w14:paraId="55C23C1E" w14:textId="77777777" w:rsidR="00853581" w:rsidRDefault="005C2A2E">
            <w:pPr>
              <w:jc w:val="center"/>
            </w:pPr>
            <w:r>
              <w:rPr>
                <w:rFonts w:ascii="Traditional Arabic" w:eastAsia="Traditional Arabic" w:hAnsi="Traditional Arabic" w:cs="Traditional Arabic"/>
                <w:color w:val="102A43"/>
                <w:sz w:val="21"/>
                <w:szCs w:val="21"/>
                <w:rtl/>
              </w:rPr>
              <w:t>بؤس عادي</w:t>
            </w:r>
          </w:p>
        </w:tc>
        <w:tc>
          <w:tcPr>
            <w:tcW w:w="1850" w:type="dxa"/>
            <w:shd w:val="clear" w:color="auto" w:fill="FFFFFF"/>
            <w:tcMar>
              <w:top w:w="120" w:type="dxa"/>
              <w:left w:w="140" w:type="dxa"/>
              <w:bottom w:w="120" w:type="dxa"/>
              <w:right w:w="140" w:type="dxa"/>
            </w:tcMar>
            <w:vAlign w:val="center"/>
          </w:tcPr>
          <w:p w14:paraId="178940B0" w14:textId="77777777" w:rsidR="00853581" w:rsidRDefault="005C2A2E">
            <w:pPr>
              <w:jc w:val="center"/>
            </w:pPr>
            <w:r>
              <w:rPr>
                <w:rFonts w:ascii="Traditional Arabic" w:eastAsia="Traditional Arabic" w:hAnsi="Traditional Arabic" w:cs="Traditional Arabic"/>
                <w:color w:val="102A43"/>
                <w:sz w:val="21"/>
                <w:szCs w:val="21"/>
                <w:rtl/>
              </w:rPr>
              <w:t>حياة طيبة مطمئنة</w:t>
            </w:r>
          </w:p>
        </w:tc>
      </w:tr>
    </w:tbl>
    <w:p w14:paraId="573D377C" w14:textId="77777777" w:rsidR="00853581" w:rsidRDefault="005C2A2E">
      <w:pPr>
        <w:pStyle w:val="1"/>
        <w:pBdr>
          <w:top w:val="single" w:sz="6" w:space="0" w:color="B8860B"/>
          <w:bottom w:val="single" w:sz="6" w:space="0" w:color="B8860B"/>
        </w:pBdr>
        <w:shd w:val="clear" w:color="auto" w:fill="1B3A5C"/>
        <w:bidi/>
        <w:spacing w:before="480" w:after="320"/>
        <w:jc w:val="center"/>
      </w:pPr>
      <w:r>
        <w:rPr>
          <w:rFonts w:ascii="Traditional Arabic" w:eastAsia="Traditional Arabic" w:hAnsi="Traditional Arabic" w:cs="Traditional Arabic"/>
          <w:b/>
          <w:bCs/>
          <w:color w:val="F4E9D8"/>
          <w:sz w:val="22"/>
          <w:szCs w:val="22"/>
          <w:rtl/>
        </w:rPr>
        <w:t>الفصل الثاني</w:t>
      </w:r>
      <w:r>
        <w:rPr>
          <w:rFonts w:ascii="Traditional Arabic" w:eastAsia="Traditional Arabic" w:hAnsi="Traditional Arabic" w:cs="Traditional Arabic"/>
          <w:sz w:val="22"/>
          <w:szCs w:val="22"/>
          <w:rtl/>
        </w:rPr>
        <w:t xml:space="preserve">  </w:t>
      </w:r>
      <w:r>
        <w:rPr>
          <w:rFonts w:ascii="Traditional Arabic" w:eastAsia="Traditional Arabic" w:hAnsi="Traditional Arabic" w:cs="Traditional Arabic"/>
          <w:b/>
          <w:bCs/>
          <w:color w:val="FFFFFF"/>
          <w:sz w:val="34"/>
          <w:szCs w:val="34"/>
          <w:rtl/>
        </w:rPr>
        <w:t>«أنطولوجيا» الاكتئاب — «الجذور الأربعة» لـ«المعيشة الضنك»</w:t>
      </w:r>
    </w:p>
    <w:p w14:paraId="628676EC"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2.1  </w:t>
      </w:r>
      <w:r>
        <w:rPr>
          <w:rFonts w:ascii="Traditional Arabic" w:eastAsia="Traditional Arabic" w:hAnsi="Traditional Arabic" w:cs="Traditional Arabic"/>
          <w:b/>
          <w:bCs/>
          <w:color w:val="102A43"/>
          <w:sz w:val="28"/>
          <w:szCs w:val="28"/>
          <w:rtl/>
        </w:rPr>
        <w:t>الجذر الوجودي: «الفراغ» و«غياب المعنى»</w:t>
      </w:r>
    </w:p>
    <w:p w14:paraId="5B8D24A2"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يرى الزراع أن «الاكتئاب المعاصر» — في «جوهره» — ينبع من «فراغ وجودي» «يعجز» «العلم التجريبي» عن «ملئه». فـ«العلم» — كما يقول «هايدغر» في «الوجود والزمان» — «لا يُفكر». إنه «يُجيب» عن «أسئلة» «الكيف» (كيف يعمل الدماغ؟ كيف تنتقل النبضات العصبية؟)، لكنه «يعجز» عن «الإجابة» عن «أسئلة» «</w:t>
      </w:r>
      <w:proofErr w:type="spellStart"/>
      <w:r>
        <w:rPr>
          <w:rFonts w:ascii="Traditional Arabic" w:eastAsia="Traditional Arabic" w:hAnsi="Traditional Arabic" w:cs="Traditional Arabic"/>
          <w:color w:val="2B2B2B"/>
          <w:sz w:val="26"/>
          <w:szCs w:val="26"/>
          <w:rtl/>
        </w:rPr>
        <w:t>اللماذا</w:t>
      </w:r>
      <w:proofErr w:type="spellEnd"/>
      <w:r>
        <w:rPr>
          <w:rFonts w:ascii="Traditional Arabic" w:eastAsia="Traditional Arabic" w:hAnsi="Traditional Arabic" w:cs="Traditional Arabic"/>
          <w:color w:val="2B2B2B"/>
          <w:sz w:val="26"/>
          <w:szCs w:val="26"/>
          <w:rtl/>
        </w:rPr>
        <w:t>» (لماذا أعيش؟ ما معنى معاناتي؟ ما غاية وجودي؟).</w:t>
      </w:r>
    </w:p>
    <w:p w14:paraId="50C34014"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وهذا «الفراغ» — في «علم النفس الاستخلافي» — هو «نتيجة» «طبيعية» لـ«الإعراض» عن «نظام التشغيل الفطري» (</w:t>
      </w:r>
      <w:proofErr w:type="spellStart"/>
      <w:r>
        <w:rPr>
          <w:rFonts w:ascii="Traditional Arabic" w:eastAsia="Traditional Arabic" w:hAnsi="Traditional Arabic" w:cs="Traditional Arabic"/>
          <w:color w:val="2B2B2B"/>
          <w:sz w:val="26"/>
          <w:szCs w:val="26"/>
          <w:rtl/>
        </w:rPr>
        <w:t>Moral</w:t>
      </w:r>
      <w:proofErr w:type="spellEnd"/>
      <w:r>
        <w:rPr>
          <w:rFonts w:ascii="Traditional Arabic" w:eastAsia="Traditional Arabic" w:hAnsi="Traditional Arabic" w:cs="Traditional Arabic"/>
          <w:color w:val="2B2B2B"/>
          <w:sz w:val="26"/>
          <w:szCs w:val="26"/>
          <w:rtl/>
        </w:rPr>
        <w:t xml:space="preserve"> OS). فـ«الفطرة» — كما «يُعرفها» الزراع — هي «الإلهام المزدوج» (فجور وتقوى)، وهي «تتضمن» «إجابات» «فطرية» عن «أسئلة» «المعنى». وعندما «يُعرض» الإنسان عن «فطرته»، «يفقد» «البوصلة» «الوجودية»، و«يغرق» في «الفراغ» </w:t>
      </w:r>
      <w:proofErr w:type="spellStart"/>
      <w:r>
        <w:rPr>
          <w:rFonts w:ascii="Traditional Arabic" w:eastAsia="Traditional Arabic" w:hAnsi="Traditional Arabic" w:cs="Traditional Arabic"/>
          <w:color w:val="2B2B2B"/>
          <w:sz w:val="26"/>
          <w:szCs w:val="26"/>
          <w:rtl/>
        </w:rPr>
        <w:t>و«اللامعنى</w:t>
      </w:r>
      <w:proofErr w:type="spellEnd"/>
      <w:r>
        <w:rPr>
          <w:rFonts w:ascii="Traditional Arabic" w:eastAsia="Traditional Arabic" w:hAnsi="Traditional Arabic" w:cs="Traditional Arabic"/>
          <w:color w:val="2B2B2B"/>
          <w:sz w:val="26"/>
          <w:szCs w:val="26"/>
          <w:rtl/>
        </w:rPr>
        <w:t>». وهذا «الفراغ» هو ما «يُسميه» «القرآن الكريم» «المعيشة الضنك»:</w:t>
      </w:r>
    </w:p>
    <w:tbl>
      <w:tblPr>
        <w:tblW w:w="5000" w:type="pct"/>
        <w:tblBorders>
          <w:top w:val="single" w:sz="8" w:space="0" w:color="B8860B"/>
          <w:left w:val="single" w:sz="8" w:space="0" w:color="B8860B"/>
          <w:bottom w:val="single" w:sz="8" w:space="0" w:color="B8860B"/>
          <w:right w:val="single" w:sz="8" w:space="0" w:color="B8860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18"/>
      </w:tblGrid>
      <w:tr w:rsidR="00853581" w14:paraId="1A5A29F5" w14:textId="77777777">
        <w:tblPrEx>
          <w:tblCellMar>
            <w:top w:w="0" w:type="dxa"/>
            <w:bottom w:w="0" w:type="dxa"/>
          </w:tblCellMar>
        </w:tblPrEx>
        <w:tc>
          <w:tcPr>
            <w:tcW w:w="0" w:type="auto"/>
            <w:shd w:val="clear" w:color="auto" w:fill="F4E9D8"/>
            <w:tcMar>
              <w:top w:w="200" w:type="dxa"/>
              <w:left w:w="300" w:type="dxa"/>
              <w:bottom w:w="200" w:type="dxa"/>
              <w:right w:w="300" w:type="dxa"/>
            </w:tcMar>
            <w:vAlign w:val="center"/>
          </w:tcPr>
          <w:p w14:paraId="6D7E2850" w14:textId="77777777" w:rsidR="00853581" w:rsidRDefault="005C2A2E">
            <w:pPr>
              <w:spacing w:after="100"/>
              <w:jc w:val="center"/>
            </w:pPr>
            <w:r>
              <w:rPr>
                <w:rFonts w:ascii="Traditional Arabic" w:eastAsia="Traditional Arabic" w:hAnsi="Traditional Arabic" w:cs="Traditional Arabic"/>
                <w:b/>
                <w:bCs/>
                <w:color w:val="102A43"/>
                <w:sz w:val="30"/>
                <w:szCs w:val="30"/>
                <w:rtl/>
              </w:rPr>
              <w:t>وَمَنْ أَعْرَضَ عَن ذِكْرِي فَإِنَّ لَهُ مَعِيشَةً ضَنكًا</w:t>
            </w:r>
          </w:p>
          <w:p w14:paraId="1BDD783B" w14:textId="77777777" w:rsidR="00853581" w:rsidRDefault="005C2A2E">
            <w:pPr>
              <w:jc w:val="center"/>
            </w:pPr>
            <w:r>
              <w:rPr>
                <w:rFonts w:ascii="Traditional Arabic" w:eastAsia="Traditional Arabic" w:hAnsi="Traditional Arabic" w:cs="Traditional Arabic"/>
                <w:i/>
                <w:iCs/>
                <w:color w:val="0E6F6C"/>
                <w:sz w:val="22"/>
                <w:szCs w:val="22"/>
                <w:rtl/>
              </w:rPr>
              <w:t>سورة طه: 124</w:t>
            </w:r>
          </w:p>
        </w:tc>
      </w:tr>
    </w:tbl>
    <w:p w14:paraId="10084A2A"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 xml:space="preserve">والملفت أن «هذا» «التوصيف» «القرآني» يتقاطع بشكل «لافت» مع ما يصفه </w:t>
      </w:r>
      <w:proofErr w:type="spellStart"/>
      <w:r>
        <w:rPr>
          <w:rFonts w:ascii="Traditional Arabic" w:eastAsia="Traditional Arabic" w:hAnsi="Traditional Arabic" w:cs="Traditional Arabic"/>
          <w:color w:val="2B2B2B"/>
          <w:sz w:val="26"/>
          <w:szCs w:val="26"/>
          <w:rtl/>
        </w:rPr>
        <w:t>فرانكل</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Frankl</w:t>
      </w:r>
      <w:proofErr w:type="spellEnd"/>
      <w:r>
        <w:rPr>
          <w:rFonts w:ascii="Traditional Arabic" w:eastAsia="Traditional Arabic" w:hAnsi="Traditional Arabic" w:cs="Traditional Arabic"/>
          <w:color w:val="2B2B2B"/>
          <w:sz w:val="26"/>
          <w:szCs w:val="26"/>
          <w:rtl/>
        </w:rPr>
        <w:t>) بـ«الفراغ الوجودي» (</w:t>
      </w:r>
      <w:proofErr w:type="spellStart"/>
      <w:r>
        <w:rPr>
          <w:rFonts w:ascii="Traditional Arabic" w:eastAsia="Traditional Arabic" w:hAnsi="Traditional Arabic" w:cs="Traditional Arabic"/>
          <w:color w:val="2B2B2B"/>
          <w:sz w:val="26"/>
          <w:szCs w:val="26"/>
          <w:rtl/>
        </w:rPr>
        <w:t>Existential</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Vacuum</w:t>
      </w:r>
      <w:proofErr w:type="spellEnd"/>
      <w:r>
        <w:rPr>
          <w:rFonts w:ascii="Traditional Arabic" w:eastAsia="Traditional Arabic" w:hAnsi="Traditional Arabic" w:cs="Traditional Arabic"/>
          <w:color w:val="2B2B2B"/>
          <w:sz w:val="26"/>
          <w:szCs w:val="26"/>
          <w:rtl/>
        </w:rPr>
        <w:t xml:space="preserve">) الناتج عن «فقدان» «الغريزة» (كما عند الحيوان) و«فقدان» «التقليد» (كما في المجتمعات ما قبل الحداثية) دون أن «يُعوَّض» ذلك بـ«معنى» «واعٍ» «مُختار». إلا أن «الفارق» «الجوهري» — كما سيُفصَّل في الفصل الخامس — يكمن في «مصدر» «هذا» «المعنى»: مُكتشَف «فطرياً» «موحى» به عند الزراع، مقابل «مُنشأ» «فردياً» عند </w:t>
      </w:r>
      <w:proofErr w:type="spellStart"/>
      <w:r>
        <w:rPr>
          <w:rFonts w:ascii="Traditional Arabic" w:eastAsia="Traditional Arabic" w:hAnsi="Traditional Arabic" w:cs="Traditional Arabic"/>
          <w:color w:val="2B2B2B"/>
          <w:sz w:val="26"/>
          <w:szCs w:val="26"/>
          <w:rtl/>
        </w:rPr>
        <w:t>فرانكل</w:t>
      </w:r>
      <w:proofErr w:type="spellEnd"/>
      <w:r>
        <w:rPr>
          <w:rFonts w:ascii="Traditional Arabic" w:eastAsia="Traditional Arabic" w:hAnsi="Traditional Arabic" w:cs="Traditional Arabic"/>
          <w:color w:val="2B2B2B"/>
          <w:sz w:val="26"/>
          <w:szCs w:val="26"/>
          <w:rtl/>
        </w:rPr>
        <w:t>.</w:t>
      </w:r>
    </w:p>
    <w:p w14:paraId="2911DC8A"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2.2  </w:t>
      </w:r>
      <w:r>
        <w:rPr>
          <w:rFonts w:ascii="Traditional Arabic" w:eastAsia="Traditional Arabic" w:hAnsi="Traditional Arabic" w:cs="Traditional Arabic"/>
          <w:b/>
          <w:bCs/>
          <w:color w:val="102A43"/>
          <w:sz w:val="28"/>
          <w:szCs w:val="28"/>
          <w:rtl/>
        </w:rPr>
        <w:t>الجذر الأخلاقي: «الفصام الأخلاقي» و«الديون الوهمية»</w:t>
      </w:r>
    </w:p>
    <w:p w14:paraId="2D466536"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يُقدم الزراع مفهوماً «محورياً» في «تشخيص» «الاكتئاب» هو «الفصام الأخلاقي» (</w:t>
      </w:r>
      <w:proofErr w:type="spellStart"/>
      <w:r>
        <w:rPr>
          <w:rFonts w:ascii="Traditional Arabic" w:eastAsia="Traditional Arabic" w:hAnsi="Traditional Arabic" w:cs="Traditional Arabic"/>
          <w:color w:val="2B2B2B"/>
          <w:sz w:val="26"/>
          <w:szCs w:val="26"/>
          <w:rtl/>
        </w:rPr>
        <w:t>Moral</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Schizophrenia</w:t>
      </w:r>
      <w:proofErr w:type="spellEnd"/>
      <w:r>
        <w:rPr>
          <w:rFonts w:ascii="Traditional Arabic" w:eastAsia="Traditional Arabic" w:hAnsi="Traditional Arabic" w:cs="Traditional Arabic"/>
          <w:color w:val="2B2B2B"/>
          <w:sz w:val="26"/>
          <w:szCs w:val="26"/>
          <w:rtl/>
        </w:rPr>
        <w:t xml:space="preserve">). وهو «حالة» «التمزق» التي يعيشها «الإنسان المعاصر» — خصوصاً في «المجتمعات الإسلامية» — بين «منظومتين قيميتين» «متصارعتين»: «منظومة» «الوحي» (التي «تطلب» منه أن يكون «خليفة» «مسؤولاً»)، و«منظومة» «الحداثة المادية» (التي «تطلبه» كـ«مستهلك» و«منتج» </w:t>
      </w:r>
      <w:proofErr w:type="spellStart"/>
      <w:r>
        <w:rPr>
          <w:rFonts w:ascii="Traditional Arabic" w:eastAsia="Traditional Arabic" w:hAnsi="Traditional Arabic" w:cs="Traditional Arabic"/>
          <w:color w:val="2B2B2B"/>
          <w:sz w:val="26"/>
          <w:szCs w:val="26"/>
          <w:rtl/>
        </w:rPr>
        <w:t>و«مُتعة</w:t>
      </w:r>
      <w:proofErr w:type="spellEnd"/>
      <w:r>
        <w:rPr>
          <w:rFonts w:ascii="Traditional Arabic" w:eastAsia="Traditional Arabic" w:hAnsi="Traditional Arabic" w:cs="Traditional Arabic"/>
          <w:color w:val="2B2B2B"/>
          <w:sz w:val="26"/>
          <w:szCs w:val="26"/>
          <w:rtl/>
        </w:rPr>
        <w:t>»).</w:t>
      </w:r>
    </w:p>
    <w:p w14:paraId="00A5A29C"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 xml:space="preserve">هذا «التمزق» — في «علم النفس الاستخلافي» — «يُولد» «صراعاً داخلياً مزمناً» </w:t>
      </w:r>
      <w:proofErr w:type="spellStart"/>
      <w:r>
        <w:rPr>
          <w:rFonts w:ascii="Traditional Arabic" w:eastAsia="Traditional Arabic" w:hAnsi="Traditional Arabic" w:cs="Traditional Arabic"/>
          <w:color w:val="2B2B2B"/>
          <w:sz w:val="26"/>
          <w:szCs w:val="26"/>
          <w:rtl/>
        </w:rPr>
        <w:t>و«شعوراً</w:t>
      </w:r>
      <w:proofErr w:type="spellEnd"/>
      <w:r>
        <w:rPr>
          <w:rFonts w:ascii="Traditional Arabic" w:eastAsia="Traditional Arabic" w:hAnsi="Traditional Arabic" w:cs="Traditional Arabic"/>
          <w:color w:val="2B2B2B"/>
          <w:sz w:val="26"/>
          <w:szCs w:val="26"/>
          <w:rtl/>
        </w:rPr>
        <w:t xml:space="preserve"> مزدوجاً بالذنب» (</w:t>
      </w:r>
      <w:proofErr w:type="spellStart"/>
      <w:r>
        <w:rPr>
          <w:rFonts w:ascii="Traditional Arabic" w:eastAsia="Traditional Arabic" w:hAnsi="Traditional Arabic" w:cs="Traditional Arabic"/>
          <w:color w:val="2B2B2B"/>
          <w:sz w:val="26"/>
          <w:szCs w:val="26"/>
          <w:rtl/>
        </w:rPr>
        <w:t>Double</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Guilt</w:t>
      </w:r>
      <w:proofErr w:type="spellEnd"/>
      <w:r>
        <w:rPr>
          <w:rFonts w:ascii="Traditional Arabic" w:eastAsia="Traditional Arabic" w:hAnsi="Traditional Arabic" w:cs="Traditional Arabic"/>
          <w:color w:val="2B2B2B"/>
          <w:sz w:val="26"/>
          <w:szCs w:val="26"/>
          <w:rtl/>
        </w:rPr>
        <w:t>): «ذنب» تجاه «الله» (لأنه «مقصر» في «</w:t>
      </w:r>
      <w:proofErr w:type="spellStart"/>
      <w:r>
        <w:rPr>
          <w:rFonts w:ascii="Traditional Arabic" w:eastAsia="Traditional Arabic" w:hAnsi="Traditional Arabic" w:cs="Traditional Arabic"/>
          <w:color w:val="2B2B2B"/>
          <w:sz w:val="26"/>
          <w:szCs w:val="26"/>
          <w:rtl/>
        </w:rPr>
        <w:t>استخلافه</w:t>
      </w:r>
      <w:proofErr w:type="spellEnd"/>
      <w:r>
        <w:rPr>
          <w:rFonts w:ascii="Traditional Arabic" w:eastAsia="Traditional Arabic" w:hAnsi="Traditional Arabic" w:cs="Traditional Arabic"/>
          <w:color w:val="2B2B2B"/>
          <w:sz w:val="26"/>
          <w:szCs w:val="26"/>
          <w:rtl/>
        </w:rPr>
        <w:t xml:space="preserve">»)، و«ذنب» تجاه «الحداثة» (لأنه «متخلف» عن «ركب» «التقدم»). وهذا «الصراع» — بدوره — «يُؤدي» إلى «تراكم» «ديون نفسية وهمية»: «توقعات مثالية مستحيلة» «يفرضها» «المجتمع» (كن «غربياً» </w:t>
      </w:r>
      <w:proofErr w:type="spellStart"/>
      <w:r>
        <w:rPr>
          <w:rFonts w:ascii="Traditional Arabic" w:eastAsia="Traditional Arabic" w:hAnsi="Traditional Arabic" w:cs="Traditional Arabic"/>
          <w:color w:val="2B2B2B"/>
          <w:sz w:val="26"/>
          <w:szCs w:val="26"/>
          <w:rtl/>
        </w:rPr>
        <w:t>و«مسلماً</w:t>
      </w:r>
      <w:proofErr w:type="spellEnd"/>
      <w:r>
        <w:rPr>
          <w:rFonts w:ascii="Traditional Arabic" w:eastAsia="Traditional Arabic" w:hAnsi="Traditional Arabic" w:cs="Traditional Arabic"/>
          <w:color w:val="2B2B2B"/>
          <w:sz w:val="26"/>
          <w:szCs w:val="26"/>
          <w:rtl/>
        </w:rPr>
        <w:t>» في آن واحد!) أو «يفرضها» «الأنا الأعلى القاسي» (كن «كاملاً» في كل شيء!). و«النتيجة» هي «الشعور» بـ«العجز» و«الذنب المزمن» الذي «ينتهي» بـ«الاكتئاب».</w:t>
      </w:r>
    </w:p>
    <w:p w14:paraId="6D5BF3EA"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وتجدر «الإشارة» إلى أن «هذا» «التصور» يجد «سنداً» «تراثياً» عميقاً في «تمييز» «ابن القيم» — في «مدارج السالكين» — بين «لوم» «محمود» «يبعث» على «التوبة» و«الإصلاح»، و«لوم» «مذموم» «يُغرق» «النفس» في «القنوط» و«اليأس» من «رَوح الله». فـ«الفصام الأخلاقي» — بهذا «المعنى» — ليس «سوى» «تضخّم» «النوع الثاني» من «اللوم» على «حساب» «الأول»، نتيجة «غياب» «معايير» «واضحة» «تُفرّق» بين «التقصير» «الحقيقي» و«الديون» «الوهمية» المفروضة من «خارج» «منظومة» «الوحي».</w:t>
      </w:r>
    </w:p>
    <w:p w14:paraId="7BA94F84"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2.3  </w:t>
      </w:r>
      <w:r>
        <w:rPr>
          <w:rFonts w:ascii="Traditional Arabic" w:eastAsia="Traditional Arabic" w:hAnsi="Traditional Arabic" w:cs="Traditional Arabic"/>
          <w:b/>
          <w:bCs/>
          <w:color w:val="102A43"/>
          <w:sz w:val="28"/>
          <w:szCs w:val="28"/>
          <w:rtl/>
        </w:rPr>
        <w:t>البعد الرقمي: «استعمار الانتباه» و«تزييف الاطمئنان»</w:t>
      </w:r>
    </w:p>
    <w:p w14:paraId="295C7BC2"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في «تحليل» «ثاقب» و«معاصر»، يربط الزراع بين «الاكتئاب» و«رأسمالية المراقبة» (</w:t>
      </w:r>
      <w:proofErr w:type="spellStart"/>
      <w:r>
        <w:rPr>
          <w:rFonts w:ascii="Traditional Arabic" w:eastAsia="Traditional Arabic" w:hAnsi="Traditional Arabic" w:cs="Traditional Arabic"/>
          <w:color w:val="2B2B2B"/>
          <w:sz w:val="26"/>
          <w:szCs w:val="26"/>
          <w:rtl/>
        </w:rPr>
        <w:t>Surveillance</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Capitalism</w:t>
      </w:r>
      <w:proofErr w:type="spellEnd"/>
      <w:r>
        <w:rPr>
          <w:rFonts w:ascii="Traditional Arabic" w:eastAsia="Traditional Arabic" w:hAnsi="Traditional Arabic" w:cs="Traditional Arabic"/>
          <w:color w:val="2B2B2B"/>
          <w:sz w:val="26"/>
          <w:szCs w:val="26"/>
          <w:rtl/>
        </w:rPr>
        <w:t xml:space="preserve">) — بحسب توصيف </w:t>
      </w:r>
      <w:proofErr w:type="spellStart"/>
      <w:r>
        <w:rPr>
          <w:rFonts w:ascii="Traditional Arabic" w:eastAsia="Traditional Arabic" w:hAnsi="Traditional Arabic" w:cs="Traditional Arabic"/>
          <w:color w:val="2B2B2B"/>
          <w:sz w:val="26"/>
          <w:szCs w:val="26"/>
          <w:rtl/>
        </w:rPr>
        <w:t>زوبوف</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Zuboff</w:t>
      </w:r>
      <w:proofErr w:type="spellEnd"/>
      <w:r>
        <w:rPr>
          <w:rFonts w:ascii="Traditional Arabic" w:eastAsia="Traditional Arabic" w:hAnsi="Traditional Arabic" w:cs="Traditional Arabic"/>
          <w:color w:val="2B2B2B"/>
          <w:sz w:val="26"/>
          <w:szCs w:val="26"/>
          <w:rtl/>
        </w:rPr>
        <w:t>) — و«الخوارزميات» «الرقمية». فهو يرى أن «المنصات» «الرقمية» (فيسبوك، تيك توك، يوتيوب) «تُصمم» «عمداً» لـ«استهداف» «النفس الأمارة» (التي «تطلب» «الإشباع الفوري» و«التنويع المستمر»)، مما «يُؤدي» إلى:</w:t>
      </w:r>
    </w:p>
    <w:p w14:paraId="5C047E3E"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«تفتيت الانتباه»: «القفز» المستمر بين «المحتويات» «يُدمر» «القدرة» على «التركيز» و«التأمل» و«التفكير العميق»، وهي «قدرات» «ضرورية» لـ«عمل» «النفس اللوّامة» (الضمير).</w:t>
      </w:r>
    </w:p>
    <w:p w14:paraId="336BF647"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«قتل الصمت»: «الخوارزميات» «تملأ» «كل» «لحظة» «فراغ» بـ«محتوى» «جديد»، مما «يمنع» «الدماغ» من «الدخول» في «حالة» «الراحة اليقظة» التي «تنشط» فيها «الشبكة الافتراضية» (DMN) — «الركيزة العصبية» لـ«النفس اللوّامة»، وفق ما تُظهره أدبيات «الشبكة الافتراضية» في «علم الأعصاب المعرفي» (سيغل، وغيره). وهذا «التعطيل» «المزمن» لـ«الشبكة الافتراضية» «يُؤدي» — وفق «الزراع» — إلى «الاكتئاب» و«فقدان» «القدرة» على «المحاسبة الذاتية» و«النمو».</w:t>
      </w:r>
    </w:p>
    <w:p w14:paraId="4FD3CEE5"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 xml:space="preserve">«تزييف الاطمئنان»: «الترفيه» «الرقمي» «يُعطي» «شعوراً» «زائفاً» </w:t>
      </w:r>
      <w:proofErr w:type="spellStart"/>
      <w:r>
        <w:rPr>
          <w:rFonts w:ascii="Traditional Arabic" w:eastAsia="Traditional Arabic" w:hAnsi="Traditional Arabic" w:cs="Traditional Arabic"/>
          <w:color w:val="2B2B2B"/>
          <w:sz w:val="26"/>
          <w:szCs w:val="26"/>
          <w:rtl/>
        </w:rPr>
        <w:t>و«مؤقتاً</w:t>
      </w:r>
      <w:proofErr w:type="spellEnd"/>
      <w:r>
        <w:rPr>
          <w:rFonts w:ascii="Traditional Arabic" w:eastAsia="Traditional Arabic" w:hAnsi="Traditional Arabic" w:cs="Traditional Arabic"/>
          <w:color w:val="2B2B2B"/>
          <w:sz w:val="26"/>
          <w:szCs w:val="26"/>
          <w:rtl/>
        </w:rPr>
        <w:t xml:space="preserve">» بـ«السعادة»، لكنه — في «العمق» — «يُخفي» «فراغاً» «وجودياً» «أكبر»، و«يترك» «النفس» «أكثر» «إرهاقاً» </w:t>
      </w:r>
      <w:proofErr w:type="spellStart"/>
      <w:r>
        <w:rPr>
          <w:rFonts w:ascii="Traditional Arabic" w:eastAsia="Traditional Arabic" w:hAnsi="Traditional Arabic" w:cs="Traditional Arabic"/>
          <w:color w:val="2B2B2B"/>
          <w:sz w:val="26"/>
          <w:szCs w:val="26"/>
          <w:rtl/>
        </w:rPr>
        <w:t>و«اكتئاباً</w:t>
      </w:r>
      <w:proofErr w:type="spellEnd"/>
      <w:r>
        <w:rPr>
          <w:rFonts w:ascii="Traditional Arabic" w:eastAsia="Traditional Arabic" w:hAnsi="Traditional Arabic" w:cs="Traditional Arabic"/>
          <w:color w:val="2B2B2B"/>
          <w:sz w:val="26"/>
          <w:szCs w:val="26"/>
          <w:rtl/>
        </w:rPr>
        <w:t>» بعد «انتهاء» «جرعة» «الترفيه»، على نحو يُذكّر بـ«اقتصاديات» «الانتباه» التي «تُراكم» «الأرباح» على «حساب» «استنزاف» «الموارد النفسية» للمستخدم.</w:t>
      </w:r>
    </w:p>
    <w:p w14:paraId="0BB4FD83"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2.4  </w:t>
      </w:r>
      <w:r>
        <w:rPr>
          <w:rFonts w:ascii="Traditional Arabic" w:eastAsia="Traditional Arabic" w:hAnsi="Traditional Arabic" w:cs="Traditional Arabic"/>
          <w:b/>
          <w:bCs/>
          <w:color w:val="102A43"/>
          <w:sz w:val="28"/>
          <w:szCs w:val="28"/>
          <w:rtl/>
        </w:rPr>
        <w:t xml:space="preserve">الجذر الفسيولوجي: «السيادة </w:t>
      </w:r>
      <w:proofErr w:type="spellStart"/>
      <w:r>
        <w:rPr>
          <w:rFonts w:ascii="Traditional Arabic" w:eastAsia="Traditional Arabic" w:hAnsi="Traditional Arabic" w:cs="Traditional Arabic"/>
          <w:b/>
          <w:bCs/>
          <w:color w:val="102A43"/>
          <w:sz w:val="28"/>
          <w:szCs w:val="28"/>
          <w:rtl/>
        </w:rPr>
        <w:t>السمبثاوية</w:t>
      </w:r>
      <w:proofErr w:type="spellEnd"/>
      <w:r>
        <w:rPr>
          <w:rFonts w:ascii="Traditional Arabic" w:eastAsia="Traditional Arabic" w:hAnsi="Traditional Arabic" w:cs="Traditional Arabic"/>
          <w:b/>
          <w:bCs/>
          <w:color w:val="102A43"/>
          <w:sz w:val="28"/>
          <w:szCs w:val="28"/>
          <w:rtl/>
        </w:rPr>
        <w:t>» و«ضيق الصدر»</w:t>
      </w:r>
    </w:p>
    <w:p w14:paraId="396E47A8"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 xml:space="preserve">يرى الزراع أن «الاكتئاب» — في «مستواه» «الفسيولوجي» — هو «حالة» من «السيادة المزمنة للجهاز </w:t>
      </w:r>
      <w:proofErr w:type="spellStart"/>
      <w:r>
        <w:rPr>
          <w:rFonts w:ascii="Traditional Arabic" w:eastAsia="Traditional Arabic" w:hAnsi="Traditional Arabic" w:cs="Traditional Arabic"/>
          <w:color w:val="2B2B2B"/>
          <w:sz w:val="26"/>
          <w:szCs w:val="26"/>
          <w:rtl/>
        </w:rPr>
        <w:t>السمبثاوي</w:t>
      </w:r>
      <w:proofErr w:type="spellEnd"/>
      <w:r>
        <w:rPr>
          <w:rFonts w:ascii="Traditional Arabic" w:eastAsia="Traditional Arabic" w:hAnsi="Traditional Arabic" w:cs="Traditional Arabic"/>
          <w:color w:val="2B2B2B"/>
          <w:sz w:val="26"/>
          <w:szCs w:val="26"/>
          <w:rtl/>
        </w:rPr>
        <w:t xml:space="preserve">» (الجهاز المسؤول عن «الاستجابة للضغط» و«القتال أو الهروب»)، وهو ما يتقاطع مع «الأدبيات» «الانفعالية العصبية» عند </w:t>
      </w:r>
      <w:proofErr w:type="spellStart"/>
      <w:r>
        <w:rPr>
          <w:rFonts w:ascii="Traditional Arabic" w:eastAsia="Traditional Arabic" w:hAnsi="Traditional Arabic" w:cs="Traditional Arabic"/>
          <w:color w:val="2B2B2B"/>
          <w:sz w:val="26"/>
          <w:szCs w:val="26"/>
          <w:rtl/>
        </w:rPr>
        <w:t>لودو</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LeDoux</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وبانكسيب</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Panksepp</w:t>
      </w:r>
      <w:proofErr w:type="spellEnd"/>
      <w:r>
        <w:rPr>
          <w:rFonts w:ascii="Traditional Arabic" w:eastAsia="Traditional Arabic" w:hAnsi="Traditional Arabic" w:cs="Traditional Arabic"/>
          <w:color w:val="2B2B2B"/>
          <w:sz w:val="26"/>
          <w:szCs w:val="26"/>
          <w:rtl/>
        </w:rPr>
        <w:t>) حول «دوائر» «الخوف» و«الهلع» تحت-القشرية. فـ«الصراع» «الوجودي» و«الأخلاقي» و«الرقمي» «يُبقي» «الجسد» في «حالة» «طوارئ» «دائمة»، مما «يُؤدي» إلى:</w:t>
      </w:r>
    </w:p>
    <w:p w14:paraId="56BFD34B"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 xml:space="preserve">«ارتفاع مزمن» في «الكورتيزول»: وهو «هرمون» «التوتر» الذي «يُثبط» «المناعة» </w:t>
      </w:r>
      <w:proofErr w:type="spellStart"/>
      <w:r>
        <w:rPr>
          <w:rFonts w:ascii="Traditional Arabic" w:eastAsia="Traditional Arabic" w:hAnsi="Traditional Arabic" w:cs="Traditional Arabic"/>
          <w:color w:val="2B2B2B"/>
          <w:sz w:val="26"/>
          <w:szCs w:val="26"/>
          <w:rtl/>
        </w:rPr>
        <w:t>و«يُتلف</w:t>
      </w:r>
      <w:proofErr w:type="spellEnd"/>
      <w:r>
        <w:rPr>
          <w:rFonts w:ascii="Traditional Arabic" w:eastAsia="Traditional Arabic" w:hAnsi="Traditional Arabic" w:cs="Traditional Arabic"/>
          <w:color w:val="2B2B2B"/>
          <w:sz w:val="26"/>
          <w:szCs w:val="26"/>
          <w:rtl/>
        </w:rPr>
        <w:t>» «خلايا» «الذاكرة» في «الحُصين» (</w:t>
      </w:r>
      <w:proofErr w:type="spellStart"/>
      <w:r>
        <w:rPr>
          <w:rFonts w:ascii="Traditional Arabic" w:eastAsia="Traditional Arabic" w:hAnsi="Traditional Arabic" w:cs="Traditional Arabic"/>
          <w:color w:val="2B2B2B"/>
          <w:sz w:val="26"/>
          <w:szCs w:val="26"/>
          <w:rtl/>
        </w:rPr>
        <w:t>Hippocampus</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و«يُسهم</w:t>
      </w:r>
      <w:proofErr w:type="spellEnd"/>
      <w:r>
        <w:rPr>
          <w:rFonts w:ascii="Traditional Arabic" w:eastAsia="Traditional Arabic" w:hAnsi="Traditional Arabic" w:cs="Traditional Arabic"/>
          <w:color w:val="2B2B2B"/>
          <w:sz w:val="26"/>
          <w:szCs w:val="26"/>
          <w:rtl/>
        </w:rPr>
        <w:t>» في «أعراض» «الاكتئاب».</w:t>
      </w:r>
    </w:p>
    <w:p w14:paraId="1819C73B"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 xml:space="preserve">«تعطيل» «التكامل العصبي»: «غياب» «التوازن» بين «الجهاز </w:t>
      </w:r>
      <w:proofErr w:type="spellStart"/>
      <w:r>
        <w:rPr>
          <w:rFonts w:ascii="Traditional Arabic" w:eastAsia="Traditional Arabic" w:hAnsi="Traditional Arabic" w:cs="Traditional Arabic"/>
          <w:color w:val="2B2B2B"/>
          <w:sz w:val="26"/>
          <w:szCs w:val="26"/>
          <w:rtl/>
        </w:rPr>
        <w:t>السمبثاوي</w:t>
      </w:r>
      <w:proofErr w:type="spellEnd"/>
      <w:r>
        <w:rPr>
          <w:rFonts w:ascii="Traditional Arabic" w:eastAsia="Traditional Arabic" w:hAnsi="Traditional Arabic" w:cs="Traditional Arabic"/>
          <w:color w:val="2B2B2B"/>
          <w:sz w:val="26"/>
          <w:szCs w:val="26"/>
          <w:rtl/>
        </w:rPr>
        <w:t>» (</w:t>
      </w:r>
      <w:proofErr w:type="spellStart"/>
      <w:r>
        <w:rPr>
          <w:rFonts w:ascii="Traditional Arabic" w:eastAsia="Traditional Arabic" w:hAnsi="Traditional Arabic" w:cs="Traditional Arabic"/>
          <w:color w:val="2B2B2B"/>
          <w:sz w:val="26"/>
          <w:szCs w:val="26"/>
          <w:rtl/>
        </w:rPr>
        <w:t>المُستثار</w:t>
      </w:r>
      <w:proofErr w:type="spellEnd"/>
      <w:r>
        <w:rPr>
          <w:rFonts w:ascii="Traditional Arabic" w:eastAsia="Traditional Arabic" w:hAnsi="Traditional Arabic" w:cs="Traditional Arabic"/>
          <w:color w:val="2B2B2B"/>
          <w:sz w:val="26"/>
          <w:szCs w:val="26"/>
          <w:rtl/>
        </w:rPr>
        <w:t xml:space="preserve">) و«الجهاز </w:t>
      </w:r>
      <w:proofErr w:type="spellStart"/>
      <w:r>
        <w:rPr>
          <w:rFonts w:ascii="Traditional Arabic" w:eastAsia="Traditional Arabic" w:hAnsi="Traditional Arabic" w:cs="Traditional Arabic"/>
          <w:color w:val="2B2B2B"/>
          <w:sz w:val="26"/>
          <w:szCs w:val="26"/>
          <w:rtl/>
        </w:rPr>
        <w:t>الباراسمبثاوي</w:t>
      </w:r>
      <w:proofErr w:type="spellEnd"/>
      <w:r>
        <w:rPr>
          <w:rFonts w:ascii="Traditional Arabic" w:eastAsia="Traditional Arabic" w:hAnsi="Traditional Arabic" w:cs="Traditional Arabic"/>
          <w:color w:val="2B2B2B"/>
          <w:sz w:val="26"/>
          <w:szCs w:val="26"/>
          <w:rtl/>
        </w:rPr>
        <w:t xml:space="preserve">» (المُثبط)، مما «يُؤدي» إلى «حالة» من «ضيق الصدر» و«الحرج» التي «يصفها» «القرآن الكريم» بدقة </w:t>
      </w:r>
      <w:proofErr w:type="spellStart"/>
      <w:r>
        <w:rPr>
          <w:rFonts w:ascii="Traditional Arabic" w:eastAsia="Traditional Arabic" w:hAnsi="Traditional Arabic" w:cs="Traditional Arabic"/>
          <w:color w:val="2B2B2B"/>
          <w:sz w:val="26"/>
          <w:szCs w:val="26"/>
          <w:rtl/>
        </w:rPr>
        <w:t>فينومينولوجية</w:t>
      </w:r>
      <w:proofErr w:type="spellEnd"/>
      <w:r>
        <w:rPr>
          <w:rFonts w:ascii="Traditional Arabic" w:eastAsia="Traditional Arabic" w:hAnsi="Traditional Arabic" w:cs="Traditional Arabic"/>
          <w:color w:val="2B2B2B"/>
          <w:sz w:val="26"/>
          <w:szCs w:val="26"/>
          <w:rtl/>
        </w:rPr>
        <w:t xml:space="preserve"> لافتة:</w:t>
      </w:r>
    </w:p>
    <w:tbl>
      <w:tblPr>
        <w:tblW w:w="5000" w:type="pct"/>
        <w:tblBorders>
          <w:top w:val="single" w:sz="8" w:space="0" w:color="B8860B"/>
          <w:left w:val="single" w:sz="8" w:space="0" w:color="B8860B"/>
          <w:bottom w:val="single" w:sz="8" w:space="0" w:color="B8860B"/>
          <w:right w:val="single" w:sz="8" w:space="0" w:color="B8860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18"/>
      </w:tblGrid>
      <w:tr w:rsidR="00853581" w14:paraId="31AF5AC5" w14:textId="77777777">
        <w:tblPrEx>
          <w:tblCellMar>
            <w:top w:w="0" w:type="dxa"/>
            <w:bottom w:w="0" w:type="dxa"/>
          </w:tblCellMar>
        </w:tblPrEx>
        <w:tc>
          <w:tcPr>
            <w:tcW w:w="0" w:type="auto"/>
            <w:shd w:val="clear" w:color="auto" w:fill="F4E9D8"/>
            <w:tcMar>
              <w:top w:w="200" w:type="dxa"/>
              <w:left w:w="300" w:type="dxa"/>
              <w:bottom w:w="200" w:type="dxa"/>
              <w:right w:w="300" w:type="dxa"/>
            </w:tcMar>
            <w:vAlign w:val="center"/>
          </w:tcPr>
          <w:p w14:paraId="2FFCD3E3" w14:textId="77777777" w:rsidR="00853581" w:rsidRDefault="005C2A2E">
            <w:pPr>
              <w:spacing w:after="100"/>
              <w:jc w:val="center"/>
            </w:pPr>
            <w:r>
              <w:rPr>
                <w:rFonts w:ascii="Traditional Arabic" w:eastAsia="Traditional Arabic" w:hAnsi="Traditional Arabic" w:cs="Traditional Arabic"/>
                <w:b/>
                <w:bCs/>
                <w:color w:val="102A43"/>
                <w:sz w:val="30"/>
                <w:szCs w:val="30"/>
                <w:rtl/>
              </w:rPr>
              <w:t>وَمَن يُرِدْ أَن يُضِلَّهُ يَجْعَلْ صَدْرَهُ ضَيِّقًا حَرَجًا كَأَنَّمَا يَصَّعَّدُ فِي السَّمَاءِ</w:t>
            </w:r>
          </w:p>
          <w:p w14:paraId="115980D0" w14:textId="77777777" w:rsidR="00853581" w:rsidRDefault="005C2A2E">
            <w:pPr>
              <w:jc w:val="center"/>
            </w:pPr>
            <w:r>
              <w:rPr>
                <w:rFonts w:ascii="Traditional Arabic" w:eastAsia="Traditional Arabic" w:hAnsi="Traditional Arabic" w:cs="Traditional Arabic"/>
                <w:i/>
                <w:iCs/>
                <w:color w:val="0E6F6C"/>
                <w:sz w:val="22"/>
                <w:szCs w:val="22"/>
                <w:rtl/>
              </w:rPr>
              <w:t>سورة الأنعام: 125</w:t>
            </w:r>
          </w:p>
        </w:tc>
      </w:tr>
    </w:tbl>
    <w:p w14:paraId="2F39FBAD"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ويُلاحظ الزراع أن «التشبيه القرآني» (كأنما يصّعّد في السماء) يصف بدقة «عرضاً» «فسيولوجياً» معروفاً في «أدبيات» «القلق» و«الاكتئاب المصحوب بأعراض جسدية» — وهو «الشعور» بـ«ضيق النَّفَس» و«الاختناق» عند «الصعود» إلى «ارتفاع» تقل فيه «كثافة» «الأكسجين» — مما «يمنحه» «قيمة» «</w:t>
      </w:r>
      <w:proofErr w:type="spellStart"/>
      <w:r>
        <w:rPr>
          <w:rFonts w:ascii="Traditional Arabic" w:eastAsia="Traditional Arabic" w:hAnsi="Traditional Arabic" w:cs="Traditional Arabic"/>
          <w:color w:val="2B2B2B"/>
          <w:sz w:val="26"/>
          <w:szCs w:val="26"/>
          <w:rtl/>
        </w:rPr>
        <w:t>توصيفية</w:t>
      </w:r>
      <w:proofErr w:type="spellEnd"/>
      <w:r>
        <w:rPr>
          <w:rFonts w:ascii="Traditional Arabic" w:eastAsia="Traditional Arabic" w:hAnsi="Traditional Arabic" w:cs="Traditional Arabic"/>
          <w:color w:val="2B2B2B"/>
          <w:sz w:val="26"/>
          <w:szCs w:val="26"/>
          <w:rtl/>
        </w:rPr>
        <w:t>» تتجاوز «المجاز» إلى ما يقترب من «الدقة الإكلينيكية»، وهي «ملاحظة» تستحق مزيداً من «البحث» «التخصصي» في «حقل» «الطب النفسي القرآني».</w:t>
      </w:r>
    </w:p>
    <w:p w14:paraId="5E78F9F5" w14:textId="77777777" w:rsidR="00853581" w:rsidRDefault="005C2A2E">
      <w:pPr>
        <w:pStyle w:val="1"/>
        <w:pBdr>
          <w:top w:val="single" w:sz="6" w:space="0" w:color="B8860B"/>
          <w:bottom w:val="single" w:sz="6" w:space="0" w:color="B8860B"/>
        </w:pBdr>
        <w:shd w:val="clear" w:color="auto" w:fill="1B3A5C"/>
        <w:bidi/>
        <w:spacing w:before="480" w:after="320"/>
        <w:jc w:val="center"/>
      </w:pPr>
      <w:r>
        <w:rPr>
          <w:rFonts w:ascii="Traditional Arabic" w:eastAsia="Traditional Arabic" w:hAnsi="Traditional Arabic" w:cs="Traditional Arabic"/>
          <w:b/>
          <w:bCs/>
          <w:color w:val="F4E9D8"/>
          <w:sz w:val="22"/>
          <w:szCs w:val="22"/>
          <w:rtl/>
        </w:rPr>
        <w:t>الفصل الثالث</w:t>
      </w:r>
      <w:r>
        <w:rPr>
          <w:rFonts w:ascii="Traditional Arabic" w:eastAsia="Traditional Arabic" w:hAnsi="Traditional Arabic" w:cs="Traditional Arabic"/>
          <w:sz w:val="22"/>
          <w:szCs w:val="22"/>
          <w:rtl/>
        </w:rPr>
        <w:t xml:space="preserve">  </w:t>
      </w:r>
      <w:r>
        <w:rPr>
          <w:rFonts w:ascii="Traditional Arabic" w:eastAsia="Traditional Arabic" w:hAnsi="Traditional Arabic" w:cs="Traditional Arabic"/>
          <w:b/>
          <w:bCs/>
          <w:color w:val="FFFFFF"/>
          <w:sz w:val="34"/>
          <w:szCs w:val="34"/>
          <w:rtl/>
        </w:rPr>
        <w:t>«ديناميكية» الاكتئاب — «الأضلاع الثمانية» و«المسارات» «المُعطلة»</w:t>
      </w:r>
    </w:p>
    <w:p w14:paraId="621A0B3C"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 xml:space="preserve">في «النموذج الهرمي القرآني»، «الأضلاع الثمانية» هي «المسارات» التي «تُدير» «حركة» «النفس» بين «مقاماتها» الثلاثة: «الأمارة بالسوء»، </w:t>
      </w:r>
      <w:proofErr w:type="spellStart"/>
      <w:r>
        <w:rPr>
          <w:rFonts w:ascii="Traditional Arabic" w:eastAsia="Traditional Arabic" w:hAnsi="Traditional Arabic" w:cs="Traditional Arabic"/>
          <w:color w:val="2B2B2B"/>
          <w:sz w:val="26"/>
          <w:szCs w:val="26"/>
          <w:rtl/>
        </w:rPr>
        <w:t>و«اللوّامة</w:t>
      </w:r>
      <w:proofErr w:type="spellEnd"/>
      <w:r>
        <w:rPr>
          <w:rFonts w:ascii="Traditional Arabic" w:eastAsia="Traditional Arabic" w:hAnsi="Traditional Arabic" w:cs="Traditional Arabic"/>
          <w:color w:val="2B2B2B"/>
          <w:sz w:val="26"/>
          <w:szCs w:val="26"/>
          <w:rtl/>
        </w:rPr>
        <w:t>»، و«المطمئنة». و«الاكتئاب» — في «هذا» «النموذج» — ليس «حالة» «ساكنة»، بل «محصّلة» «ديناميكية» «لتعطيل» «أضلاع الصعود» و«تفعيل» «مفرط» لـ«أضلاع الهبوط» في «آنٍ» «واحد».</w:t>
      </w:r>
    </w:p>
    <w:p w14:paraId="1C2DF7D5"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3.1  </w:t>
      </w:r>
      <w:r>
        <w:rPr>
          <w:rFonts w:ascii="Traditional Arabic" w:eastAsia="Traditional Arabic" w:hAnsi="Traditional Arabic" w:cs="Traditional Arabic"/>
          <w:b/>
          <w:bCs/>
          <w:color w:val="102A43"/>
          <w:sz w:val="28"/>
          <w:szCs w:val="28"/>
          <w:rtl/>
        </w:rPr>
        <w:t>«تفعيل مفرط» لـ«أضلاع الهبوط»</w:t>
      </w:r>
    </w:p>
    <w:p w14:paraId="2A896399"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 xml:space="preserve">«الضلع الثالث» (شيطان ← أمارة): «الإغواء» «الخارجي» (الخوارزميات، الإعلانات، الضغوط الاجتماعية) «يُضخم» «الشهوة» و«الغضب»، </w:t>
      </w:r>
      <w:proofErr w:type="spellStart"/>
      <w:r>
        <w:rPr>
          <w:rFonts w:ascii="Traditional Arabic" w:eastAsia="Traditional Arabic" w:hAnsi="Traditional Arabic" w:cs="Traditional Arabic"/>
          <w:color w:val="2B2B2B"/>
          <w:sz w:val="26"/>
          <w:szCs w:val="26"/>
          <w:rtl/>
        </w:rPr>
        <w:t>و«يُبقي</w:t>
      </w:r>
      <w:proofErr w:type="spellEnd"/>
      <w:r>
        <w:rPr>
          <w:rFonts w:ascii="Traditional Arabic" w:eastAsia="Traditional Arabic" w:hAnsi="Traditional Arabic" w:cs="Traditional Arabic"/>
          <w:color w:val="2B2B2B"/>
          <w:sz w:val="26"/>
          <w:szCs w:val="26"/>
          <w:rtl/>
        </w:rPr>
        <w:t>» «النفس» «أسيرة» «الأمارة»، «غارقة» في «الاستهلاك» و«المقارنات» و«الحسد».</w:t>
      </w:r>
    </w:p>
    <w:p w14:paraId="73BEA76A"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 xml:space="preserve">«الضلع السابع» (شيطان ← أمارة عبر اللوّامة): «تضخيم» «الخوف» و«القلق» و«الذنب» و«جلد الذات» بشكل «مرضي»، مما «يُحول» «اللوّامة» «السليمة» (التي «تُحاسب» </w:t>
      </w:r>
      <w:proofErr w:type="spellStart"/>
      <w:r>
        <w:rPr>
          <w:rFonts w:ascii="Traditional Arabic" w:eastAsia="Traditional Arabic" w:hAnsi="Traditional Arabic" w:cs="Traditional Arabic"/>
          <w:color w:val="2B2B2B"/>
          <w:sz w:val="26"/>
          <w:szCs w:val="26"/>
          <w:rtl/>
        </w:rPr>
        <w:t>و«تُصحح</w:t>
      </w:r>
      <w:proofErr w:type="spellEnd"/>
      <w:r>
        <w:rPr>
          <w:rFonts w:ascii="Traditional Arabic" w:eastAsia="Traditional Arabic" w:hAnsi="Traditional Arabic" w:cs="Traditional Arabic"/>
          <w:color w:val="2B2B2B"/>
          <w:sz w:val="26"/>
          <w:szCs w:val="26"/>
          <w:rtl/>
        </w:rPr>
        <w:t xml:space="preserve">») إلى «جلاد داخلي» «سادي» «يُدمر» «احترام» «الذات» </w:t>
      </w:r>
      <w:proofErr w:type="spellStart"/>
      <w:r>
        <w:rPr>
          <w:rFonts w:ascii="Traditional Arabic" w:eastAsia="Traditional Arabic" w:hAnsi="Traditional Arabic" w:cs="Traditional Arabic"/>
          <w:color w:val="2B2B2B"/>
          <w:sz w:val="26"/>
          <w:szCs w:val="26"/>
          <w:rtl/>
        </w:rPr>
        <w:t>و«يُغرق</w:t>
      </w:r>
      <w:proofErr w:type="spellEnd"/>
      <w:r>
        <w:rPr>
          <w:rFonts w:ascii="Traditional Arabic" w:eastAsia="Traditional Arabic" w:hAnsi="Traditional Arabic" w:cs="Traditional Arabic"/>
          <w:color w:val="2B2B2B"/>
          <w:sz w:val="26"/>
          <w:szCs w:val="26"/>
          <w:rtl/>
        </w:rPr>
        <w:t>» في «اليأس».</w:t>
      </w:r>
    </w:p>
    <w:p w14:paraId="74298E9B"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3.2  </w:t>
      </w:r>
      <w:r>
        <w:rPr>
          <w:rFonts w:ascii="Traditional Arabic" w:eastAsia="Traditional Arabic" w:hAnsi="Traditional Arabic" w:cs="Traditional Arabic"/>
          <w:b/>
          <w:bCs/>
          <w:color w:val="102A43"/>
          <w:sz w:val="28"/>
          <w:szCs w:val="28"/>
          <w:rtl/>
        </w:rPr>
        <w:t>«تعطيل» «أضلاع الصعود»</w:t>
      </w:r>
    </w:p>
    <w:p w14:paraId="7950CF4F"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«الضلع الخامس» (أمارة ← لوامة) «مُعطل» أو «مشوش»: «التوبة» و«الصحوة» و«الرجوع» إلى «الله» «مُعاق» بسبب «الضجيج» «الرقمي» و«الفصام الأخلاقي» و«الديون الوهمية».</w:t>
      </w:r>
    </w:p>
    <w:p w14:paraId="2C2E0568"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 xml:space="preserve">«الضلع الرابع» (لوامة ← مطمئنة) «مُعطل»: «مسيرة التزكية» و«المجاهدة» و«الإحسان» «متوقفة» لأن «الطاقة» «الوجودية» «مُحتجزة» </w:t>
      </w:r>
      <w:proofErr w:type="spellStart"/>
      <w:r>
        <w:rPr>
          <w:rFonts w:ascii="Traditional Arabic" w:eastAsia="Traditional Arabic" w:hAnsi="Traditional Arabic" w:cs="Traditional Arabic"/>
          <w:color w:val="2B2B2B"/>
          <w:sz w:val="26"/>
          <w:szCs w:val="26"/>
          <w:rtl/>
        </w:rPr>
        <w:t>و«لا</w:t>
      </w:r>
      <w:proofErr w:type="spellEnd"/>
      <w:r>
        <w:rPr>
          <w:rFonts w:ascii="Traditional Arabic" w:eastAsia="Traditional Arabic" w:hAnsi="Traditional Arabic" w:cs="Traditional Arabic"/>
          <w:color w:val="2B2B2B"/>
          <w:sz w:val="26"/>
          <w:szCs w:val="26"/>
          <w:rtl/>
        </w:rPr>
        <w:t xml:space="preserve"> تجد» «منفذاً» نحو «العطاء».</w:t>
      </w:r>
    </w:p>
    <w:p w14:paraId="7C923C6C"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«الضلع الثامن» (رحمة إلهية ← مطمئنة) «مُعطل»: «السكينة» و«الطمأنينة» و«انشراح الصدر» «غائبة» لأن «القلب» «مُغلق» بـ«الخوف» و«القلق» و«الغفلة» عن «ذكر الله».</w:t>
      </w:r>
    </w:p>
    <w:p w14:paraId="1124ECAE" w14:textId="77777777" w:rsidR="00853581" w:rsidRDefault="005C2A2E">
      <w:pPr>
        <w:spacing w:before="240" w:after="140"/>
        <w:jc w:val="right"/>
      </w:pPr>
      <w:r>
        <w:rPr>
          <w:rFonts w:ascii="Traditional Arabic" w:eastAsia="Traditional Arabic" w:hAnsi="Traditional Arabic" w:cs="Traditional Arabic"/>
          <w:b/>
          <w:bCs/>
          <w:color w:val="B8860B"/>
          <w:sz w:val="24"/>
          <w:szCs w:val="24"/>
          <w:rtl/>
        </w:rPr>
        <w:t xml:space="preserve">◈ </w:t>
      </w:r>
      <w:r>
        <w:rPr>
          <w:rFonts w:ascii="Traditional Arabic" w:eastAsia="Traditional Arabic" w:hAnsi="Traditional Arabic" w:cs="Traditional Arabic"/>
          <w:b/>
          <w:bCs/>
          <w:i/>
          <w:iCs/>
          <w:color w:val="0E6F6C"/>
          <w:sz w:val="24"/>
          <w:szCs w:val="24"/>
          <w:rtl/>
        </w:rPr>
        <w:t>قراءة تكاملية للديناميكية</w:t>
      </w:r>
    </w:p>
    <w:p w14:paraId="509882D6"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والمُتأمل في «بنية» «هذه» «الأضلاع» «الخمسة» «المتضررة» (الثالث، السابع، الخامس، الرابع، الثامن) يلحظ أن «الاكتئاب» — من «منظور» «النموذج الاستخلافي» — ليس «عطلاً» في «نقطة» «واحدة»، بل «انهيار» «شبكي» (</w:t>
      </w:r>
      <w:proofErr w:type="spellStart"/>
      <w:r>
        <w:rPr>
          <w:rFonts w:ascii="Traditional Arabic" w:eastAsia="Traditional Arabic" w:hAnsi="Traditional Arabic" w:cs="Traditional Arabic"/>
          <w:color w:val="2B2B2B"/>
          <w:sz w:val="26"/>
          <w:szCs w:val="26"/>
          <w:rtl/>
        </w:rPr>
        <w:t>Network</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Failure</w:t>
      </w:r>
      <w:proofErr w:type="spellEnd"/>
      <w:r>
        <w:rPr>
          <w:rFonts w:ascii="Traditional Arabic" w:eastAsia="Traditional Arabic" w:hAnsi="Traditional Arabic" w:cs="Traditional Arabic"/>
          <w:color w:val="2B2B2B"/>
          <w:sz w:val="26"/>
          <w:szCs w:val="26"/>
          <w:rtl/>
        </w:rPr>
        <w:t>) يمسّ «مداخل» «الهبوط» (بتضخيمها) و«مخارج» «الصعود» (بتعطيلها) معاً. وهذا يُفسّر لماذا «تفشل» «التدخلات» «الأحادية» (دواء فقط، أو تصحيح فكري فقط) في «إحداث» «تحول» «مستدام»: فهي «تعالج» «ضلعاً» «واحداً» بينما «تبقى» «الأضلاع» «الأخرى» «معطلة»، فـ«تعاود» «النفس» «الانزلاق» نحو «موقعها» «القديم» — وهو بالضبط «التفسير» «النظري» الذي يقدمه «النموذج الاستخلافي» لظاهرة «الانتكاس» (</w:t>
      </w:r>
      <w:proofErr w:type="spellStart"/>
      <w:r>
        <w:rPr>
          <w:rFonts w:ascii="Traditional Arabic" w:eastAsia="Traditional Arabic" w:hAnsi="Traditional Arabic" w:cs="Traditional Arabic"/>
          <w:color w:val="2B2B2B"/>
          <w:sz w:val="26"/>
          <w:szCs w:val="26"/>
          <w:rtl/>
        </w:rPr>
        <w:t>Relapse</w:t>
      </w:r>
      <w:proofErr w:type="spellEnd"/>
      <w:r>
        <w:rPr>
          <w:rFonts w:ascii="Traditional Arabic" w:eastAsia="Traditional Arabic" w:hAnsi="Traditional Arabic" w:cs="Traditional Arabic"/>
          <w:color w:val="2B2B2B"/>
          <w:sz w:val="26"/>
          <w:szCs w:val="26"/>
          <w:rtl/>
        </w:rPr>
        <w:t>) الشائعة إكلينيكياً بعد «العلاج» «أحادي البُعد».</w:t>
      </w:r>
    </w:p>
    <w:p w14:paraId="05E02B5B" w14:textId="77777777" w:rsidR="00853581" w:rsidRDefault="005C2A2E">
      <w:r>
        <w:br w:type="page"/>
      </w:r>
    </w:p>
    <w:p w14:paraId="03EBECD9" w14:textId="77777777" w:rsidR="00853581" w:rsidRDefault="005C2A2E">
      <w:pPr>
        <w:pStyle w:val="1"/>
        <w:pBdr>
          <w:top w:val="single" w:sz="6" w:space="0" w:color="B8860B"/>
          <w:bottom w:val="single" w:sz="6" w:space="0" w:color="B8860B"/>
        </w:pBdr>
        <w:shd w:val="clear" w:color="auto" w:fill="1B3A5C"/>
        <w:bidi/>
        <w:spacing w:before="480" w:after="320"/>
        <w:jc w:val="center"/>
      </w:pPr>
      <w:r>
        <w:rPr>
          <w:rFonts w:ascii="Traditional Arabic" w:eastAsia="Traditional Arabic" w:hAnsi="Traditional Arabic" w:cs="Traditional Arabic"/>
          <w:b/>
          <w:bCs/>
          <w:color w:val="F4E9D8"/>
          <w:sz w:val="22"/>
          <w:szCs w:val="22"/>
          <w:rtl/>
        </w:rPr>
        <w:t>الفصل الرابع</w:t>
      </w:r>
      <w:r>
        <w:rPr>
          <w:rFonts w:ascii="Traditional Arabic" w:eastAsia="Traditional Arabic" w:hAnsi="Traditional Arabic" w:cs="Traditional Arabic"/>
          <w:sz w:val="22"/>
          <w:szCs w:val="22"/>
          <w:rtl/>
        </w:rPr>
        <w:t xml:space="preserve">  </w:t>
      </w:r>
      <w:r>
        <w:rPr>
          <w:rFonts w:ascii="Traditional Arabic" w:eastAsia="Traditional Arabic" w:hAnsi="Traditional Arabic" w:cs="Traditional Arabic"/>
          <w:b/>
          <w:bCs/>
          <w:color w:val="FFFFFF"/>
          <w:sz w:val="34"/>
          <w:szCs w:val="34"/>
          <w:rtl/>
        </w:rPr>
        <w:t>«العلاج الاستخلافي» للاكتئاب — «بروتوكول TLRT» و«التحويل» لا «الاستئصال»</w:t>
      </w:r>
    </w:p>
    <w:p w14:paraId="0CE9E972"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في مقابل «النماذج» «التقليدية» التي «تسعى» إلى «استئصال» «الاكتئاب» (كـ«عرض» أو «مرض»)، يقدم «بروتوكول TLRT» «رؤية» «علاجية» «مغايرة» تقوم على «التحويل» لا «الاستئصال».</w:t>
      </w:r>
    </w:p>
    <w:p w14:paraId="04AD7F21"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4.1  </w:t>
      </w:r>
      <w:r>
        <w:rPr>
          <w:rFonts w:ascii="Traditional Arabic" w:eastAsia="Traditional Arabic" w:hAnsi="Traditional Arabic" w:cs="Traditional Arabic"/>
          <w:b/>
          <w:bCs/>
          <w:color w:val="102A43"/>
          <w:sz w:val="28"/>
          <w:szCs w:val="28"/>
          <w:rtl/>
        </w:rPr>
        <w:t>«الاكتئاب» كـ«طاقة وجودية محتجزة»</w:t>
      </w:r>
    </w:p>
    <w:p w14:paraId="0EF2B7C2"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في TLRT، لا «يُنظر» إلى «الاكتئاب» كـ«عدو» يجب «إبادته»، بل كـ«طاقة وجودية محتجزة» (طاقة «ندم» أو «حزن» أو «غضب» أو «حب») «ضلت» طريقها و«تحولت» إلى «سم» «داخلي». فـ«المكتئب» — في «العمق» — هو «إنسان» «يُعاني» من «فائض» في «الحساسية» و«الوعي» و«الرغبة» في «الكمال»، لكن هذه «الطاقة» — بدلاً من أن «تتجه» نحو «الإصلاح» و«العطاء» — «انحرفت» نحو «الداخل» و«أصبحت» «تُدمر» «الذات».</w:t>
      </w:r>
    </w:p>
    <w:p w14:paraId="10804BBF"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وهذا «التصور» — الذي «يُعيد» «تعريف» «الاكتئاب» بوصفه «فائضاً» «</w:t>
      </w:r>
      <w:proofErr w:type="spellStart"/>
      <w:r>
        <w:rPr>
          <w:rFonts w:ascii="Traditional Arabic" w:eastAsia="Traditional Arabic" w:hAnsi="Traditional Arabic" w:cs="Traditional Arabic"/>
          <w:color w:val="2B2B2B"/>
          <w:sz w:val="26"/>
          <w:szCs w:val="26"/>
          <w:rtl/>
        </w:rPr>
        <w:t>طاقياً</w:t>
      </w:r>
      <w:proofErr w:type="spellEnd"/>
      <w:r>
        <w:rPr>
          <w:rFonts w:ascii="Traditional Arabic" w:eastAsia="Traditional Arabic" w:hAnsi="Traditional Arabic" w:cs="Traditional Arabic"/>
          <w:color w:val="2B2B2B"/>
          <w:sz w:val="26"/>
          <w:szCs w:val="26"/>
          <w:rtl/>
        </w:rPr>
        <w:t xml:space="preserve">» «مُنحرف» «الاتجاه» لا «عجزاً» «صرفاً» — يفتح «الباب» أمام «مقاربة» «علاجية» «مختلفة جذرياً»: فبدل «السؤال» «كيف نُخمد هذه الطاقة؟» (وهو «سؤال» «النموذج الدوائي </w:t>
      </w:r>
      <w:proofErr w:type="spellStart"/>
      <w:r>
        <w:rPr>
          <w:rFonts w:ascii="Traditional Arabic" w:eastAsia="Traditional Arabic" w:hAnsi="Traditional Arabic" w:cs="Traditional Arabic"/>
          <w:color w:val="2B2B2B"/>
          <w:sz w:val="26"/>
          <w:szCs w:val="26"/>
          <w:rtl/>
        </w:rPr>
        <w:t>التسكيني</w:t>
      </w:r>
      <w:proofErr w:type="spellEnd"/>
      <w:r>
        <w:rPr>
          <w:rFonts w:ascii="Traditional Arabic" w:eastAsia="Traditional Arabic" w:hAnsi="Traditional Arabic" w:cs="Traditional Arabic"/>
          <w:color w:val="2B2B2B"/>
          <w:sz w:val="26"/>
          <w:szCs w:val="26"/>
          <w:rtl/>
        </w:rPr>
        <w:t>»)، يطرح TLRT «سؤالاً» «بديلاً»: «كيف نُعيد توجيه هذه الطاقة نحو مسارها الفطري؟».</w:t>
      </w:r>
    </w:p>
    <w:p w14:paraId="24E68FB1"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4.2  </w:t>
      </w:r>
      <w:r>
        <w:rPr>
          <w:rFonts w:ascii="Traditional Arabic" w:eastAsia="Traditional Arabic" w:hAnsi="Traditional Arabic" w:cs="Traditional Arabic"/>
          <w:b/>
          <w:bCs/>
          <w:color w:val="102A43"/>
          <w:sz w:val="28"/>
          <w:szCs w:val="28"/>
          <w:rtl/>
        </w:rPr>
        <w:t>«المراحل الخمس» لـ«تحويل» «الطاقة»</w:t>
      </w:r>
    </w:p>
    <w:p w14:paraId="3C2340B5" w14:textId="77777777" w:rsidR="00853581" w:rsidRDefault="005C2A2E">
      <w:pPr>
        <w:spacing w:before="240" w:after="140"/>
        <w:jc w:val="right"/>
      </w:pPr>
      <w:r>
        <w:rPr>
          <w:rFonts w:ascii="Traditional Arabic" w:eastAsia="Traditional Arabic" w:hAnsi="Traditional Arabic" w:cs="Traditional Arabic"/>
          <w:b/>
          <w:bCs/>
          <w:color w:val="B8860B"/>
          <w:sz w:val="24"/>
          <w:szCs w:val="24"/>
          <w:rtl/>
        </w:rPr>
        <w:t xml:space="preserve">◈ </w:t>
      </w:r>
      <w:r>
        <w:rPr>
          <w:rFonts w:ascii="Traditional Arabic" w:eastAsia="Traditional Arabic" w:hAnsi="Traditional Arabic" w:cs="Traditional Arabic"/>
          <w:b/>
          <w:bCs/>
          <w:i/>
          <w:iCs/>
          <w:color w:val="0E6F6C"/>
          <w:sz w:val="24"/>
          <w:szCs w:val="24"/>
          <w:rtl/>
        </w:rPr>
        <w:t>المرحلة الأولى: التشخيص الوجودي</w:t>
      </w:r>
    </w:p>
    <w:p w14:paraId="2F763D91"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«مساعدة» «المريض» على «فهم» أن «اكتئابه» ليس «مرضاً» «غامضاً»، بل هو «نتاج» «طبيعي» لـ«انقطاع» «صلته» بـ«فطرته» و«رسالته». و«رسم» «خريطة الدين النفسي» لـ«تمييز» «الديون الوهمية» (المُسببة للاكتئاب) من «الديون الحقيقية» (القابلة للسداد). ويُستخدم في «هذه» «المرحلة» «أدوات» «قياس» «مساعدة» — مثل «نموذج قياس الشعور بالذنب» — لـ«تكميم» «حجم» «الديون الوهمية» مقارنة بـ«الديون الحقيقية»، بما «يمنح» «المريض» «رؤية» «موضوعية» «أولية» عن «مصدر» «معاناته».</w:t>
      </w:r>
    </w:p>
    <w:p w14:paraId="6624A709" w14:textId="77777777" w:rsidR="00853581" w:rsidRDefault="005C2A2E">
      <w:pPr>
        <w:spacing w:before="240" w:after="140"/>
        <w:jc w:val="right"/>
      </w:pPr>
      <w:r>
        <w:rPr>
          <w:rFonts w:ascii="Traditional Arabic" w:eastAsia="Traditional Arabic" w:hAnsi="Traditional Arabic" w:cs="Traditional Arabic"/>
          <w:b/>
          <w:bCs/>
          <w:color w:val="B8860B"/>
          <w:sz w:val="24"/>
          <w:szCs w:val="24"/>
          <w:rtl/>
        </w:rPr>
        <w:t xml:space="preserve">◈ </w:t>
      </w:r>
      <w:r>
        <w:rPr>
          <w:rFonts w:ascii="Traditional Arabic" w:eastAsia="Traditional Arabic" w:hAnsi="Traditional Arabic" w:cs="Traditional Arabic"/>
          <w:b/>
          <w:bCs/>
          <w:i/>
          <w:iCs/>
          <w:color w:val="0E6F6C"/>
          <w:sz w:val="24"/>
          <w:szCs w:val="24"/>
          <w:rtl/>
        </w:rPr>
        <w:t>المرحلة الثانية: إعادة بناء صورة الله</w:t>
      </w:r>
    </w:p>
    <w:p w14:paraId="2728E96D"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«تفكيك» «صورة» «الإله المعاقب» (الذي «يُضخم» «الخوف» و«الذنب») — وهي «الصورة» التي «تُغذّي» «اللوامة المريضة» في «الضلع السابع» — و«استبدالها» بـ«صورة» «الرب الرحيم الشاهد» (الذي «يفتح» «باب» «الأمل» و«المغفرة»)، بما «يُعيد» «تفعيل» «الضلع الخامس» (أمارة ← لوامة) عبر «توبة» «لا يُثقلها» «القنوط».</w:t>
      </w:r>
    </w:p>
    <w:p w14:paraId="678FB650" w14:textId="77777777" w:rsidR="00853581" w:rsidRDefault="005C2A2E">
      <w:pPr>
        <w:spacing w:before="240" w:after="140"/>
        <w:jc w:val="right"/>
      </w:pPr>
      <w:r>
        <w:rPr>
          <w:rFonts w:ascii="Traditional Arabic" w:eastAsia="Traditional Arabic" w:hAnsi="Traditional Arabic" w:cs="Traditional Arabic"/>
          <w:b/>
          <w:bCs/>
          <w:color w:val="B8860B"/>
          <w:sz w:val="24"/>
          <w:szCs w:val="24"/>
          <w:rtl/>
        </w:rPr>
        <w:t xml:space="preserve">◈ </w:t>
      </w:r>
      <w:r>
        <w:rPr>
          <w:rFonts w:ascii="Traditional Arabic" w:eastAsia="Traditional Arabic" w:hAnsi="Traditional Arabic" w:cs="Traditional Arabic"/>
          <w:b/>
          <w:bCs/>
          <w:i/>
          <w:iCs/>
          <w:color w:val="0E6F6C"/>
          <w:sz w:val="24"/>
          <w:szCs w:val="24"/>
          <w:rtl/>
        </w:rPr>
        <w:t xml:space="preserve">المرحلة الثالثة: التحويل </w:t>
      </w:r>
      <w:proofErr w:type="spellStart"/>
      <w:r>
        <w:rPr>
          <w:rFonts w:ascii="Traditional Arabic" w:eastAsia="Traditional Arabic" w:hAnsi="Traditional Arabic" w:cs="Traditional Arabic"/>
          <w:b/>
          <w:bCs/>
          <w:i/>
          <w:iCs/>
          <w:color w:val="0E6F6C"/>
          <w:sz w:val="24"/>
          <w:szCs w:val="24"/>
          <w:rtl/>
        </w:rPr>
        <w:t>الطاقي</w:t>
      </w:r>
      <w:proofErr w:type="spellEnd"/>
      <w:r>
        <w:rPr>
          <w:rFonts w:ascii="Traditional Arabic" w:eastAsia="Traditional Arabic" w:hAnsi="Traditional Arabic" w:cs="Traditional Arabic"/>
          <w:b/>
          <w:bCs/>
          <w:i/>
          <w:iCs/>
          <w:color w:val="0E6F6C"/>
          <w:sz w:val="24"/>
          <w:szCs w:val="24"/>
          <w:rtl/>
        </w:rPr>
        <w:t xml:space="preserve"> عبر الجسر السلوكي</w:t>
      </w:r>
    </w:p>
    <w:p w14:paraId="0F52125A"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 xml:space="preserve">«توجيه» «طاقة» «الاكتئاب» نحو «فعل» «إحسان» «مُحدد». فـ«المكتئب» الذي «يشعر» بـ«الفراغ» «يُمكنه» أن «يتطوع» لـ«مساعدة» «الآخرين». و«المكتئب» الذي «يشعر» بـ«الذنب» «يُمكنه» أن «يُصلح» «ما أفسد». وهذا «الفعل» — بدوره — «يُعطي» «للحياة» «معنى» </w:t>
      </w:r>
      <w:proofErr w:type="spellStart"/>
      <w:r>
        <w:rPr>
          <w:rFonts w:ascii="Traditional Arabic" w:eastAsia="Traditional Arabic" w:hAnsi="Traditional Arabic" w:cs="Traditional Arabic"/>
          <w:color w:val="2B2B2B"/>
          <w:sz w:val="26"/>
          <w:szCs w:val="26"/>
          <w:rtl/>
        </w:rPr>
        <w:t>و«يُشعر</w:t>
      </w:r>
      <w:proofErr w:type="spellEnd"/>
      <w:r>
        <w:rPr>
          <w:rFonts w:ascii="Traditional Arabic" w:eastAsia="Traditional Arabic" w:hAnsi="Traditional Arabic" w:cs="Traditional Arabic"/>
          <w:color w:val="2B2B2B"/>
          <w:sz w:val="26"/>
          <w:szCs w:val="26"/>
          <w:rtl/>
        </w:rPr>
        <w:t xml:space="preserve">» بـ«القيمة» و«الفاعلية»، </w:t>
      </w:r>
      <w:proofErr w:type="spellStart"/>
      <w:r>
        <w:rPr>
          <w:rFonts w:ascii="Traditional Arabic" w:eastAsia="Traditional Arabic" w:hAnsi="Traditional Arabic" w:cs="Traditional Arabic"/>
          <w:color w:val="2B2B2B"/>
          <w:sz w:val="26"/>
          <w:szCs w:val="26"/>
          <w:rtl/>
        </w:rPr>
        <w:t>فـ«يُعاد</w:t>
      </w:r>
      <w:proofErr w:type="spellEnd"/>
      <w:r>
        <w:rPr>
          <w:rFonts w:ascii="Traditional Arabic" w:eastAsia="Traditional Arabic" w:hAnsi="Traditional Arabic" w:cs="Traditional Arabic"/>
          <w:color w:val="2B2B2B"/>
          <w:sz w:val="26"/>
          <w:szCs w:val="26"/>
          <w:rtl/>
        </w:rPr>
        <w:t>» «تفعيل» «الضلع الرابع» (لوامة ← مطمئنة) المُعطل.</w:t>
      </w:r>
    </w:p>
    <w:p w14:paraId="5A96C0C3" w14:textId="77777777" w:rsidR="00853581" w:rsidRDefault="005C2A2E">
      <w:pPr>
        <w:spacing w:before="240" w:after="140"/>
        <w:jc w:val="right"/>
      </w:pPr>
      <w:r>
        <w:rPr>
          <w:rFonts w:ascii="Traditional Arabic" w:eastAsia="Traditional Arabic" w:hAnsi="Traditional Arabic" w:cs="Traditional Arabic"/>
          <w:b/>
          <w:bCs/>
          <w:color w:val="B8860B"/>
          <w:sz w:val="24"/>
          <w:szCs w:val="24"/>
          <w:rtl/>
        </w:rPr>
        <w:t xml:space="preserve">◈ </w:t>
      </w:r>
      <w:r>
        <w:rPr>
          <w:rFonts w:ascii="Traditional Arabic" w:eastAsia="Traditional Arabic" w:hAnsi="Traditional Arabic" w:cs="Traditional Arabic"/>
          <w:b/>
          <w:bCs/>
          <w:i/>
          <w:iCs/>
          <w:color w:val="0E6F6C"/>
          <w:sz w:val="24"/>
          <w:szCs w:val="24"/>
          <w:rtl/>
        </w:rPr>
        <w:t>المرحلة الرابعة: إعادة كتابة السردية</w:t>
      </w:r>
    </w:p>
    <w:p w14:paraId="646DF046"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 xml:space="preserve">«دمج» «الاكتئاب» في «قصة» «حياة» «جديدة»، لا كـ«وصمة» «عار»، بل </w:t>
      </w:r>
      <w:proofErr w:type="spellStart"/>
      <w:r>
        <w:rPr>
          <w:rFonts w:ascii="Traditional Arabic" w:eastAsia="Traditional Arabic" w:hAnsi="Traditional Arabic" w:cs="Traditional Arabic"/>
          <w:color w:val="2B2B2B"/>
          <w:sz w:val="26"/>
          <w:szCs w:val="26"/>
          <w:rtl/>
        </w:rPr>
        <w:t>كـ«مُعلم</w:t>
      </w:r>
      <w:proofErr w:type="spellEnd"/>
      <w:r>
        <w:rPr>
          <w:rFonts w:ascii="Traditional Arabic" w:eastAsia="Traditional Arabic" w:hAnsi="Traditional Arabic" w:cs="Traditional Arabic"/>
          <w:color w:val="2B2B2B"/>
          <w:sz w:val="26"/>
          <w:szCs w:val="26"/>
          <w:rtl/>
        </w:rPr>
        <w:t>» و«دافع» نحو «النمو». وهذا هو «الكينتسوغي النفسي»: «ترميم» «جرح» «الاكتئاب» بـ«ذهب» «الحكمة» و«العطاء» — استعارة يابانية تُستخدم هنا لوصف «قيمة مضافة» في «الذات المُرمَّمة» تفوق «حالتها» «قبل» «الجرح».</w:t>
      </w:r>
    </w:p>
    <w:p w14:paraId="68A79BCC" w14:textId="77777777" w:rsidR="00853581" w:rsidRDefault="005C2A2E">
      <w:pPr>
        <w:spacing w:before="240" w:after="140"/>
        <w:jc w:val="right"/>
      </w:pPr>
      <w:r>
        <w:rPr>
          <w:rFonts w:ascii="Traditional Arabic" w:eastAsia="Traditional Arabic" w:hAnsi="Traditional Arabic" w:cs="Traditional Arabic"/>
          <w:b/>
          <w:bCs/>
          <w:color w:val="B8860B"/>
          <w:sz w:val="24"/>
          <w:szCs w:val="24"/>
          <w:rtl/>
        </w:rPr>
        <w:t xml:space="preserve">◈ </w:t>
      </w:r>
      <w:r>
        <w:rPr>
          <w:rFonts w:ascii="Traditional Arabic" w:eastAsia="Traditional Arabic" w:hAnsi="Traditional Arabic" w:cs="Traditional Arabic"/>
          <w:b/>
          <w:bCs/>
          <w:i/>
          <w:iCs/>
          <w:color w:val="0E6F6C"/>
          <w:sz w:val="24"/>
          <w:szCs w:val="24"/>
          <w:rtl/>
        </w:rPr>
        <w:t>المرحلة الخامسة: الاستدامة</w:t>
      </w:r>
    </w:p>
    <w:p w14:paraId="0110D04F"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«بناء» «طقوس» «يومية» (صلاة، ذكر، تدبر، عمل صالح) و«شبكات» «دعم» (صحبة صالحة) «تضمن» «استمرار» «التحول» و«تمنع» «الانتكاس»، بما «يُعيد» «تفعيل» «الضلع الثامن» (رحمة إلهية ← مطمئنة) على «نحو» «مستدام» لا «عابر».</w:t>
      </w:r>
    </w:p>
    <w:p w14:paraId="7D140917"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4.3  </w:t>
      </w:r>
      <w:r>
        <w:rPr>
          <w:rFonts w:ascii="Traditional Arabic" w:eastAsia="Traditional Arabic" w:hAnsi="Traditional Arabic" w:cs="Traditional Arabic"/>
          <w:b/>
          <w:bCs/>
          <w:color w:val="102A43"/>
          <w:sz w:val="28"/>
          <w:szCs w:val="28"/>
          <w:rtl/>
        </w:rPr>
        <w:t>توضيح إكلينيكي: نموذج تطبيقي مُركَّب</w:t>
      </w:r>
    </w:p>
    <w:p w14:paraId="04AD9F83"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لتوضيح «آلية» «عمل» «البروتوكول»، يمكن «تخيّل» «حالة» «مُركّبة» (</w:t>
      </w:r>
      <w:proofErr w:type="spellStart"/>
      <w:r>
        <w:rPr>
          <w:rFonts w:ascii="Traditional Arabic" w:eastAsia="Traditional Arabic" w:hAnsi="Traditional Arabic" w:cs="Traditional Arabic"/>
          <w:color w:val="2B2B2B"/>
          <w:sz w:val="26"/>
          <w:szCs w:val="26"/>
          <w:rtl/>
        </w:rPr>
        <w:t>Composite</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Case</w:t>
      </w:r>
      <w:proofErr w:type="spellEnd"/>
      <w:r>
        <w:rPr>
          <w:rFonts w:ascii="Traditional Arabic" w:eastAsia="Traditional Arabic" w:hAnsi="Traditional Arabic" w:cs="Traditional Arabic"/>
          <w:color w:val="2B2B2B"/>
          <w:sz w:val="26"/>
          <w:szCs w:val="26"/>
          <w:rtl/>
        </w:rPr>
        <w:t>) — لا تُمثّل «فرداً» «بعينه» بل «نمطاً» «متكرراً» في «الملاحظة» «الإكلينيكية» — لشخص «يعاني» من «اكتئاب» «مُصاحب» بـ«شعور» «مزمن» بالذنب «تجاه» «تقصيره الديني» من جهة، و«شعور» «بالتخلف» «مهنياً» عن «أقرانه» من جهة أخرى: هذا «التنازع» بين «مرجعيتين» «قيميتين» هو «عيّنة» «نموذجية» لـ«الفصام الأخلاقي». و«التشخيص الوجودي» هنا لا «يكتفي» بـ«تصنيف» «الأعراض» وفق «معايير» DSM، بل «يرسم» «خريطة» «تُميّز» بين «تقصير» «حقيقي» «قابل للتصحيح» (كإهمال صلاة بعينها) و«دين وهمي» «مُستحيل السداد» (كـ«توقع» «ا</w:t>
      </w:r>
      <w:r>
        <w:rPr>
          <w:rFonts w:ascii="Traditional Arabic" w:eastAsia="Traditional Arabic" w:hAnsi="Traditional Arabic" w:cs="Traditional Arabic"/>
          <w:color w:val="2B2B2B"/>
          <w:sz w:val="26"/>
          <w:szCs w:val="26"/>
          <w:rtl/>
        </w:rPr>
        <w:t>لكمال» المطلق في «كل» «الأدوار»)، ثم «يوجّه» «الطاقة» «المتحررة» من «هذا» «التمييز» نحو «فعل» «إحسان» «واحد» «محدد» «قابل للتحقق»، بدل «الاستغراق» في «جلد الذات» «العام».</w:t>
      </w:r>
    </w:p>
    <w:p w14:paraId="13CD0FAD" w14:textId="77777777" w:rsidR="00853581" w:rsidRDefault="005C2A2E">
      <w:pPr>
        <w:pStyle w:val="1"/>
        <w:pBdr>
          <w:top w:val="single" w:sz="6" w:space="0" w:color="B8860B"/>
          <w:bottom w:val="single" w:sz="6" w:space="0" w:color="B8860B"/>
        </w:pBdr>
        <w:shd w:val="clear" w:color="auto" w:fill="1B3A5C"/>
        <w:bidi/>
        <w:spacing w:before="480" w:after="320"/>
        <w:jc w:val="center"/>
      </w:pPr>
      <w:r>
        <w:rPr>
          <w:rFonts w:ascii="Traditional Arabic" w:eastAsia="Traditional Arabic" w:hAnsi="Traditional Arabic" w:cs="Traditional Arabic"/>
          <w:b/>
          <w:bCs/>
          <w:color w:val="F4E9D8"/>
          <w:sz w:val="22"/>
          <w:szCs w:val="22"/>
          <w:rtl/>
        </w:rPr>
        <w:t>الفصل الخامس</w:t>
      </w:r>
      <w:r>
        <w:rPr>
          <w:rFonts w:ascii="Traditional Arabic" w:eastAsia="Traditional Arabic" w:hAnsi="Traditional Arabic" w:cs="Traditional Arabic"/>
          <w:sz w:val="22"/>
          <w:szCs w:val="22"/>
          <w:rtl/>
        </w:rPr>
        <w:t xml:space="preserve">  </w:t>
      </w:r>
      <w:r>
        <w:rPr>
          <w:rFonts w:ascii="Traditional Arabic" w:eastAsia="Traditional Arabic" w:hAnsi="Traditional Arabic" w:cs="Traditional Arabic"/>
          <w:b/>
          <w:bCs/>
          <w:color w:val="FFFFFF"/>
          <w:sz w:val="34"/>
          <w:szCs w:val="34"/>
          <w:rtl/>
        </w:rPr>
        <w:t>«مقاربة» «مقارنة» — «النموذج الاستخلافي» و«النماذج» «الأخرى»</w:t>
      </w:r>
    </w:p>
    <w:p w14:paraId="3CDF2455"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تسعى «هذه» «المقارنة» إلى «تجاوز» «التقابل» «السطحي» بين «النماذج»، نحو «تحديد» «دقيق» لـ«نقاط» «الالتقاء» و«الافتراق»، بما «يُبرز» «الإضافة» «النوعية» لـ«النموذج الاستخلافي» دون «إنكار» «مساهمات» «النماذج» «الأخرى» «التجريبية» و«الفلسفية».</w:t>
      </w:r>
    </w:p>
    <w:p w14:paraId="5781AB77"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5.1  </w:t>
      </w:r>
      <w:r>
        <w:rPr>
          <w:rFonts w:ascii="Traditional Arabic" w:eastAsia="Traditional Arabic" w:hAnsi="Traditional Arabic" w:cs="Traditional Arabic"/>
          <w:b/>
          <w:bCs/>
          <w:color w:val="102A43"/>
          <w:sz w:val="28"/>
          <w:szCs w:val="28"/>
          <w:rtl/>
        </w:rPr>
        <w:t>الاكتئاب في النموذج الاستخلافي مقابل النموذج الطبي</w:t>
      </w:r>
    </w:p>
    <w:tbl>
      <w:tblPr>
        <w:tblW w:w="9000" w:type="dxa"/>
        <w:tblBorders>
          <w:top w:val="single" w:sz="4" w:space="0" w:color="1B3A5C"/>
          <w:left w:val="single" w:sz="4" w:space="0" w:color="1B3A5C"/>
          <w:bottom w:val="single" w:sz="4" w:space="0" w:color="1B3A5C"/>
          <w:right w:val="single" w:sz="4" w:space="0" w:color="1B3A5C"/>
          <w:insideH w:val="single" w:sz="2" w:space="0" w:color="B5B5B5"/>
          <w:insideV w:val="single" w:sz="2" w:space="0" w:color="B5B5B5"/>
        </w:tblBorders>
        <w:tblCellMar>
          <w:left w:w="10" w:type="dxa"/>
          <w:right w:w="10" w:type="dxa"/>
        </w:tblCellMar>
        <w:tblLook w:val="0000" w:firstRow="0" w:lastRow="0" w:firstColumn="0" w:lastColumn="0" w:noHBand="0" w:noVBand="0"/>
      </w:tblPr>
      <w:tblGrid>
        <w:gridCol w:w="2400"/>
        <w:gridCol w:w="3300"/>
        <w:gridCol w:w="3300"/>
      </w:tblGrid>
      <w:tr w:rsidR="00853581" w14:paraId="7229209B" w14:textId="77777777">
        <w:tblPrEx>
          <w:tblCellMar>
            <w:top w:w="0" w:type="dxa"/>
            <w:bottom w:w="0" w:type="dxa"/>
          </w:tblCellMar>
        </w:tblPrEx>
        <w:trPr>
          <w:tblHeader/>
        </w:trPr>
        <w:tc>
          <w:tcPr>
            <w:tcW w:w="2400" w:type="dxa"/>
            <w:shd w:val="clear" w:color="auto" w:fill="1B3A5C"/>
            <w:tcMar>
              <w:top w:w="120" w:type="dxa"/>
              <w:left w:w="140" w:type="dxa"/>
              <w:bottom w:w="120" w:type="dxa"/>
              <w:right w:w="140" w:type="dxa"/>
            </w:tcMar>
            <w:vAlign w:val="center"/>
          </w:tcPr>
          <w:p w14:paraId="249BE539" w14:textId="77777777" w:rsidR="00853581" w:rsidRDefault="005C2A2E">
            <w:pPr>
              <w:jc w:val="center"/>
            </w:pPr>
            <w:r>
              <w:rPr>
                <w:rFonts w:ascii="Traditional Arabic" w:eastAsia="Traditional Arabic" w:hAnsi="Traditional Arabic" w:cs="Traditional Arabic"/>
                <w:b/>
                <w:bCs/>
                <w:color w:val="FFFFFF"/>
                <w:sz w:val="22"/>
                <w:szCs w:val="22"/>
                <w:rtl/>
              </w:rPr>
              <w:t>البُعد</w:t>
            </w:r>
          </w:p>
        </w:tc>
        <w:tc>
          <w:tcPr>
            <w:tcW w:w="3300" w:type="dxa"/>
            <w:shd w:val="clear" w:color="auto" w:fill="1B3A5C"/>
            <w:tcMar>
              <w:top w:w="120" w:type="dxa"/>
              <w:left w:w="140" w:type="dxa"/>
              <w:bottom w:w="120" w:type="dxa"/>
              <w:right w:w="140" w:type="dxa"/>
            </w:tcMar>
            <w:vAlign w:val="center"/>
          </w:tcPr>
          <w:p w14:paraId="0BB59241" w14:textId="77777777" w:rsidR="00853581" w:rsidRDefault="005C2A2E">
            <w:pPr>
              <w:jc w:val="center"/>
            </w:pPr>
            <w:r>
              <w:rPr>
                <w:rFonts w:ascii="Traditional Arabic" w:eastAsia="Traditional Arabic" w:hAnsi="Traditional Arabic" w:cs="Traditional Arabic"/>
                <w:b/>
                <w:bCs/>
                <w:color w:val="FFFFFF"/>
                <w:sz w:val="22"/>
                <w:szCs w:val="22"/>
                <w:rtl/>
              </w:rPr>
              <w:t>النموذج الطبي</w:t>
            </w:r>
          </w:p>
        </w:tc>
        <w:tc>
          <w:tcPr>
            <w:tcW w:w="3300" w:type="dxa"/>
            <w:shd w:val="clear" w:color="auto" w:fill="1B3A5C"/>
            <w:tcMar>
              <w:top w:w="120" w:type="dxa"/>
              <w:left w:w="140" w:type="dxa"/>
              <w:bottom w:w="120" w:type="dxa"/>
              <w:right w:w="140" w:type="dxa"/>
            </w:tcMar>
            <w:vAlign w:val="center"/>
          </w:tcPr>
          <w:p w14:paraId="4FB87339" w14:textId="77777777" w:rsidR="00853581" w:rsidRDefault="005C2A2E">
            <w:pPr>
              <w:jc w:val="center"/>
            </w:pPr>
            <w:r>
              <w:rPr>
                <w:rFonts w:ascii="Traditional Arabic" w:eastAsia="Traditional Arabic" w:hAnsi="Traditional Arabic" w:cs="Traditional Arabic"/>
                <w:b/>
                <w:bCs/>
                <w:color w:val="FFFFFF"/>
                <w:sz w:val="22"/>
                <w:szCs w:val="22"/>
                <w:rtl/>
              </w:rPr>
              <w:t>النموذج الاستخلافي</w:t>
            </w:r>
          </w:p>
        </w:tc>
      </w:tr>
      <w:tr w:rsidR="00853581" w14:paraId="743B5C1E" w14:textId="77777777">
        <w:tblPrEx>
          <w:tblCellMar>
            <w:top w:w="0" w:type="dxa"/>
            <w:bottom w:w="0" w:type="dxa"/>
          </w:tblCellMar>
        </w:tblPrEx>
        <w:tc>
          <w:tcPr>
            <w:tcW w:w="2400" w:type="dxa"/>
            <w:shd w:val="clear" w:color="auto" w:fill="E4F2F1"/>
            <w:tcMar>
              <w:top w:w="120" w:type="dxa"/>
              <w:left w:w="140" w:type="dxa"/>
              <w:bottom w:w="120" w:type="dxa"/>
              <w:right w:w="140" w:type="dxa"/>
            </w:tcMar>
            <w:vAlign w:val="center"/>
          </w:tcPr>
          <w:p w14:paraId="2ED4BE6A" w14:textId="77777777" w:rsidR="00853581" w:rsidRDefault="005C2A2E">
            <w:pPr>
              <w:jc w:val="center"/>
            </w:pPr>
            <w:r>
              <w:rPr>
                <w:rFonts w:ascii="Traditional Arabic" w:eastAsia="Traditional Arabic" w:hAnsi="Traditional Arabic" w:cs="Traditional Arabic"/>
                <w:b/>
                <w:bCs/>
                <w:color w:val="102A43"/>
                <w:sz w:val="21"/>
                <w:szCs w:val="21"/>
                <w:rtl/>
              </w:rPr>
              <w:t>تعريف الاكتئاب</w:t>
            </w:r>
          </w:p>
        </w:tc>
        <w:tc>
          <w:tcPr>
            <w:tcW w:w="3300" w:type="dxa"/>
            <w:shd w:val="clear" w:color="auto" w:fill="FFFFFF"/>
            <w:tcMar>
              <w:top w:w="120" w:type="dxa"/>
              <w:left w:w="140" w:type="dxa"/>
              <w:bottom w:w="120" w:type="dxa"/>
              <w:right w:w="140" w:type="dxa"/>
            </w:tcMar>
            <w:vAlign w:val="center"/>
          </w:tcPr>
          <w:p w14:paraId="3299B5C3" w14:textId="77777777" w:rsidR="00853581" w:rsidRDefault="005C2A2E">
            <w:pPr>
              <w:jc w:val="center"/>
            </w:pPr>
            <w:r>
              <w:rPr>
                <w:rFonts w:ascii="Traditional Arabic" w:eastAsia="Traditional Arabic" w:hAnsi="Traditional Arabic" w:cs="Traditional Arabic"/>
                <w:color w:val="102A43"/>
                <w:sz w:val="21"/>
                <w:szCs w:val="21"/>
                <w:rtl/>
              </w:rPr>
              <w:t>خلل كيميائي عصبي</w:t>
            </w:r>
          </w:p>
        </w:tc>
        <w:tc>
          <w:tcPr>
            <w:tcW w:w="3300" w:type="dxa"/>
            <w:shd w:val="clear" w:color="auto" w:fill="FFFFFF"/>
            <w:tcMar>
              <w:top w:w="120" w:type="dxa"/>
              <w:left w:w="140" w:type="dxa"/>
              <w:bottom w:w="120" w:type="dxa"/>
              <w:right w:w="140" w:type="dxa"/>
            </w:tcMar>
            <w:vAlign w:val="center"/>
          </w:tcPr>
          <w:p w14:paraId="4DDEB7BB" w14:textId="77777777" w:rsidR="00853581" w:rsidRDefault="005C2A2E">
            <w:pPr>
              <w:jc w:val="center"/>
            </w:pPr>
            <w:r>
              <w:rPr>
                <w:rFonts w:ascii="Traditional Arabic" w:eastAsia="Traditional Arabic" w:hAnsi="Traditional Arabic" w:cs="Traditional Arabic"/>
                <w:color w:val="102A43"/>
                <w:sz w:val="21"/>
                <w:szCs w:val="21"/>
                <w:rtl/>
              </w:rPr>
              <w:t>أزمة وجودية + طاقة محتجزة</w:t>
            </w:r>
          </w:p>
        </w:tc>
      </w:tr>
      <w:tr w:rsidR="00853581" w14:paraId="295E38FD" w14:textId="77777777">
        <w:tblPrEx>
          <w:tblCellMar>
            <w:top w:w="0" w:type="dxa"/>
            <w:bottom w:w="0" w:type="dxa"/>
          </w:tblCellMar>
        </w:tblPrEx>
        <w:tc>
          <w:tcPr>
            <w:tcW w:w="2400" w:type="dxa"/>
            <w:shd w:val="clear" w:color="auto" w:fill="E4F2F1"/>
            <w:tcMar>
              <w:top w:w="120" w:type="dxa"/>
              <w:left w:w="140" w:type="dxa"/>
              <w:bottom w:w="120" w:type="dxa"/>
              <w:right w:w="140" w:type="dxa"/>
            </w:tcMar>
            <w:vAlign w:val="center"/>
          </w:tcPr>
          <w:p w14:paraId="2449ED47" w14:textId="77777777" w:rsidR="00853581" w:rsidRDefault="005C2A2E">
            <w:pPr>
              <w:jc w:val="center"/>
            </w:pPr>
            <w:r>
              <w:rPr>
                <w:rFonts w:ascii="Traditional Arabic" w:eastAsia="Traditional Arabic" w:hAnsi="Traditional Arabic" w:cs="Traditional Arabic"/>
                <w:b/>
                <w:bCs/>
                <w:color w:val="102A43"/>
                <w:sz w:val="21"/>
                <w:szCs w:val="21"/>
                <w:rtl/>
              </w:rPr>
              <w:t>مسار العلاج</w:t>
            </w:r>
          </w:p>
        </w:tc>
        <w:tc>
          <w:tcPr>
            <w:tcW w:w="3300" w:type="dxa"/>
            <w:shd w:val="clear" w:color="auto" w:fill="FFFFFF"/>
            <w:tcMar>
              <w:top w:w="120" w:type="dxa"/>
              <w:left w:w="140" w:type="dxa"/>
              <w:bottom w:w="120" w:type="dxa"/>
              <w:right w:w="140" w:type="dxa"/>
            </w:tcMar>
            <w:vAlign w:val="center"/>
          </w:tcPr>
          <w:p w14:paraId="4320725E" w14:textId="77777777" w:rsidR="00853581" w:rsidRDefault="005C2A2E">
            <w:pPr>
              <w:jc w:val="center"/>
            </w:pPr>
            <w:r>
              <w:rPr>
                <w:rFonts w:ascii="Traditional Arabic" w:eastAsia="Traditional Arabic" w:hAnsi="Traditional Arabic" w:cs="Traditional Arabic"/>
                <w:color w:val="102A43"/>
                <w:sz w:val="21"/>
                <w:szCs w:val="21"/>
                <w:rtl/>
              </w:rPr>
              <w:t>تصحيح كيميائي (دواء)</w:t>
            </w:r>
          </w:p>
        </w:tc>
        <w:tc>
          <w:tcPr>
            <w:tcW w:w="3300" w:type="dxa"/>
            <w:shd w:val="clear" w:color="auto" w:fill="FFFFFF"/>
            <w:tcMar>
              <w:top w:w="120" w:type="dxa"/>
              <w:left w:w="140" w:type="dxa"/>
              <w:bottom w:w="120" w:type="dxa"/>
              <w:right w:w="140" w:type="dxa"/>
            </w:tcMar>
            <w:vAlign w:val="center"/>
          </w:tcPr>
          <w:p w14:paraId="4ED0551E" w14:textId="77777777" w:rsidR="00853581" w:rsidRDefault="005C2A2E">
            <w:pPr>
              <w:jc w:val="center"/>
            </w:pPr>
            <w:r>
              <w:rPr>
                <w:rFonts w:ascii="Traditional Arabic" w:eastAsia="Traditional Arabic" w:hAnsi="Traditional Arabic" w:cs="Traditional Arabic"/>
                <w:color w:val="102A43"/>
                <w:sz w:val="21"/>
                <w:szCs w:val="21"/>
                <w:rtl/>
              </w:rPr>
              <w:t>تحويل الطاقة + استعادة المعنى</w:t>
            </w:r>
          </w:p>
        </w:tc>
      </w:tr>
      <w:tr w:rsidR="00853581" w14:paraId="5B54134F" w14:textId="77777777">
        <w:tblPrEx>
          <w:tblCellMar>
            <w:top w:w="0" w:type="dxa"/>
            <w:bottom w:w="0" w:type="dxa"/>
          </w:tblCellMar>
        </w:tblPrEx>
        <w:tc>
          <w:tcPr>
            <w:tcW w:w="2400" w:type="dxa"/>
            <w:shd w:val="clear" w:color="auto" w:fill="E4F2F1"/>
            <w:tcMar>
              <w:top w:w="120" w:type="dxa"/>
              <w:left w:w="140" w:type="dxa"/>
              <w:bottom w:w="120" w:type="dxa"/>
              <w:right w:w="140" w:type="dxa"/>
            </w:tcMar>
            <w:vAlign w:val="center"/>
          </w:tcPr>
          <w:p w14:paraId="1EBD1AA1" w14:textId="77777777" w:rsidR="00853581" w:rsidRDefault="005C2A2E">
            <w:pPr>
              <w:jc w:val="center"/>
            </w:pPr>
            <w:r>
              <w:rPr>
                <w:rFonts w:ascii="Traditional Arabic" w:eastAsia="Traditional Arabic" w:hAnsi="Traditional Arabic" w:cs="Traditional Arabic"/>
                <w:b/>
                <w:bCs/>
                <w:color w:val="102A43"/>
                <w:sz w:val="21"/>
                <w:szCs w:val="21"/>
                <w:rtl/>
              </w:rPr>
              <w:t>موقف من الأعراض</w:t>
            </w:r>
          </w:p>
        </w:tc>
        <w:tc>
          <w:tcPr>
            <w:tcW w:w="3300" w:type="dxa"/>
            <w:shd w:val="clear" w:color="auto" w:fill="FFFFFF"/>
            <w:tcMar>
              <w:top w:w="120" w:type="dxa"/>
              <w:left w:w="140" w:type="dxa"/>
              <w:bottom w:w="120" w:type="dxa"/>
              <w:right w:w="140" w:type="dxa"/>
            </w:tcMar>
            <w:vAlign w:val="center"/>
          </w:tcPr>
          <w:p w14:paraId="57B3485C" w14:textId="77777777" w:rsidR="00853581" w:rsidRDefault="005C2A2E">
            <w:pPr>
              <w:jc w:val="center"/>
            </w:pPr>
            <w:r>
              <w:rPr>
                <w:rFonts w:ascii="Traditional Arabic" w:eastAsia="Traditional Arabic" w:hAnsi="Traditional Arabic" w:cs="Traditional Arabic"/>
                <w:color w:val="102A43"/>
                <w:sz w:val="21"/>
                <w:szCs w:val="21"/>
                <w:rtl/>
              </w:rPr>
              <w:t>أعراض يجب إخمادها</w:t>
            </w:r>
          </w:p>
        </w:tc>
        <w:tc>
          <w:tcPr>
            <w:tcW w:w="3300" w:type="dxa"/>
            <w:shd w:val="clear" w:color="auto" w:fill="FFFFFF"/>
            <w:tcMar>
              <w:top w:w="120" w:type="dxa"/>
              <w:left w:w="140" w:type="dxa"/>
              <w:bottom w:w="120" w:type="dxa"/>
              <w:right w:w="140" w:type="dxa"/>
            </w:tcMar>
            <w:vAlign w:val="center"/>
          </w:tcPr>
          <w:p w14:paraId="13EBE244" w14:textId="77777777" w:rsidR="00853581" w:rsidRDefault="005C2A2E">
            <w:pPr>
              <w:jc w:val="center"/>
            </w:pPr>
            <w:r>
              <w:rPr>
                <w:rFonts w:ascii="Traditional Arabic" w:eastAsia="Traditional Arabic" w:hAnsi="Traditional Arabic" w:cs="Traditional Arabic"/>
                <w:color w:val="102A43"/>
                <w:sz w:val="21"/>
                <w:szCs w:val="21"/>
                <w:rtl/>
              </w:rPr>
              <w:t>رسالة يجب فهمها وتوجيهها</w:t>
            </w:r>
          </w:p>
        </w:tc>
      </w:tr>
    </w:tbl>
    <w:p w14:paraId="437597EA"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5.2  </w:t>
      </w:r>
      <w:r>
        <w:rPr>
          <w:rFonts w:ascii="Traditional Arabic" w:eastAsia="Traditional Arabic" w:hAnsi="Traditional Arabic" w:cs="Traditional Arabic"/>
          <w:b/>
          <w:bCs/>
          <w:color w:val="102A43"/>
          <w:sz w:val="28"/>
          <w:szCs w:val="28"/>
          <w:rtl/>
        </w:rPr>
        <w:t>الاكتئاب في النموذج الاستخلافي مقابل النموذج المعرفي</w:t>
      </w:r>
    </w:p>
    <w:tbl>
      <w:tblPr>
        <w:tblW w:w="9000" w:type="dxa"/>
        <w:tblBorders>
          <w:top w:val="single" w:sz="4" w:space="0" w:color="1B3A5C"/>
          <w:left w:val="single" w:sz="4" w:space="0" w:color="1B3A5C"/>
          <w:bottom w:val="single" w:sz="4" w:space="0" w:color="1B3A5C"/>
          <w:right w:val="single" w:sz="4" w:space="0" w:color="1B3A5C"/>
          <w:insideH w:val="single" w:sz="2" w:space="0" w:color="B5B5B5"/>
          <w:insideV w:val="single" w:sz="2" w:space="0" w:color="B5B5B5"/>
        </w:tblBorders>
        <w:tblCellMar>
          <w:left w:w="10" w:type="dxa"/>
          <w:right w:w="10" w:type="dxa"/>
        </w:tblCellMar>
        <w:tblLook w:val="0000" w:firstRow="0" w:lastRow="0" w:firstColumn="0" w:lastColumn="0" w:noHBand="0" w:noVBand="0"/>
      </w:tblPr>
      <w:tblGrid>
        <w:gridCol w:w="2400"/>
        <w:gridCol w:w="3300"/>
        <w:gridCol w:w="3300"/>
      </w:tblGrid>
      <w:tr w:rsidR="00853581" w14:paraId="4AB1C135" w14:textId="77777777">
        <w:tblPrEx>
          <w:tblCellMar>
            <w:top w:w="0" w:type="dxa"/>
            <w:bottom w:w="0" w:type="dxa"/>
          </w:tblCellMar>
        </w:tblPrEx>
        <w:trPr>
          <w:tblHeader/>
        </w:trPr>
        <w:tc>
          <w:tcPr>
            <w:tcW w:w="2400" w:type="dxa"/>
            <w:shd w:val="clear" w:color="auto" w:fill="1B3A5C"/>
            <w:tcMar>
              <w:top w:w="120" w:type="dxa"/>
              <w:left w:w="140" w:type="dxa"/>
              <w:bottom w:w="120" w:type="dxa"/>
              <w:right w:w="140" w:type="dxa"/>
            </w:tcMar>
            <w:vAlign w:val="center"/>
          </w:tcPr>
          <w:p w14:paraId="1151BA29" w14:textId="77777777" w:rsidR="00853581" w:rsidRDefault="005C2A2E">
            <w:pPr>
              <w:jc w:val="center"/>
            </w:pPr>
            <w:r>
              <w:rPr>
                <w:rFonts w:ascii="Traditional Arabic" w:eastAsia="Traditional Arabic" w:hAnsi="Traditional Arabic" w:cs="Traditional Arabic"/>
                <w:b/>
                <w:bCs/>
                <w:color w:val="FFFFFF"/>
                <w:sz w:val="22"/>
                <w:szCs w:val="22"/>
                <w:rtl/>
              </w:rPr>
              <w:t>البُعد</w:t>
            </w:r>
          </w:p>
        </w:tc>
        <w:tc>
          <w:tcPr>
            <w:tcW w:w="3300" w:type="dxa"/>
            <w:shd w:val="clear" w:color="auto" w:fill="1B3A5C"/>
            <w:tcMar>
              <w:top w:w="120" w:type="dxa"/>
              <w:left w:w="140" w:type="dxa"/>
              <w:bottom w:w="120" w:type="dxa"/>
              <w:right w:w="140" w:type="dxa"/>
            </w:tcMar>
            <w:vAlign w:val="center"/>
          </w:tcPr>
          <w:p w14:paraId="075F7BAF" w14:textId="77777777" w:rsidR="00853581" w:rsidRDefault="005C2A2E">
            <w:pPr>
              <w:jc w:val="center"/>
            </w:pPr>
            <w:r>
              <w:rPr>
                <w:rFonts w:ascii="Traditional Arabic" w:eastAsia="Traditional Arabic" w:hAnsi="Traditional Arabic" w:cs="Traditional Arabic"/>
                <w:b/>
                <w:bCs/>
                <w:color w:val="FFFFFF"/>
                <w:sz w:val="22"/>
                <w:szCs w:val="22"/>
                <w:rtl/>
              </w:rPr>
              <w:t>النموذج المعرفي</w:t>
            </w:r>
          </w:p>
        </w:tc>
        <w:tc>
          <w:tcPr>
            <w:tcW w:w="3300" w:type="dxa"/>
            <w:shd w:val="clear" w:color="auto" w:fill="1B3A5C"/>
            <w:tcMar>
              <w:top w:w="120" w:type="dxa"/>
              <w:left w:w="140" w:type="dxa"/>
              <w:bottom w:w="120" w:type="dxa"/>
              <w:right w:w="140" w:type="dxa"/>
            </w:tcMar>
            <w:vAlign w:val="center"/>
          </w:tcPr>
          <w:p w14:paraId="7518924E" w14:textId="77777777" w:rsidR="00853581" w:rsidRDefault="005C2A2E">
            <w:pPr>
              <w:jc w:val="center"/>
            </w:pPr>
            <w:r>
              <w:rPr>
                <w:rFonts w:ascii="Traditional Arabic" w:eastAsia="Traditional Arabic" w:hAnsi="Traditional Arabic" w:cs="Traditional Arabic"/>
                <w:b/>
                <w:bCs/>
                <w:color w:val="FFFFFF"/>
                <w:sz w:val="22"/>
                <w:szCs w:val="22"/>
                <w:rtl/>
              </w:rPr>
              <w:t>النموذج الاستخلافي</w:t>
            </w:r>
          </w:p>
        </w:tc>
      </w:tr>
      <w:tr w:rsidR="00853581" w14:paraId="71A5FF33" w14:textId="77777777">
        <w:tblPrEx>
          <w:tblCellMar>
            <w:top w:w="0" w:type="dxa"/>
            <w:bottom w:w="0" w:type="dxa"/>
          </w:tblCellMar>
        </w:tblPrEx>
        <w:tc>
          <w:tcPr>
            <w:tcW w:w="2400" w:type="dxa"/>
            <w:shd w:val="clear" w:color="auto" w:fill="E4F2F1"/>
            <w:tcMar>
              <w:top w:w="120" w:type="dxa"/>
              <w:left w:w="140" w:type="dxa"/>
              <w:bottom w:w="120" w:type="dxa"/>
              <w:right w:w="140" w:type="dxa"/>
            </w:tcMar>
            <w:vAlign w:val="center"/>
          </w:tcPr>
          <w:p w14:paraId="204DE64C" w14:textId="77777777" w:rsidR="00853581" w:rsidRDefault="005C2A2E">
            <w:pPr>
              <w:jc w:val="center"/>
            </w:pPr>
            <w:r>
              <w:rPr>
                <w:rFonts w:ascii="Traditional Arabic" w:eastAsia="Traditional Arabic" w:hAnsi="Traditional Arabic" w:cs="Traditional Arabic"/>
                <w:b/>
                <w:bCs/>
                <w:color w:val="102A43"/>
                <w:sz w:val="21"/>
                <w:szCs w:val="21"/>
                <w:rtl/>
              </w:rPr>
              <w:t>تعريف الاكتئاب</w:t>
            </w:r>
          </w:p>
        </w:tc>
        <w:tc>
          <w:tcPr>
            <w:tcW w:w="3300" w:type="dxa"/>
            <w:shd w:val="clear" w:color="auto" w:fill="FFFFFF"/>
            <w:tcMar>
              <w:top w:w="120" w:type="dxa"/>
              <w:left w:w="140" w:type="dxa"/>
              <w:bottom w:w="120" w:type="dxa"/>
              <w:right w:w="140" w:type="dxa"/>
            </w:tcMar>
            <w:vAlign w:val="center"/>
          </w:tcPr>
          <w:p w14:paraId="6788B57E" w14:textId="77777777" w:rsidR="00853581" w:rsidRDefault="005C2A2E">
            <w:pPr>
              <w:jc w:val="center"/>
            </w:pPr>
            <w:r>
              <w:rPr>
                <w:rFonts w:ascii="Traditional Arabic" w:eastAsia="Traditional Arabic" w:hAnsi="Traditional Arabic" w:cs="Traditional Arabic"/>
                <w:color w:val="102A43"/>
                <w:sz w:val="21"/>
                <w:szCs w:val="21"/>
                <w:rtl/>
              </w:rPr>
              <w:t>أفكار سلبية آلية وتشوهات معرفية</w:t>
            </w:r>
          </w:p>
        </w:tc>
        <w:tc>
          <w:tcPr>
            <w:tcW w:w="3300" w:type="dxa"/>
            <w:shd w:val="clear" w:color="auto" w:fill="FFFFFF"/>
            <w:tcMar>
              <w:top w:w="120" w:type="dxa"/>
              <w:left w:w="140" w:type="dxa"/>
              <w:bottom w:w="120" w:type="dxa"/>
              <w:right w:w="140" w:type="dxa"/>
            </w:tcMar>
            <w:vAlign w:val="center"/>
          </w:tcPr>
          <w:p w14:paraId="02A79259" w14:textId="77777777" w:rsidR="00853581" w:rsidRDefault="005C2A2E">
            <w:pPr>
              <w:jc w:val="center"/>
            </w:pPr>
            <w:r>
              <w:rPr>
                <w:rFonts w:ascii="Traditional Arabic" w:eastAsia="Traditional Arabic" w:hAnsi="Traditional Arabic" w:cs="Traditional Arabic"/>
                <w:color w:val="102A43"/>
                <w:sz w:val="21"/>
                <w:szCs w:val="21"/>
                <w:rtl/>
              </w:rPr>
              <w:t>أفكار سلبية + فراغ وجودي + فصام أخلاقي</w:t>
            </w:r>
          </w:p>
        </w:tc>
      </w:tr>
      <w:tr w:rsidR="00853581" w14:paraId="23EC65A8" w14:textId="77777777">
        <w:tblPrEx>
          <w:tblCellMar>
            <w:top w:w="0" w:type="dxa"/>
            <w:bottom w:w="0" w:type="dxa"/>
          </w:tblCellMar>
        </w:tblPrEx>
        <w:tc>
          <w:tcPr>
            <w:tcW w:w="2400" w:type="dxa"/>
            <w:shd w:val="clear" w:color="auto" w:fill="E4F2F1"/>
            <w:tcMar>
              <w:top w:w="120" w:type="dxa"/>
              <w:left w:w="140" w:type="dxa"/>
              <w:bottom w:w="120" w:type="dxa"/>
              <w:right w:w="140" w:type="dxa"/>
            </w:tcMar>
            <w:vAlign w:val="center"/>
          </w:tcPr>
          <w:p w14:paraId="083C4171" w14:textId="77777777" w:rsidR="00853581" w:rsidRDefault="005C2A2E">
            <w:pPr>
              <w:jc w:val="center"/>
            </w:pPr>
            <w:r>
              <w:rPr>
                <w:rFonts w:ascii="Traditional Arabic" w:eastAsia="Traditional Arabic" w:hAnsi="Traditional Arabic" w:cs="Traditional Arabic"/>
                <w:b/>
                <w:bCs/>
                <w:color w:val="102A43"/>
                <w:sz w:val="21"/>
                <w:szCs w:val="21"/>
                <w:rtl/>
              </w:rPr>
              <w:t>مسار العلاج</w:t>
            </w:r>
          </w:p>
        </w:tc>
        <w:tc>
          <w:tcPr>
            <w:tcW w:w="3300" w:type="dxa"/>
            <w:shd w:val="clear" w:color="auto" w:fill="FFFFFF"/>
            <w:tcMar>
              <w:top w:w="120" w:type="dxa"/>
              <w:left w:w="140" w:type="dxa"/>
              <w:bottom w:w="120" w:type="dxa"/>
              <w:right w:w="140" w:type="dxa"/>
            </w:tcMar>
            <w:vAlign w:val="center"/>
          </w:tcPr>
          <w:p w14:paraId="0AA7447A" w14:textId="77777777" w:rsidR="00853581" w:rsidRDefault="005C2A2E">
            <w:pPr>
              <w:jc w:val="center"/>
            </w:pPr>
            <w:r>
              <w:rPr>
                <w:rFonts w:ascii="Traditional Arabic" w:eastAsia="Traditional Arabic" w:hAnsi="Traditional Arabic" w:cs="Traditional Arabic"/>
                <w:color w:val="102A43"/>
                <w:sz w:val="21"/>
                <w:szCs w:val="21"/>
                <w:rtl/>
              </w:rPr>
              <w:t>تصحيح الأفكار</w:t>
            </w:r>
          </w:p>
        </w:tc>
        <w:tc>
          <w:tcPr>
            <w:tcW w:w="3300" w:type="dxa"/>
            <w:shd w:val="clear" w:color="auto" w:fill="FFFFFF"/>
            <w:tcMar>
              <w:top w:w="120" w:type="dxa"/>
              <w:left w:w="140" w:type="dxa"/>
              <w:bottom w:w="120" w:type="dxa"/>
              <w:right w:w="140" w:type="dxa"/>
            </w:tcMar>
            <w:vAlign w:val="center"/>
          </w:tcPr>
          <w:p w14:paraId="4DFAA72E" w14:textId="77777777" w:rsidR="00853581" w:rsidRDefault="005C2A2E">
            <w:pPr>
              <w:jc w:val="center"/>
            </w:pPr>
            <w:r>
              <w:rPr>
                <w:rFonts w:ascii="Traditional Arabic" w:eastAsia="Traditional Arabic" w:hAnsi="Traditional Arabic" w:cs="Traditional Arabic"/>
                <w:color w:val="102A43"/>
                <w:sz w:val="21"/>
                <w:szCs w:val="21"/>
                <w:rtl/>
              </w:rPr>
              <w:t>تصحيح الأفكار + ملء الفراغ + تحويل الطاقة</w:t>
            </w:r>
          </w:p>
        </w:tc>
      </w:tr>
      <w:tr w:rsidR="00853581" w14:paraId="6A42769F" w14:textId="77777777">
        <w:tblPrEx>
          <w:tblCellMar>
            <w:top w:w="0" w:type="dxa"/>
            <w:bottom w:w="0" w:type="dxa"/>
          </w:tblCellMar>
        </w:tblPrEx>
        <w:tc>
          <w:tcPr>
            <w:tcW w:w="2400" w:type="dxa"/>
            <w:shd w:val="clear" w:color="auto" w:fill="E4F2F1"/>
            <w:tcMar>
              <w:top w:w="120" w:type="dxa"/>
              <w:left w:w="140" w:type="dxa"/>
              <w:bottom w:w="120" w:type="dxa"/>
              <w:right w:w="140" w:type="dxa"/>
            </w:tcMar>
            <w:vAlign w:val="center"/>
          </w:tcPr>
          <w:p w14:paraId="3F049E9F" w14:textId="77777777" w:rsidR="00853581" w:rsidRDefault="005C2A2E">
            <w:pPr>
              <w:jc w:val="center"/>
            </w:pPr>
            <w:r>
              <w:rPr>
                <w:rFonts w:ascii="Traditional Arabic" w:eastAsia="Traditional Arabic" w:hAnsi="Traditional Arabic" w:cs="Traditional Arabic"/>
                <w:b/>
                <w:bCs/>
                <w:color w:val="102A43"/>
                <w:sz w:val="21"/>
                <w:szCs w:val="21"/>
                <w:rtl/>
              </w:rPr>
              <w:t>وحدة التحليل</w:t>
            </w:r>
          </w:p>
        </w:tc>
        <w:tc>
          <w:tcPr>
            <w:tcW w:w="3300" w:type="dxa"/>
            <w:shd w:val="clear" w:color="auto" w:fill="FFFFFF"/>
            <w:tcMar>
              <w:top w:w="120" w:type="dxa"/>
              <w:left w:w="140" w:type="dxa"/>
              <w:bottom w:w="120" w:type="dxa"/>
              <w:right w:w="140" w:type="dxa"/>
            </w:tcMar>
            <w:vAlign w:val="center"/>
          </w:tcPr>
          <w:p w14:paraId="2F460345" w14:textId="77777777" w:rsidR="00853581" w:rsidRDefault="005C2A2E">
            <w:pPr>
              <w:jc w:val="center"/>
            </w:pPr>
            <w:r>
              <w:rPr>
                <w:rFonts w:ascii="Traditional Arabic" w:eastAsia="Traditional Arabic" w:hAnsi="Traditional Arabic" w:cs="Traditional Arabic"/>
                <w:color w:val="102A43"/>
                <w:sz w:val="21"/>
                <w:szCs w:val="21"/>
                <w:rtl/>
              </w:rPr>
              <w:t>الفرد ومخططاته المعرفية</w:t>
            </w:r>
          </w:p>
        </w:tc>
        <w:tc>
          <w:tcPr>
            <w:tcW w:w="3300" w:type="dxa"/>
            <w:shd w:val="clear" w:color="auto" w:fill="FFFFFF"/>
            <w:tcMar>
              <w:top w:w="120" w:type="dxa"/>
              <w:left w:w="140" w:type="dxa"/>
              <w:bottom w:w="120" w:type="dxa"/>
              <w:right w:w="140" w:type="dxa"/>
            </w:tcMar>
            <w:vAlign w:val="center"/>
          </w:tcPr>
          <w:p w14:paraId="2BF828D0" w14:textId="77777777" w:rsidR="00853581" w:rsidRDefault="005C2A2E">
            <w:pPr>
              <w:jc w:val="center"/>
            </w:pPr>
            <w:r>
              <w:rPr>
                <w:rFonts w:ascii="Traditional Arabic" w:eastAsia="Traditional Arabic" w:hAnsi="Traditional Arabic" w:cs="Traditional Arabic"/>
                <w:color w:val="102A43"/>
                <w:sz w:val="21"/>
                <w:szCs w:val="21"/>
                <w:rtl/>
              </w:rPr>
              <w:t>الفرد ضمن شبكة الأضلاع الثمانية</w:t>
            </w:r>
          </w:p>
        </w:tc>
      </w:tr>
    </w:tbl>
    <w:p w14:paraId="12CDA168"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5.3  </w:t>
      </w:r>
      <w:r>
        <w:rPr>
          <w:rFonts w:ascii="Traditional Arabic" w:eastAsia="Traditional Arabic" w:hAnsi="Traditional Arabic" w:cs="Traditional Arabic"/>
          <w:b/>
          <w:bCs/>
          <w:color w:val="102A43"/>
          <w:sz w:val="28"/>
          <w:szCs w:val="28"/>
          <w:rtl/>
        </w:rPr>
        <w:t>الاكتئاب في النموذج الاستخلافي مقابل النموذج الوجودي</w:t>
      </w:r>
    </w:p>
    <w:p w14:paraId="75B5DEFB"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«الوجودي» (</w:t>
      </w:r>
      <w:proofErr w:type="spellStart"/>
      <w:r>
        <w:rPr>
          <w:rFonts w:ascii="Traditional Arabic" w:eastAsia="Traditional Arabic" w:hAnsi="Traditional Arabic" w:cs="Traditional Arabic"/>
          <w:color w:val="2B2B2B"/>
          <w:sz w:val="26"/>
          <w:szCs w:val="26"/>
          <w:rtl/>
        </w:rPr>
        <w:t>فرانكل</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يالوم</w:t>
      </w:r>
      <w:proofErr w:type="spellEnd"/>
      <w:r>
        <w:rPr>
          <w:rFonts w:ascii="Traditional Arabic" w:eastAsia="Traditional Arabic" w:hAnsi="Traditional Arabic" w:cs="Traditional Arabic"/>
          <w:color w:val="2B2B2B"/>
          <w:sz w:val="26"/>
          <w:szCs w:val="26"/>
          <w:rtl/>
        </w:rPr>
        <w:t xml:space="preserve">): «الاكتئاب» = «فقدان المعنى» ← «العلاج» = «اكتشاف» «المعنى». </w:t>
      </w:r>
      <w:proofErr w:type="spellStart"/>
      <w:r>
        <w:rPr>
          <w:rFonts w:ascii="Traditional Arabic" w:eastAsia="Traditional Arabic" w:hAnsi="Traditional Arabic" w:cs="Traditional Arabic"/>
          <w:color w:val="2B2B2B"/>
          <w:sz w:val="26"/>
          <w:szCs w:val="26"/>
          <w:rtl/>
        </w:rPr>
        <w:t>و«الاستخلافي</w:t>
      </w:r>
      <w:proofErr w:type="spellEnd"/>
      <w:r>
        <w:rPr>
          <w:rFonts w:ascii="Traditional Arabic" w:eastAsia="Traditional Arabic" w:hAnsi="Traditional Arabic" w:cs="Traditional Arabic"/>
          <w:color w:val="2B2B2B"/>
          <w:sz w:val="26"/>
          <w:szCs w:val="26"/>
          <w:rtl/>
        </w:rPr>
        <w:t xml:space="preserve">»: «متفق» مع «الوجودي» في «التشخيص» (فقدان المعنى)، لكنه «يختلف» عنه في «مصدر» «المعنى»: «المعنى» — عند «الوجوديين» — «يُخلقه» «الفرد» «بنفسه» عبر «الاختيار» «الحر» (كما في «إرادة المعنى» عند </w:t>
      </w:r>
      <w:proofErr w:type="spellStart"/>
      <w:r>
        <w:rPr>
          <w:rFonts w:ascii="Traditional Arabic" w:eastAsia="Traditional Arabic" w:hAnsi="Traditional Arabic" w:cs="Traditional Arabic"/>
          <w:color w:val="2B2B2B"/>
          <w:sz w:val="26"/>
          <w:szCs w:val="26"/>
          <w:rtl/>
        </w:rPr>
        <w:t>فرانكل</w:t>
      </w:r>
      <w:proofErr w:type="spellEnd"/>
      <w:r>
        <w:rPr>
          <w:rFonts w:ascii="Traditional Arabic" w:eastAsia="Traditional Arabic" w:hAnsi="Traditional Arabic" w:cs="Traditional Arabic"/>
          <w:color w:val="2B2B2B"/>
          <w:sz w:val="26"/>
          <w:szCs w:val="26"/>
          <w:rtl/>
        </w:rPr>
        <w:t xml:space="preserve">، أو «الحرية» «المسؤولة» عند </w:t>
      </w:r>
      <w:proofErr w:type="spellStart"/>
      <w:r>
        <w:rPr>
          <w:rFonts w:ascii="Traditional Arabic" w:eastAsia="Traditional Arabic" w:hAnsi="Traditional Arabic" w:cs="Traditional Arabic"/>
          <w:color w:val="2B2B2B"/>
          <w:sz w:val="26"/>
          <w:szCs w:val="26"/>
          <w:rtl/>
        </w:rPr>
        <w:t>يالوم</w:t>
      </w:r>
      <w:proofErr w:type="spellEnd"/>
      <w:r>
        <w:rPr>
          <w:rFonts w:ascii="Traditional Arabic" w:eastAsia="Traditional Arabic" w:hAnsi="Traditional Arabic" w:cs="Traditional Arabic"/>
          <w:color w:val="2B2B2B"/>
          <w:sz w:val="26"/>
          <w:szCs w:val="26"/>
          <w:rtl/>
        </w:rPr>
        <w:t>). أما «المعنى» — عند «الزراع» — فهو «مُودع» سلفاً في «الفطرة» و«الوحي»، و«وظيفة» «الإنسان» هي «اكتشافه» لا «اختراعه».</w:t>
      </w:r>
    </w:p>
    <w:p w14:paraId="5D3838F8"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وهذا «الافتراق» ليس «تفصيلياً»، بل «جوهري» «</w:t>
      </w:r>
      <w:proofErr w:type="spellStart"/>
      <w:r>
        <w:rPr>
          <w:rFonts w:ascii="Traditional Arabic" w:eastAsia="Traditional Arabic" w:hAnsi="Traditional Arabic" w:cs="Traditional Arabic"/>
          <w:color w:val="2B2B2B"/>
          <w:sz w:val="26"/>
          <w:szCs w:val="26"/>
          <w:rtl/>
        </w:rPr>
        <w:t>إبستمولوجياً</w:t>
      </w:r>
      <w:proofErr w:type="spellEnd"/>
      <w:r>
        <w:rPr>
          <w:rFonts w:ascii="Traditional Arabic" w:eastAsia="Traditional Arabic" w:hAnsi="Traditional Arabic" w:cs="Traditional Arabic"/>
          <w:color w:val="2B2B2B"/>
          <w:sz w:val="26"/>
          <w:szCs w:val="26"/>
          <w:rtl/>
        </w:rPr>
        <w:t>»: فـ«العلاج الوجودي» — بوصفه «امتداداً» لـ«الفلسفة» «الوجودية» «العلمانية» — «يتحاشى» «الإحالة» إلى «مصدر» «متعالٍ» (</w:t>
      </w:r>
      <w:proofErr w:type="spellStart"/>
      <w:r>
        <w:rPr>
          <w:rFonts w:ascii="Traditional Arabic" w:eastAsia="Traditional Arabic" w:hAnsi="Traditional Arabic" w:cs="Traditional Arabic"/>
          <w:color w:val="2B2B2B"/>
          <w:sz w:val="26"/>
          <w:szCs w:val="26"/>
          <w:rtl/>
        </w:rPr>
        <w:t>Transcendent</w:t>
      </w:r>
      <w:proofErr w:type="spellEnd"/>
      <w:r>
        <w:rPr>
          <w:rFonts w:ascii="Traditional Arabic" w:eastAsia="Traditional Arabic" w:hAnsi="Traditional Arabic" w:cs="Traditional Arabic"/>
          <w:color w:val="2B2B2B"/>
          <w:sz w:val="26"/>
          <w:szCs w:val="26"/>
          <w:rtl/>
        </w:rPr>
        <w:t>) للمعنى حفاظاً على «الحياد» «القيمي» تجاه «المريض»، بينما «النموذج الاستخلافي» — بوصفه «نموذجاً» «مُعلناً» «التزامه» بـ«الوحي» — «يجعل» من «هذه» «الإحالة» «ركيزة» «العلاج» ذاته. وهذا يستدعي — من «منظور» «أخلاقيات» «الممارسة» «الإكلينيكية» — «وضوحاً» في «التعاقد العلاجي» (</w:t>
      </w:r>
      <w:proofErr w:type="spellStart"/>
      <w:r>
        <w:rPr>
          <w:rFonts w:ascii="Traditional Arabic" w:eastAsia="Traditional Arabic" w:hAnsi="Traditional Arabic" w:cs="Traditional Arabic"/>
          <w:color w:val="2B2B2B"/>
          <w:sz w:val="26"/>
          <w:szCs w:val="26"/>
          <w:rtl/>
        </w:rPr>
        <w:t>Informed</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Consent</w:t>
      </w:r>
      <w:proofErr w:type="spellEnd"/>
      <w:r>
        <w:rPr>
          <w:rFonts w:ascii="Traditional Arabic" w:eastAsia="Traditional Arabic" w:hAnsi="Traditional Arabic" w:cs="Traditional Arabic"/>
          <w:color w:val="2B2B2B"/>
          <w:sz w:val="26"/>
          <w:szCs w:val="26"/>
          <w:rtl/>
        </w:rPr>
        <w:t>) مع «المسترشد» حول «الإطار» «القيمي» الذي «يقوم» عليه «البروتوكول»، بما «يحفظ» «</w:t>
      </w:r>
      <w:r>
        <w:rPr>
          <w:rFonts w:ascii="Traditional Arabic" w:eastAsia="Traditional Arabic" w:hAnsi="Traditional Arabic" w:cs="Traditional Arabic"/>
          <w:color w:val="2B2B2B"/>
          <w:sz w:val="26"/>
          <w:szCs w:val="26"/>
          <w:rtl/>
        </w:rPr>
        <w:t>حق» «المسترشد» في «الاختيار» «الواعي» لهذا «المسار» «العلاجي» أو «غيره».</w:t>
      </w:r>
    </w:p>
    <w:p w14:paraId="50EE709D"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5.4  </w:t>
      </w:r>
      <w:r>
        <w:rPr>
          <w:rFonts w:ascii="Traditional Arabic" w:eastAsia="Traditional Arabic" w:hAnsi="Traditional Arabic" w:cs="Traditional Arabic"/>
          <w:b/>
          <w:bCs/>
          <w:color w:val="102A43"/>
          <w:sz w:val="28"/>
          <w:szCs w:val="28"/>
          <w:rtl/>
        </w:rPr>
        <w:t>الاكتئاب في النموذج الاستخلافي مقابل التراث الكلامي والصوفي الإسلامي</w:t>
      </w:r>
    </w:p>
    <w:p w14:paraId="66630DCD"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لا «يقف» «النموذج الاستخلافي» «معزولاً» عن «التراث» «الإسلامي» «الكلاسيكي» في «علم النفس» و«التزكية»، بل «يُعيد» «توظيفه» ضمن «لغة» «معاصرة». فـ«الغزالي» — في «إحياء علوم الدين»، وتحديداً في «كتاب رياضة النفس وتهذيب الأخلاق» و«كتاب ذم الغرور» — يُفصّل «أمراض القلوب» (كالحزن المذموم والقنوط) بوصفها «نتاج» «انشغال» «القلب» بـ«غير» «الله»، وهو ما «يتقاطع» مع «مفهوم» «الفراغ الوجودي» عند الزراع من «زاوية» «التزكية» لا «الأنطولوجيا» «الفلسفية» فحسب.</w:t>
      </w:r>
    </w:p>
    <w:p w14:paraId="0115585A"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أما «ابن القيم» — في «مدارج السالكين» — فيُقدّم «تمييزاً» «دقيقاً» بين «منازل» «التوبة» و«المحاسبة» و«اليقظة»، وهو «تمييز» «يُشكل» — من «منظور» «هذه» «الدراسة» — «الأساس» «التراثي» الذي «ينهل» منه «تصور» «الأضلاع الثمانية» و«حركة» «النفس» بين «مقاماتها»، وإن كانت «إعادة» «الصياغة» «الاستخلافية» «تُدخل» عليه «مفاهيم» «معاصرة» (كـ«الفصام الأخلاقي» و«رأسمالية المراقبة») لا «وجود» لها في «السياق» «الكلاسيكي» بالضرورة، بل هي «قراءة» «</w:t>
      </w:r>
      <w:proofErr w:type="spellStart"/>
      <w:r>
        <w:rPr>
          <w:rFonts w:ascii="Traditional Arabic" w:eastAsia="Traditional Arabic" w:hAnsi="Traditional Arabic" w:cs="Traditional Arabic"/>
          <w:color w:val="2B2B2B"/>
          <w:sz w:val="26"/>
          <w:szCs w:val="26"/>
          <w:rtl/>
        </w:rPr>
        <w:t>توليفية</w:t>
      </w:r>
      <w:proofErr w:type="spellEnd"/>
      <w:r>
        <w:rPr>
          <w:rFonts w:ascii="Traditional Arabic" w:eastAsia="Traditional Arabic" w:hAnsi="Traditional Arabic" w:cs="Traditional Arabic"/>
          <w:color w:val="2B2B2B"/>
          <w:sz w:val="26"/>
          <w:szCs w:val="26"/>
          <w:rtl/>
        </w:rPr>
        <w:t>» «تستدعي» «مزيداً» من «التدقيق» «الأصولي» في «مدى» «انسجامها» مع «مقاصد» «النصوص» «الأصلية».</w:t>
      </w:r>
    </w:p>
    <w:p w14:paraId="2AEB373C" w14:textId="77777777" w:rsidR="00853581" w:rsidRDefault="005C2A2E">
      <w:pPr>
        <w:pStyle w:val="1"/>
        <w:pBdr>
          <w:top w:val="single" w:sz="6" w:space="0" w:color="B8860B"/>
          <w:bottom w:val="single" w:sz="6" w:space="0" w:color="B8860B"/>
        </w:pBdr>
        <w:shd w:val="clear" w:color="auto" w:fill="1B3A5C"/>
        <w:bidi/>
        <w:spacing w:before="480" w:after="320"/>
        <w:jc w:val="center"/>
      </w:pPr>
      <w:r>
        <w:rPr>
          <w:rFonts w:ascii="Traditional Arabic" w:eastAsia="Traditional Arabic" w:hAnsi="Traditional Arabic" w:cs="Traditional Arabic"/>
          <w:b/>
          <w:bCs/>
          <w:color w:val="F4E9D8"/>
          <w:sz w:val="22"/>
          <w:szCs w:val="22"/>
          <w:rtl/>
        </w:rPr>
        <w:t>الفصل السادس</w:t>
      </w:r>
      <w:r>
        <w:rPr>
          <w:rFonts w:ascii="Traditional Arabic" w:eastAsia="Traditional Arabic" w:hAnsi="Traditional Arabic" w:cs="Traditional Arabic"/>
          <w:sz w:val="22"/>
          <w:szCs w:val="22"/>
          <w:rtl/>
        </w:rPr>
        <w:t xml:space="preserve">  </w:t>
      </w:r>
      <w:r>
        <w:rPr>
          <w:rFonts w:ascii="Traditional Arabic" w:eastAsia="Traditional Arabic" w:hAnsi="Traditional Arabic" w:cs="Traditional Arabic"/>
          <w:b/>
          <w:bCs/>
          <w:color w:val="FFFFFF"/>
          <w:sz w:val="34"/>
          <w:szCs w:val="34"/>
          <w:rtl/>
        </w:rPr>
        <w:t>«محدّدات» «منهجية» و«آفاق» «التحقق» «التجريبي»</w:t>
      </w:r>
    </w:p>
    <w:p w14:paraId="1CB2B7AA"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 xml:space="preserve">«الأمانة الأكاديمية» تقتضي أن «تُختم» «هذه» «الدراسة» النظرية بـ«وقفة» «نقدية» مع «حدودها» «المنهجية» الخاصة، تمييزاً بين «ما» «تدّعيه» «الدراسة» (تأصيل نظري متماسك) </w:t>
      </w:r>
      <w:proofErr w:type="spellStart"/>
      <w:r>
        <w:rPr>
          <w:rFonts w:ascii="Traditional Arabic" w:eastAsia="Traditional Arabic" w:hAnsi="Traditional Arabic" w:cs="Traditional Arabic"/>
          <w:color w:val="2B2B2B"/>
          <w:sz w:val="26"/>
          <w:szCs w:val="26"/>
          <w:rtl/>
        </w:rPr>
        <w:t>و«ما</w:t>
      </w:r>
      <w:proofErr w:type="spellEnd"/>
      <w:r>
        <w:rPr>
          <w:rFonts w:ascii="Traditional Arabic" w:eastAsia="Traditional Arabic" w:hAnsi="Traditional Arabic" w:cs="Traditional Arabic"/>
          <w:color w:val="2B2B2B"/>
          <w:sz w:val="26"/>
          <w:szCs w:val="26"/>
          <w:rtl/>
        </w:rPr>
        <w:t>» «لا» «تدّعيه» (تحقق تجريبي شامل).</w:t>
      </w:r>
    </w:p>
    <w:p w14:paraId="0F3CC2F3"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6.1  </w:t>
      </w:r>
      <w:r>
        <w:rPr>
          <w:rFonts w:ascii="Traditional Arabic" w:eastAsia="Traditional Arabic" w:hAnsi="Traditional Arabic" w:cs="Traditional Arabic"/>
          <w:b/>
          <w:bCs/>
          <w:color w:val="102A43"/>
          <w:sz w:val="28"/>
          <w:szCs w:val="28"/>
          <w:rtl/>
        </w:rPr>
        <w:t>طبيعة الادعاء النظري</w:t>
      </w:r>
    </w:p>
    <w:p w14:paraId="290F995E"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«النموذج الاستخلافي» — كما «عُرض» في «هذه» «الدراسة» — هو «بناء» «نظري» (</w:t>
      </w:r>
      <w:proofErr w:type="spellStart"/>
      <w:r>
        <w:rPr>
          <w:rFonts w:ascii="Traditional Arabic" w:eastAsia="Traditional Arabic" w:hAnsi="Traditional Arabic" w:cs="Traditional Arabic"/>
          <w:color w:val="2B2B2B"/>
          <w:sz w:val="26"/>
          <w:szCs w:val="26"/>
          <w:rtl/>
        </w:rPr>
        <w:t>Theoretical</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Construct</w:t>
      </w:r>
      <w:proofErr w:type="spellEnd"/>
      <w:r>
        <w:rPr>
          <w:rFonts w:ascii="Traditional Arabic" w:eastAsia="Traditional Arabic" w:hAnsi="Traditional Arabic" w:cs="Traditional Arabic"/>
          <w:color w:val="2B2B2B"/>
          <w:sz w:val="26"/>
          <w:szCs w:val="26"/>
          <w:rtl/>
        </w:rPr>
        <w:t>) يستمد «تماسكه» «الداخلي» من «انسجامه» مع «النصوص» «الشرعية» و«قدرته» «التفسيرية» على «دمج» «مستويات» «متعددة» «للتحليل» (الوجودي، الأخلاقي، الرقمي، الفسيولوجي) في «إطار» «واحد». غير أن «هذا» «التماسك» «النظري» — وإن كان «شرطاً» «ضرورياً» — ليس «شرطاً» «كافياً» «للصلاحية» «العلمية» بمعناها «التجريبي» «الصارم»؛ إذ يبقى «الفارق» «جوهرياً» بين «قوة» «التفسير» (</w:t>
      </w:r>
      <w:proofErr w:type="spellStart"/>
      <w:r>
        <w:rPr>
          <w:rFonts w:ascii="Traditional Arabic" w:eastAsia="Traditional Arabic" w:hAnsi="Traditional Arabic" w:cs="Traditional Arabic"/>
          <w:color w:val="2B2B2B"/>
          <w:sz w:val="26"/>
          <w:szCs w:val="26"/>
          <w:rtl/>
        </w:rPr>
        <w:t>Explanatory</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Power</w:t>
      </w:r>
      <w:proofErr w:type="spellEnd"/>
      <w:r>
        <w:rPr>
          <w:rFonts w:ascii="Traditional Arabic" w:eastAsia="Traditional Arabic" w:hAnsi="Traditional Arabic" w:cs="Traditional Arabic"/>
          <w:color w:val="2B2B2B"/>
          <w:sz w:val="26"/>
          <w:szCs w:val="26"/>
          <w:rtl/>
        </w:rPr>
        <w:t>) و«قابلية» «التفنيد» «التجريبي» (</w:t>
      </w:r>
      <w:proofErr w:type="spellStart"/>
      <w:r>
        <w:rPr>
          <w:rFonts w:ascii="Traditional Arabic" w:eastAsia="Traditional Arabic" w:hAnsi="Traditional Arabic" w:cs="Traditional Arabic"/>
          <w:color w:val="2B2B2B"/>
          <w:sz w:val="26"/>
          <w:szCs w:val="26"/>
          <w:rtl/>
        </w:rPr>
        <w:t>Falsifiability</w:t>
      </w:r>
      <w:proofErr w:type="spellEnd"/>
      <w:r>
        <w:rPr>
          <w:rFonts w:ascii="Traditional Arabic" w:eastAsia="Traditional Arabic" w:hAnsi="Traditional Arabic" w:cs="Traditional Arabic"/>
          <w:color w:val="2B2B2B"/>
          <w:sz w:val="26"/>
          <w:szCs w:val="26"/>
          <w:rtl/>
        </w:rPr>
        <w:t>) وفق «معيار» «بوبر».</w:t>
      </w:r>
    </w:p>
    <w:p w14:paraId="567B6601"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6.2  </w:t>
      </w:r>
      <w:r>
        <w:rPr>
          <w:rFonts w:ascii="Traditional Arabic" w:eastAsia="Traditional Arabic" w:hAnsi="Traditional Arabic" w:cs="Traditional Arabic"/>
          <w:b/>
          <w:bCs/>
          <w:color w:val="102A43"/>
          <w:sz w:val="28"/>
          <w:szCs w:val="28"/>
          <w:rtl/>
        </w:rPr>
        <w:t>نحو أدوات قياس قابلة للتحقق</w:t>
      </w:r>
    </w:p>
    <w:p w14:paraId="5705150F"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«الخطوة» «المنهجية» «التالية» — التي «تعمل» عليها «مشاريع» «موازية» ضمن «هذا» «البرنامج البحثي» — هي «تطوير» «أدوات» «قياس» «كمية» «قابلة» «للتحقق» «</w:t>
      </w:r>
      <w:proofErr w:type="spellStart"/>
      <w:r>
        <w:rPr>
          <w:rFonts w:ascii="Traditional Arabic" w:eastAsia="Traditional Arabic" w:hAnsi="Traditional Arabic" w:cs="Traditional Arabic"/>
          <w:color w:val="2B2B2B"/>
          <w:sz w:val="26"/>
          <w:szCs w:val="26"/>
          <w:rtl/>
        </w:rPr>
        <w:t>السيكومتري</w:t>
      </w:r>
      <w:proofErr w:type="spellEnd"/>
      <w:r>
        <w:rPr>
          <w:rFonts w:ascii="Traditional Arabic" w:eastAsia="Traditional Arabic" w:hAnsi="Traditional Arabic" w:cs="Traditional Arabic"/>
          <w:color w:val="2B2B2B"/>
          <w:sz w:val="26"/>
          <w:szCs w:val="26"/>
          <w:rtl/>
        </w:rPr>
        <w:t>»، من «أبرزها»:</w:t>
      </w:r>
    </w:p>
    <w:p w14:paraId="7905B6C3"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«مقياس الخليفة الرقمي» (</w:t>
      </w:r>
      <w:proofErr w:type="spellStart"/>
      <w:r>
        <w:rPr>
          <w:rFonts w:ascii="Traditional Arabic" w:eastAsia="Traditional Arabic" w:hAnsi="Traditional Arabic" w:cs="Traditional Arabic"/>
          <w:color w:val="2B2B2B"/>
          <w:sz w:val="26"/>
          <w:szCs w:val="26"/>
          <w:rtl/>
        </w:rPr>
        <w:t>Digital</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Khalifah</w:t>
      </w:r>
      <w:proofErr w:type="spellEnd"/>
      <w:r>
        <w:rPr>
          <w:rFonts w:ascii="Traditional Arabic" w:eastAsia="Traditional Arabic" w:hAnsi="Traditional Arabic" w:cs="Traditional Arabic"/>
          <w:color w:val="2B2B2B"/>
          <w:sz w:val="26"/>
          <w:szCs w:val="26"/>
          <w:rtl/>
        </w:rPr>
        <w:t xml:space="preserve"> </w:t>
      </w:r>
      <w:proofErr w:type="spellStart"/>
      <w:r>
        <w:rPr>
          <w:rFonts w:ascii="Traditional Arabic" w:eastAsia="Traditional Arabic" w:hAnsi="Traditional Arabic" w:cs="Traditional Arabic"/>
          <w:color w:val="2B2B2B"/>
          <w:sz w:val="26"/>
          <w:szCs w:val="26"/>
          <w:rtl/>
        </w:rPr>
        <w:t>Scale</w:t>
      </w:r>
      <w:proofErr w:type="spellEnd"/>
      <w:r>
        <w:rPr>
          <w:rFonts w:ascii="Traditional Arabic" w:eastAsia="Traditional Arabic" w:hAnsi="Traditional Arabic" w:cs="Traditional Arabic"/>
          <w:color w:val="2B2B2B"/>
          <w:sz w:val="26"/>
          <w:szCs w:val="26"/>
          <w:rtl/>
        </w:rPr>
        <w:t xml:space="preserve"> – DKS): أداة «مقترحة» «لقياس» «درجة» «انحراف» «التفاعل الرقمي» عن «مسار» «الاستخلاف»، بما «يُتيح» «اختبار» «الفرضية» «المركزية» في «الجذر الرقمي» (القسم 2.3) بشكل «كمّي».</w:t>
      </w:r>
    </w:p>
    <w:p w14:paraId="6B4160A1" w14:textId="77777777" w:rsidR="00853581" w:rsidRDefault="005C2A2E">
      <w:pPr>
        <w:spacing w:after="140" w:line="310" w:lineRule="auto"/>
        <w:ind w:right="360"/>
        <w:jc w:val="both"/>
      </w:pPr>
      <w:r>
        <w:rPr>
          <w:rFonts w:ascii="Traditional Arabic" w:eastAsia="Traditional Arabic" w:hAnsi="Traditional Arabic" w:cs="Traditional Arabic"/>
          <w:b/>
          <w:bCs/>
          <w:color w:val="B8860B"/>
          <w:sz w:val="26"/>
          <w:szCs w:val="26"/>
          <w:rtl/>
        </w:rPr>
        <w:t xml:space="preserve">• </w:t>
      </w:r>
      <w:r>
        <w:rPr>
          <w:rFonts w:ascii="Traditional Arabic" w:eastAsia="Traditional Arabic" w:hAnsi="Traditional Arabic" w:cs="Traditional Arabic"/>
          <w:color w:val="2B2B2B"/>
          <w:sz w:val="26"/>
          <w:szCs w:val="26"/>
          <w:rtl/>
        </w:rPr>
        <w:t>«نموذج قياس الشعور بالذنب»: أداة «مقترحة» «للتمييز» «الكمّي» بين «الذنب الحقيقي» و«الذنب الوهمي» (القسم 4.2)، بما «يفتح» «الباب» أمام «دراسات» «ارتباطية» بين «حجم» «الديون الوهمية» و«شدة» «أعراض الاكتئاب».</w:t>
      </w:r>
    </w:p>
    <w:p w14:paraId="46250230"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وتبقى «هاتان» «الأداتان» — في «طور» «التطوير» «الحالي» — بحاجة إلى «مسار» «تحقق» «</w:t>
      </w:r>
      <w:proofErr w:type="spellStart"/>
      <w:r>
        <w:rPr>
          <w:rFonts w:ascii="Traditional Arabic" w:eastAsia="Traditional Arabic" w:hAnsi="Traditional Arabic" w:cs="Traditional Arabic"/>
          <w:color w:val="2B2B2B"/>
          <w:sz w:val="26"/>
          <w:szCs w:val="26"/>
          <w:rtl/>
        </w:rPr>
        <w:t>سيكومتري</w:t>
      </w:r>
      <w:proofErr w:type="spellEnd"/>
      <w:r>
        <w:rPr>
          <w:rFonts w:ascii="Traditional Arabic" w:eastAsia="Traditional Arabic" w:hAnsi="Traditional Arabic" w:cs="Traditional Arabic"/>
          <w:color w:val="2B2B2B"/>
          <w:sz w:val="26"/>
          <w:szCs w:val="26"/>
          <w:rtl/>
        </w:rPr>
        <w:t xml:space="preserve">» «كامل»: «تحليل» «العوامل» «الاستكشافي» و«التوكيدي»، «اختبار» «الثبات» (الاتساق الداخلي والثبات عبر الزمن)، و«اختبار» «الصلاحية» «التقاربية» </w:t>
      </w:r>
      <w:proofErr w:type="spellStart"/>
      <w:r>
        <w:rPr>
          <w:rFonts w:ascii="Traditional Arabic" w:eastAsia="Traditional Arabic" w:hAnsi="Traditional Arabic" w:cs="Traditional Arabic"/>
          <w:color w:val="2B2B2B"/>
          <w:sz w:val="26"/>
          <w:szCs w:val="26"/>
          <w:rtl/>
        </w:rPr>
        <w:t>و«التمايزية</w:t>
      </w:r>
      <w:proofErr w:type="spellEnd"/>
      <w:r>
        <w:rPr>
          <w:rFonts w:ascii="Traditional Arabic" w:eastAsia="Traditional Arabic" w:hAnsi="Traditional Arabic" w:cs="Traditional Arabic"/>
          <w:color w:val="2B2B2B"/>
          <w:sz w:val="26"/>
          <w:szCs w:val="26"/>
          <w:rtl/>
        </w:rPr>
        <w:t>» مقارنة بـ«مقاييس» «الاكتئاب» «المُعتمدة» (مثل مقياس بيك للاكتئاب BDI-II)، قبل أن «يُمكن» «الادعاء» بـ«صلاحيتها» «الإكلينيكية».</w:t>
      </w:r>
    </w:p>
    <w:p w14:paraId="14D1D577"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6.3  </w:t>
      </w:r>
      <w:r>
        <w:rPr>
          <w:rFonts w:ascii="Traditional Arabic" w:eastAsia="Traditional Arabic" w:hAnsi="Traditional Arabic" w:cs="Traditional Arabic"/>
          <w:b/>
          <w:bCs/>
          <w:color w:val="102A43"/>
          <w:sz w:val="28"/>
          <w:szCs w:val="28"/>
          <w:rtl/>
        </w:rPr>
        <w:t>حدود قابلية التعميم</w:t>
      </w:r>
    </w:p>
    <w:p w14:paraId="50F6EA88"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بحكم «نشأته» ضمن «سياق» «ثقافي-ديني» «محدد»، فإن «النموذج الاستخلافي» يطرح «سؤال» «قابلية» «التعميم» (</w:t>
      </w:r>
      <w:proofErr w:type="spellStart"/>
      <w:r>
        <w:rPr>
          <w:rFonts w:ascii="Traditional Arabic" w:eastAsia="Traditional Arabic" w:hAnsi="Traditional Arabic" w:cs="Traditional Arabic"/>
          <w:color w:val="2B2B2B"/>
          <w:sz w:val="26"/>
          <w:szCs w:val="26"/>
          <w:rtl/>
        </w:rPr>
        <w:t>Generalizability</w:t>
      </w:r>
      <w:proofErr w:type="spellEnd"/>
      <w:r>
        <w:rPr>
          <w:rFonts w:ascii="Traditional Arabic" w:eastAsia="Traditional Arabic" w:hAnsi="Traditional Arabic" w:cs="Traditional Arabic"/>
          <w:color w:val="2B2B2B"/>
          <w:sz w:val="26"/>
          <w:szCs w:val="26"/>
          <w:rtl/>
        </w:rPr>
        <w:t>) بحدة: فهل «يصلح» — بصورته «الحالية» — «إطاراً» «علاجياً» «عاماً»، أم أنه «مُصمَّم» «أصالة» «لمسترشدين» «ملتزمين» «دينياً» يشتركون مع «المعالج» في «منظومة» «القيم» «الإيمانية» ذاتها؟ الإجابة «المنهجية» «الأكثر» «حذراً» هي أن «البروتوكول» — في «صورته» «الراهنة» — يستهدف «الفئة» «الثانية» «تحديداً»، وأن «أي» «توسيع» «لنطاق» «تطبيقه» يستلزم «دراسات» «مقارنة عابرة للثقافات» (</w:t>
      </w:r>
      <w:proofErr w:type="spellStart"/>
      <w:r>
        <w:rPr>
          <w:rFonts w:ascii="Traditional Arabic" w:eastAsia="Traditional Arabic" w:hAnsi="Traditional Arabic" w:cs="Traditional Arabic"/>
          <w:color w:val="2B2B2B"/>
          <w:sz w:val="26"/>
          <w:szCs w:val="26"/>
          <w:rtl/>
        </w:rPr>
        <w:t>Cross-Cultural</w:t>
      </w:r>
      <w:proofErr w:type="spellEnd"/>
      <w:r>
        <w:rPr>
          <w:rFonts w:ascii="Traditional Arabic" w:eastAsia="Traditional Arabic" w:hAnsi="Traditional Arabic" w:cs="Traditional Arabic"/>
          <w:color w:val="2B2B2B"/>
          <w:sz w:val="26"/>
          <w:szCs w:val="26"/>
          <w:rtl/>
        </w:rPr>
        <w:t>) تختبر «مدى» «صمود» «مفاهيمه» الأساسية (كالفصام الأخلاقي) خارج «السياق» «الإسلامي» الذي «نشأت» فيه.</w:t>
      </w:r>
    </w:p>
    <w:p w14:paraId="2B903501" w14:textId="77777777" w:rsidR="00853581" w:rsidRDefault="005C2A2E">
      <w:pPr>
        <w:pStyle w:val="2"/>
        <w:pBdr>
          <w:right w:val="single" w:sz="24" w:space="0" w:color="0E6F6C"/>
        </w:pBdr>
        <w:bidi/>
        <w:spacing w:before="360" w:after="200"/>
        <w:ind w:right="120"/>
        <w:jc w:val="right"/>
      </w:pPr>
      <w:r>
        <w:rPr>
          <w:rFonts w:ascii="Traditional Arabic" w:eastAsia="Traditional Arabic" w:hAnsi="Traditional Arabic" w:cs="Traditional Arabic"/>
          <w:b/>
          <w:bCs/>
          <w:color w:val="0E6F6C"/>
          <w:sz w:val="28"/>
          <w:szCs w:val="28"/>
          <w:rtl/>
        </w:rPr>
        <w:t xml:space="preserve">  </w:t>
      </w:r>
      <w:r>
        <w:rPr>
          <w:rFonts w:ascii="Traditional Arabic" w:eastAsia="Traditional Arabic" w:hAnsi="Traditional Arabic" w:cs="Traditional Arabic"/>
          <w:b/>
          <w:bCs/>
          <w:color w:val="102A43"/>
          <w:sz w:val="28"/>
          <w:szCs w:val="28"/>
          <w:rtl/>
        </w:rPr>
        <w:t>خاتمة: «الاكتئاب» — «فرصة» «للتحول» أم «نهاية» «للطريق»؟</w:t>
      </w:r>
    </w:p>
    <w:p w14:paraId="564E39C9"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 xml:space="preserve">في نهاية هذه «الدراسة» «الموسّعة»، نخلص إلى أن «النظرية الاستخلافية» تقدم «رؤية» «مغايرة» و«أكثر» «تفاؤلاً» للاكتئاب، مع «الحفاظ» في «آنٍ» «واحد» على «الوعي» «النقدي» بـ«حدودها» «المنهجية» «الراهنة» كما «فُصِّل» في «الفصل» «السادس». فهو ليس «حُكماً» «بالإعدام» على «السعادة»، بل هو «جرس إنذار فطري» و«فرصة للتحول». إنه «الظلام» الذي «يسبق» «الفجر»، و«الألم» الذي «يُحفز» «البحث» عن «المعنى»، و«الجرح» الذي — إن «أُحسن» «ترميمه» — يُصبح «مصدراً» </w:t>
      </w:r>
      <w:proofErr w:type="spellStart"/>
      <w:r>
        <w:rPr>
          <w:rFonts w:ascii="Traditional Arabic" w:eastAsia="Traditional Arabic" w:hAnsi="Traditional Arabic" w:cs="Traditional Arabic"/>
          <w:color w:val="2B2B2B"/>
          <w:sz w:val="26"/>
          <w:szCs w:val="26"/>
          <w:rtl/>
        </w:rPr>
        <w:t>لل</w:t>
      </w:r>
      <w:proofErr w:type="spellEnd"/>
      <w:r>
        <w:rPr>
          <w:rFonts w:ascii="Traditional Arabic" w:eastAsia="Traditional Arabic" w:hAnsi="Traditional Arabic" w:cs="Traditional Arabic"/>
          <w:color w:val="2B2B2B"/>
          <w:sz w:val="26"/>
          <w:szCs w:val="26"/>
          <w:rtl/>
        </w:rPr>
        <w:t>ـ«قوة» و«الحكمة» و«العطاء».</w:t>
      </w:r>
    </w:p>
    <w:p w14:paraId="120BA65E"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و«العلاج» — في «هذا» «السياق» — ليس «إسكاتاً» لـ«صرخة» «الاكتئاب»، بل هو «استماع» لها و«فهم» لـ«رسالتها» و«توجيه» لـ«طاقتها» نحو «الخير». إنه «حرث» لـ«أرض» «النفس» «الميتة»، و«زرع» لـ«بذور» «الإحسان»، و«سقاية» لها بـ«الذكر» و«الصلاة» و«العمل الصالح»، حتى «تُزهر» من جديد «حياة طيبة» «مطمئنة».</w:t>
      </w:r>
    </w:p>
    <w:tbl>
      <w:tblPr>
        <w:tblW w:w="5000" w:type="pct"/>
        <w:tblBorders>
          <w:top w:val="single" w:sz="8" w:space="0" w:color="B8860B"/>
          <w:left w:val="single" w:sz="8" w:space="0" w:color="B8860B"/>
          <w:bottom w:val="single" w:sz="8" w:space="0" w:color="B8860B"/>
          <w:right w:val="single" w:sz="8" w:space="0" w:color="B8860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18"/>
      </w:tblGrid>
      <w:tr w:rsidR="00853581" w14:paraId="22C02C9F" w14:textId="77777777">
        <w:tblPrEx>
          <w:tblCellMar>
            <w:top w:w="0" w:type="dxa"/>
            <w:bottom w:w="0" w:type="dxa"/>
          </w:tblCellMar>
        </w:tblPrEx>
        <w:tc>
          <w:tcPr>
            <w:tcW w:w="0" w:type="auto"/>
            <w:shd w:val="clear" w:color="auto" w:fill="F4E9D8"/>
            <w:tcMar>
              <w:top w:w="200" w:type="dxa"/>
              <w:left w:w="300" w:type="dxa"/>
              <w:bottom w:w="200" w:type="dxa"/>
              <w:right w:w="300" w:type="dxa"/>
            </w:tcMar>
            <w:vAlign w:val="center"/>
          </w:tcPr>
          <w:p w14:paraId="63FA2F86" w14:textId="77777777" w:rsidR="00853581" w:rsidRDefault="005C2A2E">
            <w:pPr>
              <w:spacing w:after="100"/>
              <w:jc w:val="center"/>
            </w:pPr>
            <w:r>
              <w:rPr>
                <w:rFonts w:ascii="Traditional Arabic" w:eastAsia="Traditional Arabic" w:hAnsi="Traditional Arabic" w:cs="Traditional Arabic"/>
                <w:b/>
                <w:bCs/>
                <w:color w:val="102A43"/>
                <w:sz w:val="30"/>
                <w:szCs w:val="30"/>
                <w:rtl/>
              </w:rPr>
              <w:t>أَلَا بِذِكْرِ اللَّهِ تَطْمَئِنُّ الْقُلُوبُ</w:t>
            </w:r>
          </w:p>
          <w:p w14:paraId="0FFE1D8C" w14:textId="77777777" w:rsidR="00853581" w:rsidRDefault="005C2A2E">
            <w:pPr>
              <w:jc w:val="center"/>
            </w:pPr>
            <w:r>
              <w:rPr>
                <w:rFonts w:ascii="Traditional Arabic" w:eastAsia="Traditional Arabic" w:hAnsi="Traditional Arabic" w:cs="Traditional Arabic"/>
                <w:i/>
                <w:iCs/>
                <w:color w:val="0E6F6C"/>
                <w:sz w:val="22"/>
                <w:szCs w:val="22"/>
                <w:rtl/>
              </w:rPr>
              <w:t>سورة الرعد: 28</w:t>
            </w:r>
          </w:p>
        </w:tc>
      </w:tr>
    </w:tbl>
    <w:p w14:paraId="417CA268" w14:textId="77777777" w:rsidR="00853581" w:rsidRDefault="005C2A2E">
      <w:pPr>
        <w:spacing w:after="200" w:line="320" w:lineRule="auto"/>
        <w:jc w:val="both"/>
      </w:pPr>
      <w:r>
        <w:rPr>
          <w:rFonts w:ascii="Traditional Arabic" w:eastAsia="Traditional Arabic" w:hAnsi="Traditional Arabic" w:cs="Traditional Arabic"/>
          <w:color w:val="2B2B2B"/>
          <w:sz w:val="26"/>
          <w:szCs w:val="26"/>
          <w:rtl/>
        </w:rPr>
        <w:t xml:space="preserve">وتبقى «الدعوة» «مفتوحة» أمام «الباحثين» في «حقلي» «علم النفس الإكلينيكي» و«الدراسات الإسلامية» على «السواء» لـ«مواصلة» «اختبار» «هذا» «النموذج» — «تنظيراً» </w:t>
      </w:r>
      <w:proofErr w:type="spellStart"/>
      <w:r>
        <w:rPr>
          <w:rFonts w:ascii="Traditional Arabic" w:eastAsia="Traditional Arabic" w:hAnsi="Traditional Arabic" w:cs="Traditional Arabic"/>
          <w:color w:val="2B2B2B"/>
          <w:sz w:val="26"/>
          <w:szCs w:val="26"/>
          <w:rtl/>
        </w:rPr>
        <w:t>و«تطبيقاً</w:t>
      </w:r>
      <w:proofErr w:type="spellEnd"/>
      <w:r>
        <w:rPr>
          <w:rFonts w:ascii="Traditional Arabic" w:eastAsia="Traditional Arabic" w:hAnsi="Traditional Arabic" w:cs="Traditional Arabic"/>
          <w:color w:val="2B2B2B"/>
          <w:sz w:val="26"/>
          <w:szCs w:val="26"/>
          <w:rtl/>
        </w:rPr>
        <w:t>» — بما «يخدم» «الغاية» «المشتركة»: «تخفيف» «معاناة» «الإنسان» و«إعادته» إلى «مسار» «فطرته».</w:t>
      </w:r>
    </w:p>
    <w:p w14:paraId="656F5708" w14:textId="77777777" w:rsidR="00853581" w:rsidRDefault="005C2A2E">
      <w:r>
        <w:br w:type="page"/>
      </w:r>
    </w:p>
    <w:p w14:paraId="7B6AB348" w14:textId="77777777" w:rsidR="00853581" w:rsidRDefault="005C2A2E">
      <w:pPr>
        <w:pStyle w:val="1"/>
        <w:pBdr>
          <w:top w:val="single" w:sz="6" w:space="0" w:color="B8860B"/>
          <w:bottom w:val="single" w:sz="6" w:space="0" w:color="B8860B"/>
        </w:pBdr>
        <w:shd w:val="clear" w:color="auto" w:fill="1B3A5C"/>
        <w:bidi/>
        <w:spacing w:before="480" w:after="320"/>
        <w:jc w:val="center"/>
      </w:pPr>
      <w:r>
        <w:rPr>
          <w:rFonts w:ascii="Traditional Arabic" w:eastAsia="Traditional Arabic" w:hAnsi="Traditional Arabic" w:cs="Traditional Arabic"/>
          <w:b/>
          <w:bCs/>
          <w:color w:val="F4E9D8"/>
          <w:sz w:val="22"/>
          <w:szCs w:val="22"/>
          <w:rtl/>
        </w:rPr>
        <w:t xml:space="preserve">الفصل </w:t>
      </w:r>
      <w:r>
        <w:rPr>
          <w:rFonts w:ascii="Traditional Arabic" w:eastAsia="Traditional Arabic" w:hAnsi="Traditional Arabic" w:cs="Traditional Arabic"/>
          <w:sz w:val="22"/>
          <w:szCs w:val="22"/>
          <w:rtl/>
        </w:rPr>
        <w:t xml:space="preserve">  </w:t>
      </w:r>
      <w:r>
        <w:rPr>
          <w:rFonts w:ascii="Traditional Arabic" w:eastAsia="Traditional Arabic" w:hAnsi="Traditional Arabic" w:cs="Traditional Arabic"/>
          <w:b/>
          <w:bCs/>
          <w:color w:val="FFFFFF"/>
          <w:sz w:val="34"/>
          <w:szCs w:val="34"/>
          <w:rtl/>
        </w:rPr>
        <w:t>المراجع والمصادر</w:t>
      </w:r>
    </w:p>
    <w:p w14:paraId="476CC824" w14:textId="77777777" w:rsidR="00853581" w:rsidRDefault="005C2A2E">
      <w:pPr>
        <w:spacing w:before="240" w:after="140"/>
        <w:jc w:val="right"/>
      </w:pPr>
      <w:r>
        <w:rPr>
          <w:rFonts w:ascii="Traditional Arabic" w:eastAsia="Traditional Arabic" w:hAnsi="Traditional Arabic" w:cs="Traditional Arabic"/>
          <w:b/>
          <w:bCs/>
          <w:color w:val="B8860B"/>
          <w:sz w:val="24"/>
          <w:szCs w:val="24"/>
          <w:rtl/>
        </w:rPr>
        <w:t xml:space="preserve">◈ </w:t>
      </w:r>
      <w:r>
        <w:rPr>
          <w:rFonts w:ascii="Traditional Arabic" w:eastAsia="Traditional Arabic" w:hAnsi="Traditional Arabic" w:cs="Traditional Arabic"/>
          <w:b/>
          <w:bCs/>
          <w:i/>
          <w:iCs/>
          <w:color w:val="0E6F6C"/>
          <w:sz w:val="24"/>
          <w:szCs w:val="24"/>
          <w:rtl/>
        </w:rPr>
        <w:t>أولاً: المصادر الأساسية (النموذج الاستخلافي)</w:t>
      </w:r>
    </w:p>
    <w:p w14:paraId="3346F800" w14:textId="77777777" w:rsidR="00853581" w:rsidRDefault="005C2A2E">
      <w:pPr>
        <w:spacing w:after="140" w:line="300" w:lineRule="auto"/>
        <w:ind w:right="260" w:hanging="260"/>
        <w:jc w:val="both"/>
      </w:pPr>
      <w:r>
        <w:rPr>
          <w:rFonts w:ascii="Traditional Arabic" w:eastAsia="Traditional Arabic" w:hAnsi="Traditional Arabic" w:cs="Traditional Arabic"/>
          <w:b/>
          <w:bCs/>
          <w:color w:val="0E6F6C"/>
          <w:sz w:val="22"/>
          <w:szCs w:val="22"/>
          <w:rtl/>
        </w:rPr>
        <w:t xml:space="preserve">1.  </w:t>
      </w:r>
      <w:r>
        <w:rPr>
          <w:rFonts w:ascii="Traditional Arabic" w:eastAsia="Traditional Arabic" w:hAnsi="Traditional Arabic" w:cs="Traditional Arabic"/>
          <w:color w:val="2B2B2B"/>
          <w:sz w:val="22"/>
          <w:szCs w:val="22"/>
          <w:rtl/>
        </w:rPr>
        <w:t>الزراع، عبد السلام. (2026). العلاج بحرث المصالحة التحويلية (TLRT): الدليل النظري والإكلينيكي. (الطبعة التجريبية الأولى).</w:t>
      </w:r>
    </w:p>
    <w:p w14:paraId="44A4F98F" w14:textId="77777777" w:rsidR="00853581" w:rsidRDefault="005C2A2E">
      <w:pPr>
        <w:spacing w:after="140" w:line="300" w:lineRule="auto"/>
        <w:ind w:right="260" w:hanging="260"/>
        <w:jc w:val="both"/>
      </w:pPr>
      <w:r>
        <w:rPr>
          <w:rFonts w:ascii="Traditional Arabic" w:eastAsia="Traditional Arabic" w:hAnsi="Traditional Arabic" w:cs="Traditional Arabic"/>
          <w:b/>
          <w:bCs/>
          <w:color w:val="0E6F6C"/>
          <w:sz w:val="22"/>
          <w:szCs w:val="22"/>
          <w:rtl/>
        </w:rPr>
        <w:t xml:space="preserve">2.  </w:t>
      </w:r>
      <w:r>
        <w:rPr>
          <w:rFonts w:ascii="Traditional Arabic" w:eastAsia="Traditional Arabic" w:hAnsi="Traditional Arabic" w:cs="Traditional Arabic"/>
          <w:color w:val="2B2B2B"/>
          <w:sz w:val="22"/>
          <w:szCs w:val="22"/>
          <w:rtl/>
        </w:rPr>
        <w:t>الزراع، عبد السلام. (2026). الفصام الأخلاقي ومصدر الأزمات النفسية: قراءة في ضوء نظرية TLRT.</w:t>
      </w:r>
    </w:p>
    <w:p w14:paraId="0806A976" w14:textId="77777777" w:rsidR="00853581" w:rsidRDefault="005C2A2E">
      <w:pPr>
        <w:spacing w:after="140" w:line="300" w:lineRule="auto"/>
        <w:ind w:right="260" w:hanging="260"/>
        <w:jc w:val="both"/>
      </w:pPr>
      <w:r>
        <w:rPr>
          <w:rFonts w:ascii="Traditional Arabic" w:eastAsia="Traditional Arabic" w:hAnsi="Traditional Arabic" w:cs="Traditional Arabic"/>
          <w:b/>
          <w:bCs/>
          <w:color w:val="0E6F6C"/>
          <w:sz w:val="22"/>
          <w:szCs w:val="22"/>
          <w:rtl/>
        </w:rPr>
        <w:t xml:space="preserve">3.  </w:t>
      </w:r>
      <w:r>
        <w:rPr>
          <w:rFonts w:ascii="Traditional Arabic" w:eastAsia="Traditional Arabic" w:hAnsi="Traditional Arabic" w:cs="Traditional Arabic"/>
          <w:color w:val="2B2B2B"/>
          <w:sz w:val="22"/>
          <w:szCs w:val="22"/>
          <w:rtl/>
        </w:rPr>
        <w:t>الزراع، عبد السلام. (2026). نموذج قياس الشعور بالذنب: مقاربة تكاملية متعددة الأبعاد.</w:t>
      </w:r>
    </w:p>
    <w:p w14:paraId="029FC46D" w14:textId="77777777" w:rsidR="00853581" w:rsidRDefault="005C2A2E">
      <w:pPr>
        <w:spacing w:after="140" w:line="300" w:lineRule="auto"/>
        <w:ind w:right="260" w:hanging="260"/>
        <w:jc w:val="both"/>
      </w:pPr>
      <w:r>
        <w:rPr>
          <w:rFonts w:ascii="Traditional Arabic" w:eastAsia="Traditional Arabic" w:hAnsi="Traditional Arabic" w:cs="Traditional Arabic"/>
          <w:b/>
          <w:bCs/>
          <w:color w:val="0E6F6C"/>
          <w:sz w:val="22"/>
          <w:szCs w:val="22"/>
          <w:rtl/>
        </w:rPr>
        <w:t xml:space="preserve">4.  </w:t>
      </w:r>
      <w:r>
        <w:rPr>
          <w:rFonts w:ascii="Traditional Arabic" w:eastAsia="Traditional Arabic" w:hAnsi="Traditional Arabic" w:cs="Traditional Arabic"/>
          <w:color w:val="2B2B2B"/>
          <w:sz w:val="22"/>
          <w:szCs w:val="22"/>
          <w:rtl/>
        </w:rPr>
        <w:t xml:space="preserve">الزراع، عبد السلام. (2026). مقياس الخليفة الرقمي (DKS): نحو أداة </w:t>
      </w:r>
      <w:proofErr w:type="spellStart"/>
      <w:r>
        <w:rPr>
          <w:rFonts w:ascii="Traditional Arabic" w:eastAsia="Traditional Arabic" w:hAnsi="Traditional Arabic" w:cs="Traditional Arabic"/>
          <w:color w:val="2B2B2B"/>
          <w:sz w:val="22"/>
          <w:szCs w:val="22"/>
          <w:rtl/>
        </w:rPr>
        <w:t>سيكومترية</w:t>
      </w:r>
      <w:proofErr w:type="spellEnd"/>
      <w:r>
        <w:rPr>
          <w:rFonts w:ascii="Traditional Arabic" w:eastAsia="Traditional Arabic" w:hAnsi="Traditional Arabic" w:cs="Traditional Arabic"/>
          <w:color w:val="2B2B2B"/>
          <w:sz w:val="22"/>
          <w:szCs w:val="22"/>
          <w:rtl/>
        </w:rPr>
        <w:t xml:space="preserve"> لقياس الاستخلاف في العصر الرقمي. (وثيقة عمل قيد التطوير).</w:t>
      </w:r>
    </w:p>
    <w:p w14:paraId="463F31AF" w14:textId="77777777" w:rsidR="00853581" w:rsidRDefault="005C2A2E">
      <w:pPr>
        <w:spacing w:before="240" w:after="140"/>
        <w:jc w:val="right"/>
      </w:pPr>
      <w:r>
        <w:rPr>
          <w:rFonts w:ascii="Traditional Arabic" w:eastAsia="Traditional Arabic" w:hAnsi="Traditional Arabic" w:cs="Traditional Arabic"/>
          <w:b/>
          <w:bCs/>
          <w:color w:val="B8860B"/>
          <w:sz w:val="24"/>
          <w:szCs w:val="24"/>
          <w:rtl/>
        </w:rPr>
        <w:t xml:space="preserve">◈ </w:t>
      </w:r>
      <w:r>
        <w:rPr>
          <w:rFonts w:ascii="Traditional Arabic" w:eastAsia="Traditional Arabic" w:hAnsi="Traditional Arabic" w:cs="Traditional Arabic"/>
          <w:b/>
          <w:bCs/>
          <w:i/>
          <w:iCs/>
          <w:color w:val="0E6F6C"/>
          <w:sz w:val="24"/>
          <w:szCs w:val="24"/>
          <w:rtl/>
        </w:rPr>
        <w:t>ثانياً: مراجع في النماذج التقليدية للاكتئاب</w:t>
      </w:r>
    </w:p>
    <w:p w14:paraId="0161E73D" w14:textId="77777777" w:rsidR="00853581" w:rsidRDefault="005C2A2E">
      <w:pPr>
        <w:spacing w:after="140" w:line="300" w:lineRule="auto"/>
        <w:ind w:right="260" w:hanging="260"/>
        <w:jc w:val="both"/>
      </w:pPr>
      <w:r>
        <w:rPr>
          <w:rFonts w:ascii="Traditional Arabic" w:eastAsia="Traditional Arabic" w:hAnsi="Traditional Arabic" w:cs="Traditional Arabic"/>
          <w:b/>
          <w:bCs/>
          <w:color w:val="0E6F6C"/>
          <w:sz w:val="22"/>
          <w:szCs w:val="22"/>
          <w:rtl/>
        </w:rPr>
        <w:t xml:space="preserve">5.  </w:t>
      </w:r>
      <w:proofErr w:type="spellStart"/>
      <w:r>
        <w:rPr>
          <w:rFonts w:ascii="Traditional Arabic" w:eastAsia="Traditional Arabic" w:hAnsi="Traditional Arabic" w:cs="Traditional Arabic"/>
          <w:color w:val="2B2B2B"/>
          <w:sz w:val="22"/>
          <w:szCs w:val="22"/>
          <w:rtl/>
        </w:rPr>
        <w:t>Beck</w:t>
      </w:r>
      <w:proofErr w:type="spellEnd"/>
      <w:r>
        <w:rPr>
          <w:rFonts w:ascii="Traditional Arabic" w:eastAsia="Traditional Arabic" w:hAnsi="Traditional Arabic" w:cs="Traditional Arabic"/>
          <w:color w:val="2B2B2B"/>
          <w:sz w:val="22"/>
          <w:szCs w:val="22"/>
          <w:rtl/>
        </w:rPr>
        <w:t xml:space="preserve">, A. T. (1967). </w:t>
      </w:r>
      <w:proofErr w:type="spellStart"/>
      <w:r>
        <w:rPr>
          <w:rFonts w:ascii="Traditional Arabic" w:eastAsia="Traditional Arabic" w:hAnsi="Traditional Arabic" w:cs="Traditional Arabic"/>
          <w:color w:val="2B2B2B"/>
          <w:sz w:val="22"/>
          <w:szCs w:val="22"/>
          <w:rtl/>
        </w:rPr>
        <w:t>Depression</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Clinical</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Experimental</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and</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Theoretical</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Aspects</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New</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York</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Harper</w:t>
      </w:r>
      <w:proofErr w:type="spellEnd"/>
      <w:r>
        <w:rPr>
          <w:rFonts w:ascii="Traditional Arabic" w:eastAsia="Traditional Arabic" w:hAnsi="Traditional Arabic" w:cs="Traditional Arabic"/>
          <w:color w:val="2B2B2B"/>
          <w:sz w:val="22"/>
          <w:szCs w:val="22"/>
          <w:rtl/>
        </w:rPr>
        <w:t xml:space="preserve"> &amp; </w:t>
      </w:r>
      <w:proofErr w:type="spellStart"/>
      <w:r>
        <w:rPr>
          <w:rFonts w:ascii="Traditional Arabic" w:eastAsia="Traditional Arabic" w:hAnsi="Traditional Arabic" w:cs="Traditional Arabic"/>
          <w:color w:val="2B2B2B"/>
          <w:sz w:val="22"/>
          <w:szCs w:val="22"/>
          <w:rtl/>
        </w:rPr>
        <w:t>Row</w:t>
      </w:r>
      <w:proofErr w:type="spellEnd"/>
      <w:r>
        <w:rPr>
          <w:rFonts w:ascii="Traditional Arabic" w:eastAsia="Traditional Arabic" w:hAnsi="Traditional Arabic" w:cs="Traditional Arabic"/>
          <w:color w:val="2B2B2B"/>
          <w:sz w:val="22"/>
          <w:szCs w:val="22"/>
          <w:rtl/>
        </w:rPr>
        <w:t>.</w:t>
      </w:r>
    </w:p>
    <w:p w14:paraId="23F0BF6B" w14:textId="77777777" w:rsidR="00853581" w:rsidRDefault="005C2A2E">
      <w:pPr>
        <w:spacing w:after="140" w:line="300" w:lineRule="auto"/>
        <w:ind w:right="260" w:hanging="260"/>
        <w:jc w:val="both"/>
      </w:pPr>
      <w:r>
        <w:rPr>
          <w:rFonts w:ascii="Traditional Arabic" w:eastAsia="Traditional Arabic" w:hAnsi="Traditional Arabic" w:cs="Traditional Arabic"/>
          <w:b/>
          <w:bCs/>
          <w:color w:val="0E6F6C"/>
          <w:sz w:val="22"/>
          <w:szCs w:val="22"/>
          <w:rtl/>
        </w:rPr>
        <w:t xml:space="preserve">6.  </w:t>
      </w:r>
      <w:proofErr w:type="spellStart"/>
      <w:r>
        <w:rPr>
          <w:rFonts w:ascii="Traditional Arabic" w:eastAsia="Traditional Arabic" w:hAnsi="Traditional Arabic" w:cs="Traditional Arabic"/>
          <w:color w:val="2B2B2B"/>
          <w:sz w:val="22"/>
          <w:szCs w:val="22"/>
          <w:rtl/>
        </w:rPr>
        <w:t>Freud</w:t>
      </w:r>
      <w:proofErr w:type="spellEnd"/>
      <w:r>
        <w:rPr>
          <w:rFonts w:ascii="Traditional Arabic" w:eastAsia="Traditional Arabic" w:hAnsi="Traditional Arabic" w:cs="Traditional Arabic"/>
          <w:color w:val="2B2B2B"/>
          <w:sz w:val="22"/>
          <w:szCs w:val="22"/>
          <w:rtl/>
        </w:rPr>
        <w:t xml:space="preserve">, S. (1917). </w:t>
      </w:r>
      <w:proofErr w:type="spellStart"/>
      <w:r>
        <w:rPr>
          <w:rFonts w:ascii="Traditional Arabic" w:eastAsia="Traditional Arabic" w:hAnsi="Traditional Arabic" w:cs="Traditional Arabic"/>
          <w:color w:val="2B2B2B"/>
          <w:sz w:val="22"/>
          <w:szCs w:val="22"/>
          <w:rtl/>
        </w:rPr>
        <w:t>Mourning</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and</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Melancholia</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In</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The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Standard</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Edition</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of</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the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Complete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Psychological</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Works</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of</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Sigmund</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Freud</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Vol</w:t>
      </w:r>
      <w:proofErr w:type="spellEnd"/>
      <w:r>
        <w:rPr>
          <w:rFonts w:ascii="Traditional Arabic" w:eastAsia="Traditional Arabic" w:hAnsi="Traditional Arabic" w:cs="Traditional Arabic"/>
          <w:color w:val="2B2B2B"/>
          <w:sz w:val="22"/>
          <w:szCs w:val="22"/>
          <w:rtl/>
        </w:rPr>
        <w:t xml:space="preserve">. 14, </w:t>
      </w:r>
      <w:proofErr w:type="spellStart"/>
      <w:r>
        <w:rPr>
          <w:rFonts w:ascii="Traditional Arabic" w:eastAsia="Traditional Arabic" w:hAnsi="Traditional Arabic" w:cs="Traditional Arabic"/>
          <w:color w:val="2B2B2B"/>
          <w:sz w:val="22"/>
          <w:szCs w:val="22"/>
          <w:rtl/>
        </w:rPr>
        <w:t>pp</w:t>
      </w:r>
      <w:proofErr w:type="spellEnd"/>
      <w:r>
        <w:rPr>
          <w:rFonts w:ascii="Traditional Arabic" w:eastAsia="Traditional Arabic" w:hAnsi="Traditional Arabic" w:cs="Traditional Arabic"/>
          <w:color w:val="2B2B2B"/>
          <w:sz w:val="22"/>
          <w:szCs w:val="22"/>
          <w:rtl/>
        </w:rPr>
        <w:t xml:space="preserve">. 237-258). </w:t>
      </w:r>
      <w:proofErr w:type="spellStart"/>
      <w:r>
        <w:rPr>
          <w:rFonts w:ascii="Traditional Arabic" w:eastAsia="Traditional Arabic" w:hAnsi="Traditional Arabic" w:cs="Traditional Arabic"/>
          <w:color w:val="2B2B2B"/>
          <w:sz w:val="22"/>
          <w:szCs w:val="22"/>
          <w:rtl/>
        </w:rPr>
        <w:t>London</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Hogarth</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Press</w:t>
      </w:r>
      <w:proofErr w:type="spellEnd"/>
      <w:r>
        <w:rPr>
          <w:rFonts w:ascii="Traditional Arabic" w:eastAsia="Traditional Arabic" w:hAnsi="Traditional Arabic" w:cs="Traditional Arabic"/>
          <w:color w:val="2B2B2B"/>
          <w:sz w:val="22"/>
          <w:szCs w:val="22"/>
          <w:rtl/>
        </w:rPr>
        <w:t>.</w:t>
      </w:r>
    </w:p>
    <w:p w14:paraId="65EC1E72" w14:textId="77777777" w:rsidR="00853581" w:rsidRDefault="005C2A2E">
      <w:pPr>
        <w:spacing w:after="140" w:line="300" w:lineRule="auto"/>
        <w:ind w:right="260" w:hanging="260"/>
        <w:jc w:val="both"/>
      </w:pPr>
      <w:r>
        <w:rPr>
          <w:rFonts w:ascii="Traditional Arabic" w:eastAsia="Traditional Arabic" w:hAnsi="Traditional Arabic" w:cs="Traditional Arabic"/>
          <w:b/>
          <w:bCs/>
          <w:color w:val="0E6F6C"/>
          <w:sz w:val="22"/>
          <w:szCs w:val="22"/>
          <w:rtl/>
        </w:rPr>
        <w:t xml:space="preserve">7.  </w:t>
      </w:r>
      <w:proofErr w:type="spellStart"/>
      <w:r>
        <w:rPr>
          <w:rFonts w:ascii="Traditional Arabic" w:eastAsia="Traditional Arabic" w:hAnsi="Traditional Arabic" w:cs="Traditional Arabic"/>
          <w:color w:val="2B2B2B"/>
          <w:sz w:val="22"/>
          <w:szCs w:val="22"/>
          <w:rtl/>
        </w:rPr>
        <w:t>American</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Psychiatric</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Association</w:t>
      </w:r>
      <w:proofErr w:type="spellEnd"/>
      <w:r>
        <w:rPr>
          <w:rFonts w:ascii="Traditional Arabic" w:eastAsia="Traditional Arabic" w:hAnsi="Traditional Arabic" w:cs="Traditional Arabic"/>
          <w:color w:val="2B2B2B"/>
          <w:sz w:val="22"/>
          <w:szCs w:val="22"/>
          <w:rtl/>
        </w:rPr>
        <w:t xml:space="preserve">. (2013). </w:t>
      </w:r>
      <w:proofErr w:type="spellStart"/>
      <w:r>
        <w:rPr>
          <w:rFonts w:ascii="Traditional Arabic" w:eastAsia="Traditional Arabic" w:hAnsi="Traditional Arabic" w:cs="Traditional Arabic"/>
          <w:color w:val="2B2B2B"/>
          <w:sz w:val="22"/>
          <w:szCs w:val="22"/>
          <w:rtl/>
        </w:rPr>
        <w:t>Diagnostic</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and</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Statistical</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Manual</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of</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Mental</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Disorders</w:t>
      </w:r>
      <w:proofErr w:type="spellEnd"/>
      <w:r>
        <w:rPr>
          <w:rFonts w:ascii="Traditional Arabic" w:eastAsia="Traditional Arabic" w:hAnsi="Traditional Arabic" w:cs="Traditional Arabic"/>
          <w:color w:val="2B2B2B"/>
          <w:sz w:val="22"/>
          <w:szCs w:val="22"/>
          <w:rtl/>
        </w:rPr>
        <w:t xml:space="preserve"> (5th </w:t>
      </w:r>
      <w:proofErr w:type="spellStart"/>
      <w:r>
        <w:rPr>
          <w:rFonts w:ascii="Traditional Arabic" w:eastAsia="Traditional Arabic" w:hAnsi="Traditional Arabic" w:cs="Traditional Arabic"/>
          <w:color w:val="2B2B2B"/>
          <w:sz w:val="22"/>
          <w:szCs w:val="22"/>
          <w:rtl/>
        </w:rPr>
        <w:t>ed</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Arlington</w:t>
      </w:r>
      <w:proofErr w:type="spellEnd"/>
      <w:r>
        <w:rPr>
          <w:rFonts w:ascii="Traditional Arabic" w:eastAsia="Traditional Arabic" w:hAnsi="Traditional Arabic" w:cs="Traditional Arabic"/>
          <w:color w:val="2B2B2B"/>
          <w:sz w:val="22"/>
          <w:szCs w:val="22"/>
          <w:rtl/>
        </w:rPr>
        <w:t xml:space="preserve">, VA: </w:t>
      </w:r>
      <w:proofErr w:type="spellStart"/>
      <w:r>
        <w:rPr>
          <w:rFonts w:ascii="Traditional Arabic" w:eastAsia="Traditional Arabic" w:hAnsi="Traditional Arabic" w:cs="Traditional Arabic"/>
          <w:color w:val="2B2B2B"/>
          <w:sz w:val="22"/>
          <w:szCs w:val="22"/>
          <w:rtl/>
        </w:rPr>
        <w:t>American</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Psychiatric</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Publishing</w:t>
      </w:r>
      <w:proofErr w:type="spellEnd"/>
      <w:r>
        <w:rPr>
          <w:rFonts w:ascii="Traditional Arabic" w:eastAsia="Traditional Arabic" w:hAnsi="Traditional Arabic" w:cs="Traditional Arabic"/>
          <w:color w:val="2B2B2B"/>
          <w:sz w:val="22"/>
          <w:szCs w:val="22"/>
          <w:rtl/>
        </w:rPr>
        <w:t>.</w:t>
      </w:r>
    </w:p>
    <w:p w14:paraId="2E58F80F" w14:textId="77777777" w:rsidR="00853581" w:rsidRDefault="005C2A2E">
      <w:pPr>
        <w:spacing w:after="140" w:line="300" w:lineRule="auto"/>
        <w:ind w:right="260" w:hanging="260"/>
        <w:jc w:val="both"/>
      </w:pPr>
      <w:r>
        <w:rPr>
          <w:rFonts w:ascii="Traditional Arabic" w:eastAsia="Traditional Arabic" w:hAnsi="Traditional Arabic" w:cs="Traditional Arabic"/>
          <w:b/>
          <w:bCs/>
          <w:color w:val="0E6F6C"/>
          <w:sz w:val="22"/>
          <w:szCs w:val="22"/>
          <w:rtl/>
        </w:rPr>
        <w:t xml:space="preserve">8.  </w:t>
      </w:r>
      <w:proofErr w:type="spellStart"/>
      <w:r>
        <w:rPr>
          <w:rFonts w:ascii="Traditional Arabic" w:eastAsia="Traditional Arabic" w:hAnsi="Traditional Arabic" w:cs="Traditional Arabic"/>
          <w:color w:val="2B2B2B"/>
          <w:sz w:val="22"/>
          <w:szCs w:val="22"/>
          <w:rtl/>
        </w:rPr>
        <w:t>Engel</w:t>
      </w:r>
      <w:proofErr w:type="spellEnd"/>
      <w:r>
        <w:rPr>
          <w:rFonts w:ascii="Traditional Arabic" w:eastAsia="Traditional Arabic" w:hAnsi="Traditional Arabic" w:cs="Traditional Arabic"/>
          <w:color w:val="2B2B2B"/>
          <w:sz w:val="22"/>
          <w:szCs w:val="22"/>
          <w:rtl/>
        </w:rPr>
        <w:t xml:space="preserve">, G. L. (1977). </w:t>
      </w:r>
      <w:proofErr w:type="spellStart"/>
      <w:r>
        <w:rPr>
          <w:rFonts w:ascii="Traditional Arabic" w:eastAsia="Traditional Arabic" w:hAnsi="Traditional Arabic" w:cs="Traditional Arabic"/>
          <w:color w:val="2B2B2B"/>
          <w:sz w:val="22"/>
          <w:szCs w:val="22"/>
          <w:rtl/>
        </w:rPr>
        <w:t>The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Need</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for</w:t>
      </w:r>
      <w:proofErr w:type="spellEnd"/>
      <w:r>
        <w:rPr>
          <w:rFonts w:ascii="Traditional Arabic" w:eastAsia="Traditional Arabic" w:hAnsi="Traditional Arabic" w:cs="Traditional Arabic"/>
          <w:color w:val="2B2B2B"/>
          <w:sz w:val="22"/>
          <w:szCs w:val="22"/>
          <w:rtl/>
        </w:rPr>
        <w:t xml:space="preserve"> a </w:t>
      </w:r>
      <w:proofErr w:type="spellStart"/>
      <w:r>
        <w:rPr>
          <w:rFonts w:ascii="Traditional Arabic" w:eastAsia="Traditional Arabic" w:hAnsi="Traditional Arabic" w:cs="Traditional Arabic"/>
          <w:color w:val="2B2B2B"/>
          <w:sz w:val="22"/>
          <w:szCs w:val="22"/>
          <w:rtl/>
        </w:rPr>
        <w:t>New</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Medical</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Model</w:t>
      </w:r>
      <w:proofErr w:type="spellEnd"/>
      <w:r>
        <w:rPr>
          <w:rFonts w:ascii="Traditional Arabic" w:eastAsia="Traditional Arabic" w:hAnsi="Traditional Arabic" w:cs="Traditional Arabic"/>
          <w:color w:val="2B2B2B"/>
          <w:sz w:val="22"/>
          <w:szCs w:val="22"/>
          <w:rtl/>
        </w:rPr>
        <w:t xml:space="preserve">: A </w:t>
      </w:r>
      <w:proofErr w:type="spellStart"/>
      <w:r>
        <w:rPr>
          <w:rFonts w:ascii="Traditional Arabic" w:eastAsia="Traditional Arabic" w:hAnsi="Traditional Arabic" w:cs="Traditional Arabic"/>
          <w:color w:val="2B2B2B"/>
          <w:sz w:val="22"/>
          <w:szCs w:val="22"/>
          <w:rtl/>
        </w:rPr>
        <w:t>Challenge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for</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Biomedicine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Science</w:t>
      </w:r>
      <w:proofErr w:type="spellEnd"/>
      <w:r>
        <w:rPr>
          <w:rFonts w:ascii="Traditional Arabic" w:eastAsia="Traditional Arabic" w:hAnsi="Traditional Arabic" w:cs="Traditional Arabic"/>
          <w:color w:val="2B2B2B"/>
          <w:sz w:val="22"/>
          <w:szCs w:val="22"/>
          <w:rtl/>
        </w:rPr>
        <w:t>, 196(4286), 129-136.</w:t>
      </w:r>
    </w:p>
    <w:p w14:paraId="26312441" w14:textId="77777777" w:rsidR="00853581" w:rsidRDefault="005C2A2E">
      <w:pPr>
        <w:spacing w:before="240" w:after="140"/>
        <w:jc w:val="right"/>
      </w:pPr>
      <w:r>
        <w:rPr>
          <w:rFonts w:ascii="Traditional Arabic" w:eastAsia="Traditional Arabic" w:hAnsi="Traditional Arabic" w:cs="Traditional Arabic"/>
          <w:b/>
          <w:bCs/>
          <w:color w:val="B8860B"/>
          <w:sz w:val="24"/>
          <w:szCs w:val="24"/>
          <w:rtl/>
        </w:rPr>
        <w:t xml:space="preserve">◈ </w:t>
      </w:r>
      <w:r>
        <w:rPr>
          <w:rFonts w:ascii="Traditional Arabic" w:eastAsia="Traditional Arabic" w:hAnsi="Traditional Arabic" w:cs="Traditional Arabic"/>
          <w:b/>
          <w:bCs/>
          <w:i/>
          <w:iCs/>
          <w:color w:val="0E6F6C"/>
          <w:sz w:val="24"/>
          <w:szCs w:val="24"/>
          <w:rtl/>
        </w:rPr>
        <w:t>ثالثاً: مراجع في العلاج الوجودي وعلم النفس الإنساني</w:t>
      </w:r>
    </w:p>
    <w:p w14:paraId="46488C0F" w14:textId="77777777" w:rsidR="00853581" w:rsidRDefault="005C2A2E">
      <w:pPr>
        <w:spacing w:after="140" w:line="300" w:lineRule="auto"/>
        <w:ind w:right="260" w:hanging="260"/>
        <w:jc w:val="both"/>
      </w:pPr>
      <w:r>
        <w:rPr>
          <w:rFonts w:ascii="Traditional Arabic" w:eastAsia="Traditional Arabic" w:hAnsi="Traditional Arabic" w:cs="Traditional Arabic"/>
          <w:b/>
          <w:bCs/>
          <w:color w:val="0E6F6C"/>
          <w:sz w:val="22"/>
          <w:szCs w:val="22"/>
          <w:rtl/>
        </w:rPr>
        <w:t xml:space="preserve">9.  </w:t>
      </w:r>
      <w:proofErr w:type="spellStart"/>
      <w:r>
        <w:rPr>
          <w:rFonts w:ascii="Traditional Arabic" w:eastAsia="Traditional Arabic" w:hAnsi="Traditional Arabic" w:cs="Traditional Arabic"/>
          <w:color w:val="2B2B2B"/>
          <w:sz w:val="22"/>
          <w:szCs w:val="22"/>
          <w:rtl/>
        </w:rPr>
        <w:t>Frankl</w:t>
      </w:r>
      <w:proofErr w:type="spellEnd"/>
      <w:r>
        <w:rPr>
          <w:rFonts w:ascii="Traditional Arabic" w:eastAsia="Traditional Arabic" w:hAnsi="Traditional Arabic" w:cs="Traditional Arabic"/>
          <w:color w:val="2B2B2B"/>
          <w:sz w:val="22"/>
          <w:szCs w:val="22"/>
          <w:rtl/>
        </w:rPr>
        <w:t xml:space="preserve">, V. E. (1959). </w:t>
      </w:r>
      <w:proofErr w:type="spellStart"/>
      <w:r>
        <w:rPr>
          <w:rFonts w:ascii="Traditional Arabic" w:eastAsia="Traditional Arabic" w:hAnsi="Traditional Arabic" w:cs="Traditional Arabic"/>
          <w:color w:val="2B2B2B"/>
          <w:sz w:val="22"/>
          <w:szCs w:val="22"/>
          <w:rtl/>
        </w:rPr>
        <w:t>Man's</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Search</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for</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Meaning</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Boston</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Beacon</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Press</w:t>
      </w:r>
      <w:proofErr w:type="spellEnd"/>
      <w:r>
        <w:rPr>
          <w:rFonts w:ascii="Traditional Arabic" w:eastAsia="Traditional Arabic" w:hAnsi="Traditional Arabic" w:cs="Traditional Arabic"/>
          <w:color w:val="2B2B2B"/>
          <w:sz w:val="22"/>
          <w:szCs w:val="22"/>
          <w:rtl/>
        </w:rPr>
        <w:t>.</w:t>
      </w:r>
    </w:p>
    <w:p w14:paraId="6831E8FF" w14:textId="77777777" w:rsidR="00853581" w:rsidRDefault="005C2A2E">
      <w:pPr>
        <w:spacing w:after="140" w:line="300" w:lineRule="auto"/>
        <w:ind w:right="260" w:hanging="260"/>
        <w:jc w:val="both"/>
      </w:pPr>
      <w:r>
        <w:rPr>
          <w:rFonts w:ascii="Traditional Arabic" w:eastAsia="Traditional Arabic" w:hAnsi="Traditional Arabic" w:cs="Traditional Arabic"/>
          <w:b/>
          <w:bCs/>
          <w:color w:val="0E6F6C"/>
          <w:sz w:val="22"/>
          <w:szCs w:val="22"/>
          <w:rtl/>
        </w:rPr>
        <w:t xml:space="preserve">10.  </w:t>
      </w:r>
      <w:proofErr w:type="spellStart"/>
      <w:r>
        <w:rPr>
          <w:rFonts w:ascii="Traditional Arabic" w:eastAsia="Traditional Arabic" w:hAnsi="Traditional Arabic" w:cs="Traditional Arabic"/>
          <w:color w:val="2B2B2B"/>
          <w:sz w:val="22"/>
          <w:szCs w:val="22"/>
          <w:rtl/>
        </w:rPr>
        <w:t>Yalom</w:t>
      </w:r>
      <w:proofErr w:type="spellEnd"/>
      <w:r>
        <w:rPr>
          <w:rFonts w:ascii="Traditional Arabic" w:eastAsia="Traditional Arabic" w:hAnsi="Traditional Arabic" w:cs="Traditional Arabic"/>
          <w:color w:val="2B2B2B"/>
          <w:sz w:val="22"/>
          <w:szCs w:val="22"/>
          <w:rtl/>
        </w:rPr>
        <w:t xml:space="preserve">, I. D. (1980). </w:t>
      </w:r>
      <w:proofErr w:type="spellStart"/>
      <w:r>
        <w:rPr>
          <w:rFonts w:ascii="Traditional Arabic" w:eastAsia="Traditional Arabic" w:hAnsi="Traditional Arabic" w:cs="Traditional Arabic"/>
          <w:color w:val="2B2B2B"/>
          <w:sz w:val="22"/>
          <w:szCs w:val="22"/>
          <w:rtl/>
        </w:rPr>
        <w:t>Existential</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Psychotherapy</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New</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York</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Basic</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Books</w:t>
      </w:r>
      <w:proofErr w:type="spellEnd"/>
      <w:r>
        <w:rPr>
          <w:rFonts w:ascii="Traditional Arabic" w:eastAsia="Traditional Arabic" w:hAnsi="Traditional Arabic" w:cs="Traditional Arabic"/>
          <w:color w:val="2B2B2B"/>
          <w:sz w:val="22"/>
          <w:szCs w:val="22"/>
          <w:rtl/>
        </w:rPr>
        <w:t>.</w:t>
      </w:r>
    </w:p>
    <w:p w14:paraId="5DC47EC3" w14:textId="77777777" w:rsidR="00853581" w:rsidRDefault="005C2A2E">
      <w:pPr>
        <w:spacing w:before="240" w:after="140"/>
        <w:jc w:val="right"/>
      </w:pPr>
      <w:r>
        <w:rPr>
          <w:rFonts w:ascii="Traditional Arabic" w:eastAsia="Traditional Arabic" w:hAnsi="Traditional Arabic" w:cs="Traditional Arabic"/>
          <w:b/>
          <w:bCs/>
          <w:color w:val="B8860B"/>
          <w:sz w:val="24"/>
          <w:szCs w:val="24"/>
          <w:rtl/>
        </w:rPr>
        <w:t xml:space="preserve">◈ </w:t>
      </w:r>
      <w:r>
        <w:rPr>
          <w:rFonts w:ascii="Traditional Arabic" w:eastAsia="Traditional Arabic" w:hAnsi="Traditional Arabic" w:cs="Traditional Arabic"/>
          <w:b/>
          <w:bCs/>
          <w:i/>
          <w:iCs/>
          <w:color w:val="0E6F6C"/>
          <w:sz w:val="24"/>
          <w:szCs w:val="24"/>
          <w:rtl/>
        </w:rPr>
        <w:t>رابعاً: مراجع في علم الأعصاب الانفعالي</w:t>
      </w:r>
    </w:p>
    <w:p w14:paraId="563FEFE8" w14:textId="77777777" w:rsidR="00853581" w:rsidRDefault="005C2A2E">
      <w:pPr>
        <w:spacing w:after="140" w:line="300" w:lineRule="auto"/>
        <w:ind w:right="260" w:hanging="260"/>
        <w:jc w:val="both"/>
      </w:pPr>
      <w:r>
        <w:rPr>
          <w:rFonts w:ascii="Traditional Arabic" w:eastAsia="Traditional Arabic" w:hAnsi="Traditional Arabic" w:cs="Traditional Arabic"/>
          <w:b/>
          <w:bCs/>
          <w:color w:val="0E6F6C"/>
          <w:sz w:val="22"/>
          <w:szCs w:val="22"/>
          <w:rtl/>
        </w:rPr>
        <w:t xml:space="preserve">11.  </w:t>
      </w:r>
      <w:proofErr w:type="spellStart"/>
      <w:r>
        <w:rPr>
          <w:rFonts w:ascii="Traditional Arabic" w:eastAsia="Traditional Arabic" w:hAnsi="Traditional Arabic" w:cs="Traditional Arabic"/>
          <w:color w:val="2B2B2B"/>
          <w:sz w:val="22"/>
          <w:szCs w:val="22"/>
          <w:rtl/>
        </w:rPr>
        <w:t>LeDoux</w:t>
      </w:r>
      <w:proofErr w:type="spellEnd"/>
      <w:r>
        <w:rPr>
          <w:rFonts w:ascii="Traditional Arabic" w:eastAsia="Traditional Arabic" w:hAnsi="Traditional Arabic" w:cs="Traditional Arabic"/>
          <w:color w:val="2B2B2B"/>
          <w:sz w:val="22"/>
          <w:szCs w:val="22"/>
          <w:rtl/>
        </w:rPr>
        <w:t xml:space="preserve">, J. E. (1996). </w:t>
      </w:r>
      <w:proofErr w:type="spellStart"/>
      <w:r>
        <w:rPr>
          <w:rFonts w:ascii="Traditional Arabic" w:eastAsia="Traditional Arabic" w:hAnsi="Traditional Arabic" w:cs="Traditional Arabic"/>
          <w:color w:val="2B2B2B"/>
          <w:sz w:val="22"/>
          <w:szCs w:val="22"/>
          <w:rtl/>
        </w:rPr>
        <w:t>The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Emotional</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Brain</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The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Mysterious</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Underpinnings</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of</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Emotional</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Life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New</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York</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Simon</w:t>
      </w:r>
      <w:proofErr w:type="spellEnd"/>
      <w:r>
        <w:rPr>
          <w:rFonts w:ascii="Traditional Arabic" w:eastAsia="Traditional Arabic" w:hAnsi="Traditional Arabic" w:cs="Traditional Arabic"/>
          <w:color w:val="2B2B2B"/>
          <w:sz w:val="22"/>
          <w:szCs w:val="22"/>
          <w:rtl/>
        </w:rPr>
        <w:t xml:space="preserve"> &amp; </w:t>
      </w:r>
      <w:proofErr w:type="spellStart"/>
      <w:r>
        <w:rPr>
          <w:rFonts w:ascii="Traditional Arabic" w:eastAsia="Traditional Arabic" w:hAnsi="Traditional Arabic" w:cs="Traditional Arabic"/>
          <w:color w:val="2B2B2B"/>
          <w:sz w:val="22"/>
          <w:szCs w:val="22"/>
          <w:rtl/>
        </w:rPr>
        <w:t>Schuster</w:t>
      </w:r>
      <w:proofErr w:type="spellEnd"/>
      <w:r>
        <w:rPr>
          <w:rFonts w:ascii="Traditional Arabic" w:eastAsia="Traditional Arabic" w:hAnsi="Traditional Arabic" w:cs="Traditional Arabic"/>
          <w:color w:val="2B2B2B"/>
          <w:sz w:val="22"/>
          <w:szCs w:val="22"/>
          <w:rtl/>
        </w:rPr>
        <w:t>.</w:t>
      </w:r>
    </w:p>
    <w:p w14:paraId="6DE374CA" w14:textId="77777777" w:rsidR="00853581" w:rsidRDefault="005C2A2E">
      <w:pPr>
        <w:spacing w:after="140" w:line="300" w:lineRule="auto"/>
        <w:ind w:right="260" w:hanging="260"/>
        <w:jc w:val="both"/>
      </w:pPr>
      <w:r>
        <w:rPr>
          <w:rFonts w:ascii="Traditional Arabic" w:eastAsia="Traditional Arabic" w:hAnsi="Traditional Arabic" w:cs="Traditional Arabic"/>
          <w:b/>
          <w:bCs/>
          <w:color w:val="0E6F6C"/>
          <w:sz w:val="22"/>
          <w:szCs w:val="22"/>
          <w:rtl/>
        </w:rPr>
        <w:t xml:space="preserve">12.  </w:t>
      </w:r>
      <w:proofErr w:type="spellStart"/>
      <w:r>
        <w:rPr>
          <w:rFonts w:ascii="Traditional Arabic" w:eastAsia="Traditional Arabic" w:hAnsi="Traditional Arabic" w:cs="Traditional Arabic"/>
          <w:color w:val="2B2B2B"/>
          <w:sz w:val="22"/>
          <w:szCs w:val="22"/>
          <w:rtl/>
        </w:rPr>
        <w:t>Panksepp</w:t>
      </w:r>
      <w:proofErr w:type="spellEnd"/>
      <w:r>
        <w:rPr>
          <w:rFonts w:ascii="Traditional Arabic" w:eastAsia="Traditional Arabic" w:hAnsi="Traditional Arabic" w:cs="Traditional Arabic"/>
          <w:color w:val="2B2B2B"/>
          <w:sz w:val="22"/>
          <w:szCs w:val="22"/>
          <w:rtl/>
        </w:rPr>
        <w:t xml:space="preserve">, J. (1998). </w:t>
      </w:r>
      <w:proofErr w:type="spellStart"/>
      <w:r>
        <w:rPr>
          <w:rFonts w:ascii="Traditional Arabic" w:eastAsia="Traditional Arabic" w:hAnsi="Traditional Arabic" w:cs="Traditional Arabic"/>
          <w:color w:val="2B2B2B"/>
          <w:sz w:val="22"/>
          <w:szCs w:val="22"/>
          <w:rtl/>
        </w:rPr>
        <w:t>Affective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Neuroscience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The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Foundations</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of</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Human</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and</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Animal</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Emotions</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Oxford</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Oxford</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University</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Press</w:t>
      </w:r>
      <w:proofErr w:type="spellEnd"/>
      <w:r>
        <w:rPr>
          <w:rFonts w:ascii="Traditional Arabic" w:eastAsia="Traditional Arabic" w:hAnsi="Traditional Arabic" w:cs="Traditional Arabic"/>
          <w:color w:val="2B2B2B"/>
          <w:sz w:val="22"/>
          <w:szCs w:val="22"/>
          <w:rtl/>
        </w:rPr>
        <w:t>.</w:t>
      </w:r>
    </w:p>
    <w:p w14:paraId="4A045D99" w14:textId="77777777" w:rsidR="00853581" w:rsidRDefault="005C2A2E">
      <w:pPr>
        <w:spacing w:after="140" w:line="300" w:lineRule="auto"/>
        <w:ind w:right="260" w:hanging="260"/>
        <w:jc w:val="both"/>
      </w:pPr>
      <w:r>
        <w:rPr>
          <w:rFonts w:ascii="Traditional Arabic" w:eastAsia="Traditional Arabic" w:hAnsi="Traditional Arabic" w:cs="Traditional Arabic"/>
          <w:b/>
          <w:bCs/>
          <w:color w:val="0E6F6C"/>
          <w:sz w:val="22"/>
          <w:szCs w:val="22"/>
          <w:rtl/>
        </w:rPr>
        <w:t xml:space="preserve">13.  </w:t>
      </w:r>
      <w:proofErr w:type="spellStart"/>
      <w:r>
        <w:rPr>
          <w:rFonts w:ascii="Traditional Arabic" w:eastAsia="Traditional Arabic" w:hAnsi="Traditional Arabic" w:cs="Traditional Arabic"/>
          <w:color w:val="2B2B2B"/>
          <w:sz w:val="22"/>
          <w:szCs w:val="22"/>
          <w:rtl/>
        </w:rPr>
        <w:t>Siegel</w:t>
      </w:r>
      <w:proofErr w:type="spellEnd"/>
      <w:r>
        <w:rPr>
          <w:rFonts w:ascii="Traditional Arabic" w:eastAsia="Traditional Arabic" w:hAnsi="Traditional Arabic" w:cs="Traditional Arabic"/>
          <w:color w:val="2B2B2B"/>
          <w:sz w:val="22"/>
          <w:szCs w:val="22"/>
          <w:rtl/>
        </w:rPr>
        <w:t xml:space="preserve">, D. J. (2007). </w:t>
      </w:r>
      <w:proofErr w:type="spellStart"/>
      <w:r>
        <w:rPr>
          <w:rFonts w:ascii="Traditional Arabic" w:eastAsia="Traditional Arabic" w:hAnsi="Traditional Arabic" w:cs="Traditional Arabic"/>
          <w:color w:val="2B2B2B"/>
          <w:sz w:val="22"/>
          <w:szCs w:val="22"/>
          <w:rtl/>
        </w:rPr>
        <w:t>The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Mindful</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Brain</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Reflection</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and</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Attunement</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in</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the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Cultivation</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of</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Well-Being</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New</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York</w:t>
      </w:r>
      <w:proofErr w:type="spellEnd"/>
      <w:r>
        <w:rPr>
          <w:rFonts w:ascii="Traditional Arabic" w:eastAsia="Traditional Arabic" w:hAnsi="Traditional Arabic" w:cs="Traditional Arabic"/>
          <w:color w:val="2B2B2B"/>
          <w:sz w:val="22"/>
          <w:szCs w:val="22"/>
          <w:rtl/>
        </w:rPr>
        <w:t xml:space="preserve">: W. W. </w:t>
      </w:r>
      <w:proofErr w:type="spellStart"/>
      <w:r>
        <w:rPr>
          <w:rFonts w:ascii="Traditional Arabic" w:eastAsia="Traditional Arabic" w:hAnsi="Traditional Arabic" w:cs="Traditional Arabic"/>
          <w:color w:val="2B2B2B"/>
          <w:sz w:val="22"/>
          <w:szCs w:val="22"/>
          <w:rtl/>
        </w:rPr>
        <w:t>Norton</w:t>
      </w:r>
      <w:proofErr w:type="spellEnd"/>
      <w:r>
        <w:rPr>
          <w:rFonts w:ascii="Traditional Arabic" w:eastAsia="Traditional Arabic" w:hAnsi="Traditional Arabic" w:cs="Traditional Arabic"/>
          <w:color w:val="2B2B2B"/>
          <w:sz w:val="22"/>
          <w:szCs w:val="22"/>
          <w:rtl/>
        </w:rPr>
        <w:t xml:space="preserve"> &amp; </w:t>
      </w:r>
      <w:proofErr w:type="spellStart"/>
      <w:r>
        <w:rPr>
          <w:rFonts w:ascii="Traditional Arabic" w:eastAsia="Traditional Arabic" w:hAnsi="Traditional Arabic" w:cs="Traditional Arabic"/>
          <w:color w:val="2B2B2B"/>
          <w:sz w:val="22"/>
          <w:szCs w:val="22"/>
          <w:rtl/>
        </w:rPr>
        <w:t>Company</w:t>
      </w:r>
      <w:proofErr w:type="spellEnd"/>
      <w:r>
        <w:rPr>
          <w:rFonts w:ascii="Traditional Arabic" w:eastAsia="Traditional Arabic" w:hAnsi="Traditional Arabic" w:cs="Traditional Arabic"/>
          <w:color w:val="2B2B2B"/>
          <w:sz w:val="22"/>
          <w:szCs w:val="22"/>
          <w:rtl/>
        </w:rPr>
        <w:t>.</w:t>
      </w:r>
    </w:p>
    <w:p w14:paraId="248785EF" w14:textId="77777777" w:rsidR="00853581" w:rsidRDefault="005C2A2E">
      <w:pPr>
        <w:spacing w:before="240" w:after="140"/>
        <w:jc w:val="right"/>
      </w:pPr>
      <w:r>
        <w:rPr>
          <w:rFonts w:ascii="Traditional Arabic" w:eastAsia="Traditional Arabic" w:hAnsi="Traditional Arabic" w:cs="Traditional Arabic"/>
          <w:b/>
          <w:bCs/>
          <w:color w:val="B8860B"/>
          <w:sz w:val="24"/>
          <w:szCs w:val="24"/>
          <w:rtl/>
        </w:rPr>
        <w:t xml:space="preserve">◈ </w:t>
      </w:r>
      <w:r>
        <w:rPr>
          <w:rFonts w:ascii="Traditional Arabic" w:eastAsia="Traditional Arabic" w:hAnsi="Traditional Arabic" w:cs="Traditional Arabic"/>
          <w:b/>
          <w:bCs/>
          <w:i/>
          <w:iCs/>
          <w:color w:val="0E6F6C"/>
          <w:sz w:val="24"/>
          <w:szCs w:val="24"/>
          <w:rtl/>
        </w:rPr>
        <w:t>خامساً: مراجع في الفلسفة وعلم الاجتماع النقدي</w:t>
      </w:r>
    </w:p>
    <w:p w14:paraId="7E29E302" w14:textId="77777777" w:rsidR="00853581" w:rsidRDefault="005C2A2E">
      <w:pPr>
        <w:spacing w:after="140" w:line="300" w:lineRule="auto"/>
        <w:ind w:right="260" w:hanging="260"/>
        <w:jc w:val="both"/>
      </w:pPr>
      <w:r>
        <w:rPr>
          <w:rFonts w:ascii="Traditional Arabic" w:eastAsia="Traditional Arabic" w:hAnsi="Traditional Arabic" w:cs="Traditional Arabic"/>
          <w:b/>
          <w:bCs/>
          <w:color w:val="0E6F6C"/>
          <w:sz w:val="22"/>
          <w:szCs w:val="22"/>
          <w:rtl/>
        </w:rPr>
        <w:t xml:space="preserve">14.  </w:t>
      </w:r>
      <w:proofErr w:type="spellStart"/>
      <w:r>
        <w:rPr>
          <w:rFonts w:ascii="Traditional Arabic" w:eastAsia="Traditional Arabic" w:hAnsi="Traditional Arabic" w:cs="Traditional Arabic"/>
          <w:color w:val="2B2B2B"/>
          <w:sz w:val="22"/>
          <w:szCs w:val="22"/>
          <w:rtl/>
        </w:rPr>
        <w:t>Heidegger</w:t>
      </w:r>
      <w:proofErr w:type="spellEnd"/>
      <w:r>
        <w:rPr>
          <w:rFonts w:ascii="Traditional Arabic" w:eastAsia="Traditional Arabic" w:hAnsi="Traditional Arabic" w:cs="Traditional Arabic"/>
          <w:color w:val="2B2B2B"/>
          <w:sz w:val="22"/>
          <w:szCs w:val="22"/>
          <w:rtl/>
        </w:rPr>
        <w:t xml:space="preserve">, M. (1927). </w:t>
      </w:r>
      <w:proofErr w:type="spellStart"/>
      <w:r>
        <w:rPr>
          <w:rFonts w:ascii="Traditional Arabic" w:eastAsia="Traditional Arabic" w:hAnsi="Traditional Arabic" w:cs="Traditional Arabic"/>
          <w:color w:val="2B2B2B"/>
          <w:sz w:val="22"/>
          <w:szCs w:val="22"/>
          <w:rtl/>
        </w:rPr>
        <w:t>Being</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and</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Time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New</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York</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Harper</w:t>
      </w:r>
      <w:proofErr w:type="spellEnd"/>
      <w:r>
        <w:rPr>
          <w:rFonts w:ascii="Traditional Arabic" w:eastAsia="Traditional Arabic" w:hAnsi="Traditional Arabic" w:cs="Traditional Arabic"/>
          <w:color w:val="2B2B2B"/>
          <w:sz w:val="22"/>
          <w:szCs w:val="22"/>
          <w:rtl/>
        </w:rPr>
        <w:t xml:space="preserve"> &amp; </w:t>
      </w:r>
      <w:proofErr w:type="spellStart"/>
      <w:r>
        <w:rPr>
          <w:rFonts w:ascii="Traditional Arabic" w:eastAsia="Traditional Arabic" w:hAnsi="Traditional Arabic" w:cs="Traditional Arabic"/>
          <w:color w:val="2B2B2B"/>
          <w:sz w:val="22"/>
          <w:szCs w:val="22"/>
          <w:rtl/>
        </w:rPr>
        <w:t>Row</w:t>
      </w:r>
      <w:proofErr w:type="spellEnd"/>
      <w:r>
        <w:rPr>
          <w:rFonts w:ascii="Traditional Arabic" w:eastAsia="Traditional Arabic" w:hAnsi="Traditional Arabic" w:cs="Traditional Arabic"/>
          <w:color w:val="2B2B2B"/>
          <w:sz w:val="22"/>
          <w:szCs w:val="22"/>
          <w:rtl/>
        </w:rPr>
        <w:t>.</w:t>
      </w:r>
    </w:p>
    <w:p w14:paraId="27F6C4FB" w14:textId="77777777" w:rsidR="00853581" w:rsidRDefault="005C2A2E">
      <w:pPr>
        <w:spacing w:after="140" w:line="300" w:lineRule="auto"/>
        <w:ind w:right="260" w:hanging="260"/>
        <w:jc w:val="both"/>
      </w:pPr>
      <w:r>
        <w:rPr>
          <w:rFonts w:ascii="Traditional Arabic" w:eastAsia="Traditional Arabic" w:hAnsi="Traditional Arabic" w:cs="Traditional Arabic"/>
          <w:b/>
          <w:bCs/>
          <w:color w:val="0E6F6C"/>
          <w:sz w:val="22"/>
          <w:szCs w:val="22"/>
          <w:rtl/>
        </w:rPr>
        <w:t xml:space="preserve">15.  </w:t>
      </w:r>
      <w:proofErr w:type="spellStart"/>
      <w:r>
        <w:rPr>
          <w:rFonts w:ascii="Traditional Arabic" w:eastAsia="Traditional Arabic" w:hAnsi="Traditional Arabic" w:cs="Traditional Arabic"/>
          <w:color w:val="2B2B2B"/>
          <w:sz w:val="22"/>
          <w:szCs w:val="22"/>
          <w:rtl/>
        </w:rPr>
        <w:t>Zuboff</w:t>
      </w:r>
      <w:proofErr w:type="spellEnd"/>
      <w:r>
        <w:rPr>
          <w:rFonts w:ascii="Traditional Arabic" w:eastAsia="Traditional Arabic" w:hAnsi="Traditional Arabic" w:cs="Traditional Arabic"/>
          <w:color w:val="2B2B2B"/>
          <w:sz w:val="22"/>
          <w:szCs w:val="22"/>
          <w:rtl/>
        </w:rPr>
        <w:t xml:space="preserve">, S. (2019). </w:t>
      </w:r>
      <w:proofErr w:type="spellStart"/>
      <w:r>
        <w:rPr>
          <w:rFonts w:ascii="Traditional Arabic" w:eastAsia="Traditional Arabic" w:hAnsi="Traditional Arabic" w:cs="Traditional Arabic"/>
          <w:color w:val="2B2B2B"/>
          <w:sz w:val="22"/>
          <w:szCs w:val="22"/>
          <w:rtl/>
        </w:rPr>
        <w:t>The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Age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of</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Surveillance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Capitalism</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The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Fight</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for</w:t>
      </w:r>
      <w:proofErr w:type="spellEnd"/>
      <w:r>
        <w:rPr>
          <w:rFonts w:ascii="Traditional Arabic" w:eastAsia="Traditional Arabic" w:hAnsi="Traditional Arabic" w:cs="Traditional Arabic"/>
          <w:color w:val="2B2B2B"/>
          <w:sz w:val="22"/>
          <w:szCs w:val="22"/>
          <w:rtl/>
        </w:rPr>
        <w:t xml:space="preserve"> a </w:t>
      </w:r>
      <w:proofErr w:type="spellStart"/>
      <w:r>
        <w:rPr>
          <w:rFonts w:ascii="Traditional Arabic" w:eastAsia="Traditional Arabic" w:hAnsi="Traditional Arabic" w:cs="Traditional Arabic"/>
          <w:color w:val="2B2B2B"/>
          <w:sz w:val="22"/>
          <w:szCs w:val="22"/>
          <w:rtl/>
        </w:rPr>
        <w:t>Human</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Future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at</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the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New</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Frontier</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of</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Power</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New</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York</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PublicAffairs</w:t>
      </w:r>
      <w:proofErr w:type="spellEnd"/>
      <w:r>
        <w:rPr>
          <w:rFonts w:ascii="Traditional Arabic" w:eastAsia="Traditional Arabic" w:hAnsi="Traditional Arabic" w:cs="Traditional Arabic"/>
          <w:color w:val="2B2B2B"/>
          <w:sz w:val="22"/>
          <w:szCs w:val="22"/>
          <w:rtl/>
        </w:rPr>
        <w:t>.</w:t>
      </w:r>
    </w:p>
    <w:p w14:paraId="40EF9166" w14:textId="77777777" w:rsidR="00853581" w:rsidRDefault="005C2A2E">
      <w:pPr>
        <w:spacing w:after="140" w:line="300" w:lineRule="auto"/>
        <w:ind w:right="260" w:hanging="260"/>
        <w:jc w:val="both"/>
      </w:pPr>
      <w:r>
        <w:rPr>
          <w:rFonts w:ascii="Traditional Arabic" w:eastAsia="Traditional Arabic" w:hAnsi="Traditional Arabic" w:cs="Traditional Arabic"/>
          <w:b/>
          <w:bCs/>
          <w:color w:val="0E6F6C"/>
          <w:sz w:val="22"/>
          <w:szCs w:val="22"/>
          <w:rtl/>
        </w:rPr>
        <w:t xml:space="preserve">16.  </w:t>
      </w:r>
      <w:proofErr w:type="spellStart"/>
      <w:r>
        <w:rPr>
          <w:rFonts w:ascii="Traditional Arabic" w:eastAsia="Traditional Arabic" w:hAnsi="Traditional Arabic" w:cs="Traditional Arabic"/>
          <w:color w:val="2B2B2B"/>
          <w:sz w:val="22"/>
          <w:szCs w:val="22"/>
          <w:rtl/>
        </w:rPr>
        <w:t>Kuhn</w:t>
      </w:r>
      <w:proofErr w:type="spellEnd"/>
      <w:r>
        <w:rPr>
          <w:rFonts w:ascii="Traditional Arabic" w:eastAsia="Traditional Arabic" w:hAnsi="Traditional Arabic" w:cs="Traditional Arabic"/>
          <w:color w:val="2B2B2B"/>
          <w:sz w:val="22"/>
          <w:szCs w:val="22"/>
          <w:rtl/>
        </w:rPr>
        <w:t xml:space="preserve">, T. S. (1962). </w:t>
      </w:r>
      <w:proofErr w:type="spellStart"/>
      <w:r>
        <w:rPr>
          <w:rFonts w:ascii="Traditional Arabic" w:eastAsia="Traditional Arabic" w:hAnsi="Traditional Arabic" w:cs="Traditional Arabic"/>
          <w:color w:val="2B2B2B"/>
          <w:sz w:val="22"/>
          <w:szCs w:val="22"/>
          <w:rtl/>
        </w:rPr>
        <w:t>The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Structure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of</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Scientific</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Revolutions</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Chicago</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University</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of</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Chicago</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Press</w:t>
      </w:r>
      <w:proofErr w:type="spellEnd"/>
      <w:r>
        <w:rPr>
          <w:rFonts w:ascii="Traditional Arabic" w:eastAsia="Traditional Arabic" w:hAnsi="Traditional Arabic" w:cs="Traditional Arabic"/>
          <w:color w:val="2B2B2B"/>
          <w:sz w:val="22"/>
          <w:szCs w:val="22"/>
          <w:rtl/>
        </w:rPr>
        <w:t>.</w:t>
      </w:r>
    </w:p>
    <w:p w14:paraId="41A9C315" w14:textId="77777777" w:rsidR="00853581" w:rsidRDefault="005C2A2E">
      <w:pPr>
        <w:spacing w:after="140" w:line="300" w:lineRule="auto"/>
        <w:ind w:right="260" w:hanging="260"/>
        <w:jc w:val="both"/>
      </w:pPr>
      <w:r>
        <w:rPr>
          <w:rFonts w:ascii="Traditional Arabic" w:eastAsia="Traditional Arabic" w:hAnsi="Traditional Arabic" w:cs="Traditional Arabic"/>
          <w:b/>
          <w:bCs/>
          <w:color w:val="0E6F6C"/>
          <w:sz w:val="22"/>
          <w:szCs w:val="22"/>
          <w:rtl/>
        </w:rPr>
        <w:t xml:space="preserve">17.  </w:t>
      </w:r>
      <w:proofErr w:type="spellStart"/>
      <w:r>
        <w:rPr>
          <w:rFonts w:ascii="Traditional Arabic" w:eastAsia="Traditional Arabic" w:hAnsi="Traditional Arabic" w:cs="Traditional Arabic"/>
          <w:color w:val="2B2B2B"/>
          <w:sz w:val="22"/>
          <w:szCs w:val="22"/>
          <w:rtl/>
        </w:rPr>
        <w:t>Popper</w:t>
      </w:r>
      <w:proofErr w:type="spellEnd"/>
      <w:r>
        <w:rPr>
          <w:rFonts w:ascii="Traditional Arabic" w:eastAsia="Traditional Arabic" w:hAnsi="Traditional Arabic" w:cs="Traditional Arabic"/>
          <w:color w:val="2B2B2B"/>
          <w:sz w:val="22"/>
          <w:szCs w:val="22"/>
          <w:rtl/>
        </w:rPr>
        <w:t xml:space="preserve">, K. (1959). </w:t>
      </w:r>
      <w:proofErr w:type="spellStart"/>
      <w:r>
        <w:rPr>
          <w:rFonts w:ascii="Traditional Arabic" w:eastAsia="Traditional Arabic" w:hAnsi="Traditional Arabic" w:cs="Traditional Arabic"/>
          <w:color w:val="2B2B2B"/>
          <w:sz w:val="22"/>
          <w:szCs w:val="22"/>
          <w:rtl/>
        </w:rPr>
        <w:t>The</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Logic</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of</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Scientific</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Discovery</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London</w:t>
      </w:r>
      <w:proofErr w:type="spellEnd"/>
      <w:r>
        <w:rPr>
          <w:rFonts w:ascii="Traditional Arabic" w:eastAsia="Traditional Arabic" w:hAnsi="Traditional Arabic" w:cs="Traditional Arabic"/>
          <w:color w:val="2B2B2B"/>
          <w:sz w:val="22"/>
          <w:szCs w:val="22"/>
          <w:rtl/>
        </w:rPr>
        <w:t xml:space="preserve">: </w:t>
      </w:r>
      <w:proofErr w:type="spellStart"/>
      <w:r>
        <w:rPr>
          <w:rFonts w:ascii="Traditional Arabic" w:eastAsia="Traditional Arabic" w:hAnsi="Traditional Arabic" w:cs="Traditional Arabic"/>
          <w:color w:val="2B2B2B"/>
          <w:sz w:val="22"/>
          <w:szCs w:val="22"/>
          <w:rtl/>
        </w:rPr>
        <w:t>Hutchinson</w:t>
      </w:r>
      <w:proofErr w:type="spellEnd"/>
      <w:r>
        <w:rPr>
          <w:rFonts w:ascii="Traditional Arabic" w:eastAsia="Traditional Arabic" w:hAnsi="Traditional Arabic" w:cs="Traditional Arabic"/>
          <w:color w:val="2B2B2B"/>
          <w:sz w:val="22"/>
          <w:szCs w:val="22"/>
          <w:rtl/>
        </w:rPr>
        <w:t>.</w:t>
      </w:r>
    </w:p>
    <w:p w14:paraId="28ADCBFB" w14:textId="77777777" w:rsidR="00853581" w:rsidRDefault="005C2A2E">
      <w:pPr>
        <w:spacing w:before="240" w:after="140"/>
        <w:jc w:val="right"/>
      </w:pPr>
      <w:r>
        <w:rPr>
          <w:rFonts w:ascii="Traditional Arabic" w:eastAsia="Traditional Arabic" w:hAnsi="Traditional Arabic" w:cs="Traditional Arabic"/>
          <w:b/>
          <w:bCs/>
          <w:color w:val="B8860B"/>
          <w:sz w:val="24"/>
          <w:szCs w:val="24"/>
          <w:rtl/>
        </w:rPr>
        <w:t xml:space="preserve">◈ </w:t>
      </w:r>
      <w:r>
        <w:rPr>
          <w:rFonts w:ascii="Traditional Arabic" w:eastAsia="Traditional Arabic" w:hAnsi="Traditional Arabic" w:cs="Traditional Arabic"/>
          <w:b/>
          <w:bCs/>
          <w:i/>
          <w:iCs/>
          <w:color w:val="0E6F6C"/>
          <w:sz w:val="24"/>
          <w:szCs w:val="24"/>
          <w:rtl/>
        </w:rPr>
        <w:t>سادساً: مراجع في الفلسفة الإسلامية وعلم الكلام</w:t>
      </w:r>
    </w:p>
    <w:p w14:paraId="2E771D5F" w14:textId="77777777" w:rsidR="00853581" w:rsidRDefault="005C2A2E">
      <w:pPr>
        <w:spacing w:after="140" w:line="300" w:lineRule="auto"/>
        <w:ind w:right="260" w:hanging="260"/>
        <w:jc w:val="both"/>
      </w:pPr>
      <w:r>
        <w:rPr>
          <w:rFonts w:ascii="Traditional Arabic" w:eastAsia="Traditional Arabic" w:hAnsi="Traditional Arabic" w:cs="Traditional Arabic"/>
          <w:b/>
          <w:bCs/>
          <w:color w:val="0E6F6C"/>
          <w:sz w:val="22"/>
          <w:szCs w:val="22"/>
          <w:rtl/>
        </w:rPr>
        <w:t xml:space="preserve">18.  </w:t>
      </w:r>
      <w:r>
        <w:rPr>
          <w:rFonts w:ascii="Traditional Arabic" w:eastAsia="Traditional Arabic" w:hAnsi="Traditional Arabic" w:cs="Traditional Arabic"/>
          <w:color w:val="2B2B2B"/>
          <w:sz w:val="22"/>
          <w:szCs w:val="22"/>
          <w:rtl/>
        </w:rPr>
        <w:t>الغزالي، أبو حامد. (د.ت.). إحياء علوم الدين. بيروت: دار المعرفة.</w:t>
      </w:r>
    </w:p>
    <w:p w14:paraId="2AAEA067" w14:textId="77777777" w:rsidR="00853581" w:rsidRDefault="005C2A2E">
      <w:pPr>
        <w:spacing w:after="140" w:line="300" w:lineRule="auto"/>
        <w:ind w:right="260" w:hanging="260"/>
        <w:jc w:val="both"/>
      </w:pPr>
      <w:r>
        <w:rPr>
          <w:rFonts w:ascii="Traditional Arabic" w:eastAsia="Traditional Arabic" w:hAnsi="Traditional Arabic" w:cs="Traditional Arabic"/>
          <w:b/>
          <w:bCs/>
          <w:color w:val="0E6F6C"/>
          <w:sz w:val="22"/>
          <w:szCs w:val="22"/>
          <w:rtl/>
        </w:rPr>
        <w:t xml:space="preserve">19.  </w:t>
      </w:r>
      <w:r>
        <w:rPr>
          <w:rFonts w:ascii="Traditional Arabic" w:eastAsia="Traditional Arabic" w:hAnsi="Traditional Arabic" w:cs="Traditional Arabic"/>
          <w:color w:val="2B2B2B"/>
          <w:sz w:val="22"/>
          <w:szCs w:val="22"/>
          <w:rtl/>
        </w:rPr>
        <w:t>ابن القيم الجوزية. (د.ت.). مدارج السالكين بين منازل إياك نعبد وإياك نستعين. تحقيق: محمد حامد الفقي. بيروت: دار الكتاب العربي.</w:t>
      </w:r>
    </w:p>
    <w:sectPr w:rsidR="00853581">
      <w:headerReference w:type="default" r:id="rId7"/>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E3A32" w14:textId="77777777" w:rsidR="005C2A2E" w:rsidRDefault="005C2A2E">
      <w:r>
        <w:separator/>
      </w:r>
    </w:p>
  </w:endnote>
  <w:endnote w:type="continuationSeparator" w:id="0">
    <w:p w14:paraId="3DAF7D32" w14:textId="77777777" w:rsidR="005C2A2E" w:rsidRDefault="005C2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46C45" w14:textId="77777777" w:rsidR="00853581" w:rsidRDefault="005C2A2E">
    <w:pPr>
      <w:jc w:val="center"/>
    </w:pPr>
    <w:r>
      <w:rPr>
        <w:rFonts w:ascii="Traditional Arabic" w:eastAsia="Traditional Arabic" w:hAnsi="Traditional Arabic" w:cs="Traditional Arabic"/>
        <w:color w:val="1B3A5C"/>
        <w:sz w:val="18"/>
        <w:szCs w:val="18"/>
        <w:rtl/>
      </w:rPr>
      <w:fldChar w:fldCharType="begin"/>
    </w:r>
    <w:r>
      <w:rPr>
        <w:rFonts w:ascii="Traditional Arabic" w:eastAsia="Traditional Arabic" w:hAnsi="Traditional Arabic" w:cs="Traditional Arabic"/>
        <w:color w:val="1B3A5C"/>
        <w:sz w:val="18"/>
        <w:szCs w:val="18"/>
        <w:rtl/>
      </w:rPr>
      <w:instrText>PAGE</w:instrText>
    </w:r>
    <w:r>
      <w:rPr>
        <w:rFonts w:ascii="Traditional Arabic" w:eastAsia="Traditional Arabic" w:hAnsi="Traditional Arabic" w:cs="Traditional Arabic"/>
        <w:color w:val="1B3A5C"/>
        <w:sz w:val="18"/>
        <w:szCs w:val="18"/>
        <w:rtl/>
      </w:rPr>
      <w:fldChar w:fldCharType="separate"/>
    </w:r>
    <w:r>
      <w:rPr>
        <w:rFonts w:ascii="Traditional Arabic" w:eastAsia="Traditional Arabic" w:hAnsi="Traditional Arabic" w:cs="Traditional Arabic"/>
        <w:color w:val="1B3A5C"/>
        <w:sz w:val="18"/>
        <w:szCs w:val="18"/>
        <w:rtl/>
      </w:rPr>
      <w:fldChar w:fldCharType="end"/>
    </w:r>
    <w:r>
      <w:rPr>
        <w:rFonts w:ascii="Traditional Arabic" w:eastAsia="Traditional Arabic" w:hAnsi="Traditional Arabic" w:cs="Traditional Arabic"/>
        <w:color w:val="1B3A5C"/>
        <w:sz w:val="18"/>
        <w:szCs w:val="18"/>
        <w:rtl/>
      </w:rPr>
      <w:t xml:space="preserve"> / </w:t>
    </w:r>
    <w:r>
      <w:rPr>
        <w:rFonts w:ascii="Traditional Arabic" w:eastAsia="Traditional Arabic" w:hAnsi="Traditional Arabic" w:cs="Traditional Arabic"/>
        <w:color w:val="1B3A5C"/>
        <w:sz w:val="18"/>
        <w:szCs w:val="18"/>
        <w:rtl/>
      </w:rPr>
      <w:fldChar w:fldCharType="begin"/>
    </w:r>
    <w:r>
      <w:rPr>
        <w:rFonts w:ascii="Traditional Arabic" w:eastAsia="Traditional Arabic" w:hAnsi="Traditional Arabic" w:cs="Traditional Arabic"/>
        <w:color w:val="1B3A5C"/>
        <w:sz w:val="18"/>
        <w:szCs w:val="18"/>
        <w:rtl/>
      </w:rPr>
      <w:instrText>NUMPAGES</w:instrText>
    </w:r>
    <w:r>
      <w:rPr>
        <w:rFonts w:ascii="Traditional Arabic" w:eastAsia="Traditional Arabic" w:hAnsi="Traditional Arabic" w:cs="Traditional Arabic"/>
        <w:color w:val="1B3A5C"/>
        <w:sz w:val="18"/>
        <w:szCs w:val="18"/>
        <w:rtl/>
      </w:rPr>
      <w:fldChar w:fldCharType="separate"/>
    </w:r>
    <w:r>
      <w:rPr>
        <w:rFonts w:ascii="Traditional Arabic" w:eastAsia="Traditional Arabic" w:hAnsi="Traditional Arabic" w:cs="Traditional Arabic"/>
        <w:color w:val="1B3A5C"/>
        <w:sz w:val="18"/>
        <w:szCs w:val="18"/>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4E701" w14:textId="77777777" w:rsidR="005C2A2E" w:rsidRDefault="005C2A2E">
      <w:r>
        <w:separator/>
      </w:r>
    </w:p>
  </w:footnote>
  <w:footnote w:type="continuationSeparator" w:id="0">
    <w:p w14:paraId="200D6458" w14:textId="77777777" w:rsidR="005C2A2E" w:rsidRDefault="005C2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6D2B5" w14:textId="77777777" w:rsidR="00853581" w:rsidRDefault="005C2A2E">
    <w:pPr>
      <w:pBdr>
        <w:bottom w:val="single" w:sz="4" w:space="0" w:color="B8860B"/>
      </w:pBdr>
      <w:spacing w:after="100"/>
      <w:jc w:val="center"/>
    </w:pPr>
    <w:r>
      <w:rPr>
        <w:rFonts w:ascii="Traditional Arabic" w:eastAsia="Traditional Arabic" w:hAnsi="Traditional Arabic" w:cs="Traditional Arabic"/>
        <w:i/>
        <w:iCs/>
        <w:color w:val="0E6F6C"/>
        <w:sz w:val="18"/>
        <w:szCs w:val="18"/>
        <w:rtl/>
      </w:rPr>
      <w:t>علم النفس الاستخلافي — نظرية استخلافية للاكتئاب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7188E"/>
    <w:multiLevelType w:val="hybridMultilevel"/>
    <w:tmpl w:val="FFFFFFFF"/>
    <w:lvl w:ilvl="0" w:tplc="73FACE72">
      <w:start w:val="1"/>
      <w:numFmt w:val="bullet"/>
      <w:lvlText w:val="●"/>
      <w:lvlJc w:val="left"/>
      <w:pPr>
        <w:ind w:left="720" w:hanging="360"/>
      </w:pPr>
    </w:lvl>
    <w:lvl w:ilvl="1" w:tplc="63B8210E">
      <w:start w:val="1"/>
      <w:numFmt w:val="bullet"/>
      <w:lvlText w:val="○"/>
      <w:lvlJc w:val="left"/>
      <w:pPr>
        <w:ind w:left="1440" w:hanging="360"/>
      </w:pPr>
    </w:lvl>
    <w:lvl w:ilvl="2" w:tplc="5CFCBB0A">
      <w:start w:val="1"/>
      <w:numFmt w:val="bullet"/>
      <w:lvlText w:val="■"/>
      <w:lvlJc w:val="left"/>
      <w:pPr>
        <w:ind w:left="2160" w:hanging="360"/>
      </w:pPr>
    </w:lvl>
    <w:lvl w:ilvl="3" w:tplc="1234C62C">
      <w:start w:val="1"/>
      <w:numFmt w:val="bullet"/>
      <w:lvlText w:val="●"/>
      <w:lvlJc w:val="left"/>
      <w:pPr>
        <w:ind w:left="2880" w:hanging="360"/>
      </w:pPr>
    </w:lvl>
    <w:lvl w:ilvl="4" w:tplc="0994F220">
      <w:start w:val="1"/>
      <w:numFmt w:val="bullet"/>
      <w:lvlText w:val="○"/>
      <w:lvlJc w:val="left"/>
      <w:pPr>
        <w:ind w:left="3600" w:hanging="360"/>
      </w:pPr>
    </w:lvl>
    <w:lvl w:ilvl="5" w:tplc="80BAD718">
      <w:start w:val="1"/>
      <w:numFmt w:val="bullet"/>
      <w:lvlText w:val="■"/>
      <w:lvlJc w:val="left"/>
      <w:pPr>
        <w:ind w:left="4320" w:hanging="360"/>
      </w:pPr>
    </w:lvl>
    <w:lvl w:ilvl="6" w:tplc="767859A8">
      <w:start w:val="1"/>
      <w:numFmt w:val="bullet"/>
      <w:lvlText w:val="●"/>
      <w:lvlJc w:val="left"/>
      <w:pPr>
        <w:ind w:left="5040" w:hanging="360"/>
      </w:pPr>
    </w:lvl>
    <w:lvl w:ilvl="7" w:tplc="DCFA0EC8">
      <w:start w:val="1"/>
      <w:numFmt w:val="bullet"/>
      <w:lvlText w:val="●"/>
      <w:lvlJc w:val="left"/>
      <w:pPr>
        <w:ind w:left="5760" w:hanging="360"/>
      </w:pPr>
    </w:lvl>
    <w:lvl w:ilvl="8" w:tplc="6E6219F4">
      <w:start w:val="1"/>
      <w:numFmt w:val="bullet"/>
      <w:lvlText w:val="●"/>
      <w:lvlJc w:val="left"/>
      <w:pPr>
        <w:ind w:left="6480" w:hanging="360"/>
      </w:pPr>
    </w:lvl>
  </w:abstractNum>
  <w:num w:numId="1" w16cid:durableId="3070542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581"/>
    <w:rsid w:val="00066898"/>
    <w:rsid w:val="005C2A2E"/>
    <w:rsid w:val="008535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C337A1B"/>
  <w15:docId w15:val="{977851E2-9E5F-7C41-BBA2-672CDA86D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4205</Words>
  <Characters>23970</Characters>
  <Application>Microsoft Office Word</Application>
  <DocSecurity>0</DocSecurity>
  <Lines>199</Lines>
  <Paragraphs>56</Paragraphs>
  <ScaleCrop>false</ScaleCrop>
  <Company/>
  <LinksUpToDate>false</LinksUpToDate>
  <CharactersWithSpaces>28119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2</cp:revision>
  <dcterms:created xsi:type="dcterms:W3CDTF">2026-07-02T00:58:00Z</dcterms:created>
  <dcterms:modified xsi:type="dcterms:W3CDTF">2026-07-02T00:58:00Z</dcterms:modified>
</cp:coreProperties>
</file>