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440"/>
      </w:pPr>
      <w:r>
        <w:t xml:space="preserve"/>
      </w:r>
    </w:p>
    <w:p>
      <w:pPr>
        <w:spacing w:after="240" w:before="0"/>
        <w:jc w:val="center"/>
      </w:pPr>
      <w:r>
        <w:rPr>
          <w:rFonts w:ascii="Times New Roman" w:cs="Times New Roman" w:eastAsia="Times New Roman" w:hAnsi="Times New Roman"/>
          <w:b/>
          <w:bCs/>
          <w:color w:val="0D1B33"/>
          <w:sz w:val="48"/>
          <w:szCs w:val="48"/>
        </w:rPr>
        <w:t xml:space="preserve">ISTIKHLAFI (STEWARDSHIP) PSYCHOLOGY</w:t>
      </w:r>
    </w:p>
    <w:p>
      <w:pPr>
        <w:spacing w:after="240" w:before="0"/>
        <w:jc w:val="center"/>
      </w:pPr>
      <w:r>
        <w:rPr>
          <w:rFonts w:ascii="Times New Roman" w:cs="Times New Roman" w:eastAsia="Times New Roman" w:hAnsi="Times New Roman"/>
          <w:b/>
          <w:bCs/>
          <w:color w:val="1A3A6B"/>
          <w:sz w:val="36"/>
          <w:szCs w:val="36"/>
        </w:rPr>
        <w:t xml:space="preserve">Divine Decree and Human Freedom:</w:t>
      </w:r>
    </w:p>
    <w:p>
      <w:pPr>
        <w:spacing w:after="480" w:before="0"/>
        <w:jc w:val="center"/>
      </w:pPr>
      <w:r>
        <w:rPr>
          <w:rFonts w:ascii="Times New Roman" w:cs="Times New Roman" w:eastAsia="Times New Roman" w:hAnsi="Times New Roman"/>
          <w:i/>
          <w:iCs/>
          <w:color w:val="0A5E5E"/>
          <w:sz w:val="28"/>
          <w:szCs w:val="28"/>
        </w:rPr>
        <w:t xml:space="preserve">A Comparative Analysis Across Kalamic, Philosophical, and Istikhlafi Frameworks</w:t>
      </w:r>
    </w:p>
    <w:p>
      <w:pPr>
        <w:pBdr>
          <w:bottom w:val="single" w:color="9A7B1A" w:sz="4" w:space="4"/>
        </w:pBdr>
        <w:spacing w:after="160" w:before="160"/>
      </w:pPr>
      <w:r>
        <w:t xml:space="preserve"/>
      </w:r>
    </w:p>
    <w:p>
      <w:pPr>
        <w:spacing w:after="0" w:before="240"/>
      </w:pPr>
      <w:r>
        <w:t xml:space="preserve"/>
      </w:r>
    </w:p>
    <w:p>
      <w:pPr>
        <w:spacing w:after="80" w:before="120"/>
        <w:jc w:val="center"/>
      </w:pPr>
      <w:r>
        <w:rPr>
          <w:rFonts w:ascii="Times New Roman" w:cs="Times New Roman" w:eastAsia="Times New Roman" w:hAnsi="Times New Roman"/>
          <w:b/>
          <w:bCs/>
          <w:color w:val="0D1B33"/>
          <w:sz w:val="24"/>
          <w:szCs w:val="24"/>
        </w:rPr>
        <w:t xml:space="preserve">Researcher: Abd al-Salam al-Zaraa</w:t>
      </w:r>
    </w:p>
    <w:p>
      <w:pPr>
        <w:spacing w:after="80" w:before="0"/>
        <w:jc w:val="center"/>
      </w:pPr>
      <w:r>
        <w:rPr>
          <w:rFonts w:ascii="Times New Roman" w:cs="Times New Roman" w:eastAsia="Times New Roman" w:hAnsi="Times New Roman"/>
          <w:color w:val="0A5E5E"/>
          <w:sz w:val="22"/>
          <w:szCs w:val="22"/>
        </w:rPr>
        <w:t xml:space="preserve">Istikhlafi Psychology Framework — TLRT Protocol</w:t>
      </w:r>
    </w:p>
    <w:p>
      <w:pPr>
        <w:spacing w:after="0" w:before="480"/>
      </w:pPr>
      <w:r>
        <w:t xml:space="preserve"/>
      </w:r>
    </w:p>
    <w:p>
      <w:pPr>
        <w:spacing w:after="0" w:before="0"/>
        <w:jc w:val="center"/>
      </w:pPr>
      <w:r>
        <w:br w:type="page"/>
      </w:r>
    </w:p>
    <w:p>
      <w:pPr>
        <w:pStyle w:val="Heading1"/>
        <w:pageBreakBefore/>
        <w:spacing w:after="240" w:before="360"/>
      </w:pPr>
      <w:r>
        <w:rPr>
          <w:rFonts w:ascii="Times New Roman" w:cs="Times New Roman" w:eastAsia="Times New Roman" w:hAnsi="Times New Roman"/>
          <w:b/>
          <w:bCs/>
          <w:color w:val="0D1B33"/>
          <w:sz w:val="32"/>
          <w:szCs w:val="32"/>
        </w:rPr>
        <w:t xml:space="preserve">Prologue: The Encounter with the Istikhlafi Model</w:t>
      </w:r>
    </w:p>
    <w:p>
      <w:pPr>
        <w:spacing w:after="80" w:before="80"/>
        <w:jc w:val="both"/>
      </w:pPr>
      <w:r>
        <w:rPr>
          <w:rFonts w:ascii="Times New Roman" w:cs="Times New Roman" w:eastAsia="Times New Roman" w:hAnsi="Times New Roman"/>
          <w:sz w:val="22"/>
          <w:szCs w:val="22"/>
        </w:rPr>
        <w:t xml:space="preserve">This intellectual juncture intersects deeply with the Istikhlafi model: the self-reproaching soul (al-nafs al-lawwāma) is precisely this 'space' in which the human being pauses to review, to hold himself accountable, and to choose. Stewardship (al-istikhlāf) is the act of maximizing this margin of inner freedom and transforming it into an existential project.</w:t>
      </w:r>
    </w:p>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A5E5E" w:sz="6"/>
              <w:left w:val="single" w:color="0A5E5E" w:sz="6"/>
              <w:bottom w:val="single" w:color="0A5E5E" w:sz="6"/>
              <w:right w:val="single" w:color="0A5E5E" w:sz="6"/>
            </w:tcBorders>
            <w:shd w:fill="E8F4F4" w:val="clear"/>
            <w:tcMar>
              <w:top w:type="dxa" w:w="140"/>
              <w:left w:type="dxa" w:w="360"/>
              <w:bottom w:type="dxa" w:w="100"/>
              <w:right w:type="dxa" w:w="360"/>
            </w:tcMar>
          </w:tcPr>
          <w:p>
            <w:pPr>
              <w:spacing w:after="60" w:before="60"/>
              <w:jc w:val="both"/>
            </w:pPr>
            <w:r>
              <w:rPr>
                <w:rFonts w:ascii="Times New Roman" w:cs="Times New Roman" w:eastAsia="Times New Roman" w:hAnsi="Times New Roman"/>
                <w:i/>
                <w:iCs/>
                <w:color w:val="0D1B33"/>
                <w:sz w:val="22"/>
                <w:szCs w:val="22"/>
              </w:rPr>
              <w:t xml:space="preserve">"The strong believer is better and more beloved to Allah than the weak believer, though there is good in both. Strive for that which will benefit you, seek the help of Allah, and do not give up. If something befalls you, do not say: Had I done such-and-such, such-and-such would have happened. Rather say: Allah has decreed and what He wills He does — for verily, the word 'if' opens the door to the works of Satan."</w:t>
            </w:r>
          </w:p>
          <w:p>
            <w:pPr>
              <w:spacing w:after="0" w:before="40"/>
              <w:jc w:val="right"/>
            </w:pPr>
            <w:r>
              <w:rPr>
                <w:rFonts w:ascii="Times New Roman" w:cs="Times New Roman" w:eastAsia="Times New Roman" w:hAnsi="Times New Roman"/>
                <w:color w:val="0A5E5E"/>
                <w:sz w:val="18"/>
                <w:szCs w:val="18"/>
              </w:rPr>
              <w:t xml:space="preserve">Sahih Muslim, Kitab al-Qadar, Chapter: On the Command to Be Strong and the Prohibition of Helplessness</w:t>
            </w:r>
          </w:p>
        </w:tc>
      </w:tr>
    </w:tbl>
    <w:p>
      <w:pPr>
        <w:spacing w:after="0" w:before="120"/>
      </w:pPr>
      <w:r>
        <w:t xml:space="preserve"/>
      </w:r>
    </w:p>
    <w:p>
      <w:pPr>
        <w:spacing w:after="80" w:before="80"/>
        <w:jc w:val="both"/>
      </w:pPr>
      <w:r>
        <w:rPr>
          <w:rFonts w:ascii="Times New Roman" w:cs="Times New Roman" w:eastAsia="Times New Roman" w:hAnsi="Times New Roman"/>
          <w:sz w:val="22"/>
          <w:szCs w:val="22"/>
        </w:rPr>
        <w:t xml:space="preserve">This noble prophetic hadith establishes — in a brief statement — a complete practical philosophy: agency (strive, seek help), submission (Allah has decreed), and rejection of futile regret ('if' opens the door to Satan's works). This is precisely the central concern of Istikhlafi Psychology.</w:t>
      </w:r>
    </w:p>
    <w:p>
      <w:pPr>
        <w:pBdr>
          <w:bottom w:val="single" w:color="9A7B1A" w:sz="4" w:space="4"/>
        </w:pBdr>
        <w:spacing w:after="160" w:before="160"/>
      </w:pPr>
      <w:r>
        <w:t xml:space="preserve"/>
      </w:r>
    </w:p>
    <w:p>
      <w:pPr>
        <w:pStyle w:val="Heading1"/>
        <w:pageBreakBefore/>
        <w:spacing w:after="240" w:before="360"/>
      </w:pPr>
      <w:r>
        <w:rPr>
          <w:rFonts w:ascii="Times New Roman" w:cs="Times New Roman" w:eastAsia="Times New Roman" w:hAnsi="Times New Roman"/>
          <w:b/>
          <w:bCs/>
          <w:color w:val="0D1B33"/>
          <w:sz w:val="32"/>
          <w:szCs w:val="32"/>
        </w:rPr>
        <w:t xml:space="preserve">Part One: The Problem of Evil and Divine Justice — A Comparative Analysis</w:t>
      </w:r>
    </w:p>
    <w:p>
      <w:pPr>
        <w:pStyle w:val="Heading2"/>
        <w:spacing w:after="160" w:before="280"/>
      </w:pPr>
      <w:r>
        <w:rPr>
          <w:rFonts w:ascii="Times New Roman" w:cs="Times New Roman" w:eastAsia="Times New Roman" w:hAnsi="Times New Roman"/>
          <w:b/>
          <w:bCs/>
          <w:color w:val="1A3A6B"/>
          <w:sz w:val="26"/>
          <w:szCs w:val="26"/>
        </w:rPr>
        <w:t xml:space="preserve">Section Seven: The Problem of Evil (Theodicy)</w:t>
      </w:r>
    </w:p>
    <w:p>
      <w:pPr>
        <w:spacing w:after="80" w:before="80"/>
        <w:jc w:val="both"/>
      </w:pPr>
      <w:r>
        <w:rPr>
          <w:rFonts w:ascii="Times New Roman" w:cs="Times New Roman" w:eastAsia="Times New Roman" w:hAnsi="Times New Roman"/>
          <w:sz w:val="22"/>
          <w:szCs w:val="22"/>
        </w:rPr>
        <w:t xml:space="preserve">The problem of evil (Theodicy) remains one of the most complex philosophical challenges for any religious system. The following table classifies the principal approaches in Islamic and Western thought:</w:t>
      </w:r>
    </w:p>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680"/>
        <w:gridCol w:w="3680"/>
      </w:tblGrid>
      <w:tr>
        <w:trPr>
          <w:tblHeader/>
        </w:trPr>
        <w:tc>
          <w:tcPr>
            <w:tcW w:type="dxa" w:w="2000"/>
            <w:tcBorders>
              <w:top w:val="single" w:color="CCCCCC" w:sz="4"/>
              <w:left w:val="single" w:color="CCCCCC" w:sz="4"/>
              <w:bottom w:val="single" w:color="CCCCCC" w:sz="4"/>
              <w:right w:val="single" w:color="CCCCCC" w:sz="4"/>
            </w:tcBorders>
            <w:shd w:fill="0D1B33" w:val="clear"/>
            <w:tcMar>
              <w:top w:type="dxa" w:w="100"/>
              <w:left w:type="dxa" w:w="120"/>
              <w:bottom w:type="dxa" w:w="100"/>
              <w:right w:type="dxa" w:w="120"/>
            </w:tcMar>
            <w:vAlign w:val="center"/>
          </w:tcPr>
          <w:p>
            <w:pPr>
              <w:jc w:val="center"/>
            </w:pPr>
            <w:r>
              <w:rPr>
                <w:rFonts w:ascii="Times New Roman" w:cs="Times New Roman" w:eastAsia="Times New Roman" w:hAnsi="Times New Roman"/>
                <w:b/>
                <w:bCs/>
                <w:color w:val="FFFFFF"/>
                <w:sz w:val="20"/>
                <w:szCs w:val="20"/>
              </w:rPr>
              <w:t xml:space="preserve">Approach</w:t>
            </w:r>
          </w:p>
        </w:tc>
        <w:tc>
          <w:tcPr>
            <w:tcW w:type="dxa" w:w="3680"/>
            <w:tcBorders>
              <w:top w:val="single" w:color="CCCCCC" w:sz="4"/>
              <w:left w:val="single" w:color="CCCCCC" w:sz="4"/>
              <w:bottom w:val="single" w:color="CCCCCC" w:sz="4"/>
              <w:right w:val="single" w:color="CCCCCC" w:sz="4"/>
            </w:tcBorders>
            <w:shd w:fill="0D1B33" w:val="clear"/>
            <w:tcMar>
              <w:top w:type="dxa" w:w="100"/>
              <w:left w:type="dxa" w:w="120"/>
              <w:bottom w:type="dxa" w:w="100"/>
              <w:right w:type="dxa" w:w="120"/>
            </w:tcMar>
            <w:vAlign w:val="center"/>
          </w:tcPr>
          <w:p>
            <w:pPr>
              <w:jc w:val="center"/>
            </w:pPr>
            <w:r>
              <w:rPr>
                <w:rFonts w:ascii="Times New Roman" w:cs="Times New Roman" w:eastAsia="Times New Roman" w:hAnsi="Times New Roman"/>
                <w:b/>
                <w:bCs/>
                <w:color w:val="FFFFFF"/>
                <w:sz w:val="20"/>
                <w:szCs w:val="20"/>
              </w:rPr>
              <w:t xml:space="preserve">Core Content</w:t>
            </w:r>
          </w:p>
        </w:tc>
        <w:tc>
          <w:tcPr>
            <w:tcW w:type="dxa" w:w="3680"/>
            <w:tcBorders>
              <w:top w:val="single" w:color="CCCCCC" w:sz="4"/>
              <w:left w:val="single" w:color="CCCCCC" w:sz="4"/>
              <w:bottom w:val="single" w:color="CCCCCC" w:sz="4"/>
              <w:right w:val="single" w:color="CCCCCC" w:sz="4"/>
            </w:tcBorders>
            <w:shd w:fill="0D1B33" w:val="clear"/>
            <w:tcMar>
              <w:top w:type="dxa" w:w="100"/>
              <w:left w:type="dxa" w:w="120"/>
              <w:bottom w:type="dxa" w:w="100"/>
              <w:right w:type="dxa" w:w="120"/>
            </w:tcMar>
            <w:vAlign w:val="center"/>
          </w:tcPr>
          <w:p>
            <w:pPr>
              <w:jc w:val="center"/>
            </w:pPr>
            <w:r>
              <w:rPr>
                <w:rFonts w:ascii="Times New Roman" w:cs="Times New Roman" w:eastAsia="Times New Roman" w:hAnsi="Times New Roman"/>
                <w:b/>
                <w:bCs/>
                <w:color w:val="FFFFFF"/>
                <w:sz w:val="20"/>
                <w:szCs w:val="20"/>
              </w:rPr>
              <w:t xml:space="preserve">Key Difficulty</w:t>
            </w:r>
          </w:p>
        </w:tc>
      </w:tr>
      <w:tr>
        <w:tc>
          <w:tcPr>
            <w:tcW w:type="dxa" w:w="20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Mu'tazilite Approach</w:t>
            </w:r>
          </w:p>
        </w:tc>
        <w:tc>
          <w:tcPr>
            <w:tcW w:type="dxa" w:w="368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Moral evil originates from humanity alone. God neither wills nor creates evil.</w:t>
            </w:r>
          </w:p>
        </w:tc>
        <w:tc>
          <w:tcPr>
            <w:tcW w:type="dxa" w:w="368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Where does natural evil originate (earthquakes, epidemics)?</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Ash'arite Approach</w:t>
            </w:r>
          </w:p>
        </w:tc>
        <w:tc>
          <w:tcPr>
            <w:tcW w:type="dxa" w:w="368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All things occur by God's will; evil contains hidden wisdom. What appears evil is good in God's sight.</w:t>
            </w:r>
          </w:p>
        </w:tc>
        <w:tc>
          <w:tcPr>
            <w:tcW w:type="dxa" w:w="368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Makes the concept of divine justice appear contradictory on the surface.</w:t>
            </w:r>
          </w:p>
        </w:tc>
      </w:tr>
      <w:tr>
        <w:tc>
          <w:tcPr>
            <w:tcW w:type="dxa" w:w="20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Philosophical Approach</w:t>
            </w:r>
          </w:p>
        </w:tc>
        <w:tc>
          <w:tcPr>
            <w:tcW w:type="dxa" w:w="368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Evil is an ontological deficiency; the world is the best of possible worlds.</w:t>
            </w:r>
          </w:p>
        </w:tc>
        <w:tc>
          <w:tcPr>
            <w:tcW w:type="dxa" w:w="368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Does not address the concrete pain of the individual.</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Leibnizian Theodicy</w:t>
            </w:r>
          </w:p>
        </w:tc>
        <w:tc>
          <w:tcPr>
            <w:tcW w:type="dxa" w:w="368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Our world is the best of all possible worlds in God's knowledge.</w:t>
            </w:r>
          </w:p>
        </w:tc>
        <w:tc>
          <w:tcPr>
            <w:tcW w:type="dxa" w:w="368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Voltaire refuted this with the Lisbon earthquake of 1755.</w:t>
            </w:r>
          </w:p>
        </w:tc>
      </w:tr>
      <w:tr>
        <w:tc>
          <w:tcPr>
            <w:tcW w:type="dxa" w:w="20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Frankl's Approach</w:t>
            </w:r>
          </w:p>
        </w:tc>
        <w:tc>
          <w:tcPr>
            <w:tcW w:type="dxa" w:w="368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Evil is an opportunity to find meaning; freedom generates meaning from suffering.</w:t>
            </w:r>
          </w:p>
        </w:tc>
        <w:tc>
          <w:tcPr>
            <w:tcW w:type="dxa" w:w="368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Does not answer why evil exists, only how to respond to it.</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Istikhlafi Approach</w:t>
            </w:r>
          </w:p>
        </w:tc>
        <w:tc>
          <w:tcPr>
            <w:tcW w:type="dxa" w:w="368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Evil is the product of free choice + divine trial. Satan is an agent of temptation, not a deterministic cause.</w:t>
            </w:r>
          </w:p>
        </w:tc>
        <w:tc>
          <w:tcPr>
            <w:tcW w:type="dxa" w:w="368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Integrates individual responsibility with the unseen dimension.</w:t>
            </w:r>
          </w:p>
        </w:tc>
      </w:tr>
    </w:tbl>
    <w:p>
      <w:pPr>
        <w:spacing w:after="0" w:before="200"/>
      </w:pPr>
      <w:r>
        <w:t xml:space="preserve"/>
      </w:r>
    </w:p>
    <w:p>
      <w:pPr>
        <w:pStyle w:val="Heading2"/>
        <w:spacing w:after="160" w:before="280"/>
      </w:pPr>
      <w:r>
        <w:rPr>
          <w:rFonts w:ascii="Times New Roman" w:cs="Times New Roman" w:eastAsia="Times New Roman" w:hAnsi="Times New Roman"/>
          <w:b/>
          <w:bCs/>
          <w:color w:val="1A3A6B"/>
          <w:sz w:val="26"/>
          <w:szCs w:val="26"/>
        </w:rPr>
        <w:t xml:space="preserve">Section Eight: Summary of Part One</w:t>
      </w:r>
    </w:p>
    <w:p>
      <w:pPr>
        <w:spacing w:after="80" w:before="80"/>
        <w:jc w:val="both"/>
      </w:pPr>
      <w:r>
        <w:rPr>
          <w:rFonts w:ascii="Times New Roman" w:cs="Times New Roman" w:eastAsia="Times New Roman" w:hAnsi="Times New Roman"/>
          <w:sz w:val="22"/>
          <w:szCs w:val="22"/>
        </w:rPr>
        <w:t xml:space="preserve">Islamic kalamic thought (Mu'tazilites and Ash'arites), Islamic philosophy (Ibn Sina and al-Farabi), and modern Western philosophy (Kant, Sartre, and Frankl) have all offered valuable attempts to understand the relationship between humanity, God, and the cosmos in the question of divine decree. Yet all these attempts remain — to varying degrees — confined within the framework of debate over "predetermination versus free will" as a logical rather than existential binary.</w:t>
      </w:r>
    </w:p>
    <w:p>
      <w:pPr>
        <w:spacing w:after="80" w:before="80"/>
        <w:jc w:val="both"/>
      </w:pPr>
      <w:r>
        <w:rPr>
          <w:rFonts w:ascii="Times New Roman" w:cs="Times New Roman" w:eastAsia="Times New Roman" w:hAnsi="Times New Roman"/>
          <w:sz w:val="22"/>
          <w:szCs w:val="22"/>
        </w:rPr>
        <w:t xml:space="preserve">The Mu'tazilites offered the most rationally and ethically coherent solution; the Ash'arites offered the most doctrinally conservative; the philosophers offered the most metaphysically abstract; and the determinists offered the least logically and morally consistent.</w:t>
      </w:r>
    </w:p>
    <w:p>
      <w:pPr>
        <w:spacing w:after="80" w:before="80"/>
        <w:jc w:val="both"/>
      </w:pPr>
      <w:r>
        <w:rPr>
          <w:rFonts w:ascii="Times New Roman" w:cs="Times New Roman" w:eastAsia="Times New Roman" w:hAnsi="Times New Roman"/>
          <w:sz w:val="22"/>
          <w:szCs w:val="22"/>
        </w:rPr>
        <w:t xml:space="preserve">Modern Western philosophy (Kant, Sartre, Frankl) enriches the scene with new dimensions: freedom as a necessary moral postulate (Kant), freedom as a radical confrontation with the nihilism of nature (Sartre), and freedom as an inner space salvaged by meaning (Frankl). Yet these Western contributions lack what the Istikhlafi model provides: a comprehensive existential vision integrating innate structure, existential responsibility, and stewardship purpose.</w:t>
      </w:r>
    </w:p>
    <w:p>
      <w:pPr>
        <w:pBdr>
          <w:bottom w:val="single" w:color="9A7B1A" w:sz="4" w:space="4"/>
        </w:pBdr>
        <w:spacing w:after="160" w:before="160"/>
      </w:pPr>
      <w:r>
        <w:t xml:space="preserve"/>
      </w:r>
    </w:p>
    <w:p>
      <w:pPr>
        <w:pStyle w:val="Heading1"/>
        <w:pageBreakBefore/>
        <w:spacing w:after="240" w:before="360"/>
      </w:pPr>
      <w:r>
        <w:rPr>
          <w:rFonts w:ascii="Times New Roman" w:cs="Times New Roman" w:eastAsia="Times New Roman" w:hAnsi="Times New Roman"/>
          <w:b/>
          <w:bCs/>
          <w:color w:val="0D1B33"/>
          <w:sz w:val="32"/>
          <w:szCs w:val="32"/>
        </w:rPr>
        <w:t xml:space="preserve">Part Two: Divine Decree in the Light of Istikhlafi Psychology</w:t>
      </w:r>
    </w:p>
    <w:p>
      <w:pPr>
        <w:pStyle w:val="Heading2"/>
        <w:spacing w:after="160" w:before="280"/>
      </w:pPr>
      <w:r>
        <w:rPr>
          <w:rFonts w:ascii="Times New Roman" w:cs="Times New Roman" w:eastAsia="Times New Roman" w:hAnsi="Times New Roman"/>
          <w:b/>
          <w:bCs/>
          <w:color w:val="1A3A6B"/>
          <w:sz w:val="26"/>
          <w:szCs w:val="26"/>
        </w:rPr>
        <w:t xml:space="preserve">Preamble: From the Binary of Predetermination and Free Will to the Architecture of Fiṭra and Responsibility</w:t>
      </w:r>
    </w:p>
    <w:p>
      <w:pPr>
        <w:spacing w:after="80" w:before="80"/>
        <w:jc w:val="both"/>
      </w:pPr>
      <w:r>
        <w:rPr>
          <w:rFonts w:ascii="Times New Roman" w:cs="Times New Roman" w:eastAsia="Times New Roman" w:hAnsi="Times New Roman"/>
          <w:sz w:val="22"/>
          <w:szCs w:val="22"/>
        </w:rPr>
        <w:t xml:space="preserve">Istikhlafi Psychology, as developed by researcher Abd al-Salam al-Zaraa, departs from an entirely different foundation than traditional kalamic debate. Rather than preoccupying itself with the question 'Is the human being compelled or free?' — a binary that may lead to a theoretical dead end — the model poses a more productive and profound existential question:</w:t>
      </w:r>
    </w:p>
    <w:p>
      <w:pPr>
        <w:spacing w:after="80" w:before="120"/>
        <w:jc w:val="center"/>
      </w:pPr>
      <w:r>
        <w:rPr>
          <w:rFonts w:ascii="Times New Roman" w:cs="Times New Roman" w:eastAsia="Times New Roman" w:hAnsi="Times New Roman"/>
          <w:b/>
          <w:bCs/>
          <w:i/>
          <w:iCs/>
          <w:color w:val="1A3A6B"/>
          <w:sz w:val="23"/>
          <w:szCs w:val="23"/>
        </w:rPr>
        <w:t xml:space="preserve">How can the human being employ his freedom to realize stewardship (istikhlāf) and cultivate the earth?</w:t>
      </w:r>
    </w:p>
    <w:p>
      <w:pPr>
        <w:spacing w:after="120" w:before="0"/>
        <w:jc w:val="center"/>
      </w:pPr>
      <w:r>
        <w:rPr>
          <w:rFonts w:ascii="Times New Roman" w:cs="Times New Roman" w:eastAsia="Times New Roman" w:hAnsi="Times New Roman"/>
          <w:b/>
          <w:bCs/>
          <w:i/>
          <w:iCs/>
          <w:color w:val="1A3A6B"/>
          <w:sz w:val="23"/>
          <w:szCs w:val="23"/>
        </w:rPr>
        <w:t xml:space="preserve">How can the God-given fiṭra (innate nature) be a framework for freedom rather than a prison?</w:t>
      </w:r>
    </w:p>
    <w:p>
      <w:pPr>
        <w:spacing w:after="80" w:before="80"/>
        <w:jc w:val="both"/>
      </w:pPr>
      <w:r>
        <w:rPr>
          <w:rFonts w:ascii="Times New Roman" w:cs="Times New Roman" w:eastAsia="Times New Roman" w:hAnsi="Times New Roman"/>
          <w:sz w:val="22"/>
          <w:szCs w:val="22"/>
        </w:rPr>
        <w:t xml:space="preserve">This shift in the formulation of the question is itself methodological and therapeutic: instead of seeking a theoretical answer about the nature of freedom, the model guides the human being toward employing his freedom in a stewardship manner, leaving the kalamic debate to its specialists.</w:t>
      </w:r>
    </w:p>
    <w:p>
      <w:pPr>
        <w:spacing w:after="0" w:before="120"/>
      </w:pPr>
      <w:r>
        <w:t xml:space="preserve"/>
      </w:r>
    </w:p>
    <w:p>
      <w:pPr>
        <w:spacing w:after="80" w:before="80"/>
        <w:jc w:val="both"/>
      </w:pPr>
      <w:r>
        <w:rPr>
          <w:rFonts w:ascii="Times New Roman" w:cs="Times New Roman" w:eastAsia="Times New Roman" w:hAnsi="Times New Roman"/>
          <w:b/>
          <w:bCs/>
          <w:sz w:val="22"/>
          <w:szCs w:val="22"/>
        </w:rPr>
        <w:t xml:space="preserve">The Istikhlafi model rests on five intertwined pivotal concepts:</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480"/>
        <w:gridCol w:w="3880"/>
      </w:tblGrid>
      <w:tr>
        <w:trPr>
          <w:tblHeader/>
        </w:trPr>
        <w:tc>
          <w:tcPr>
            <w:tcW w:type="dxa" w:w="2000"/>
            <w:tcBorders>
              <w:top w:val="single" w:color="CCCCCC" w:sz="4"/>
              <w:left w:val="single" w:color="CCCCCC" w:sz="4"/>
              <w:bottom w:val="single" w:color="CCCCCC" w:sz="4"/>
              <w:right w:val="single" w:color="CCCCCC" w:sz="4"/>
            </w:tcBorders>
            <w:shd w:fill="0D1B33" w:val="clear"/>
            <w:tcMar>
              <w:top w:type="dxa" w:w="100"/>
              <w:left w:type="dxa" w:w="120"/>
              <w:bottom w:type="dxa" w:w="100"/>
              <w:right w:type="dxa" w:w="120"/>
            </w:tcMar>
            <w:vAlign w:val="center"/>
          </w:tcPr>
          <w:p>
            <w:pPr>
              <w:jc w:val="center"/>
            </w:pPr>
            <w:r>
              <w:rPr>
                <w:rFonts w:ascii="Times New Roman" w:cs="Times New Roman" w:eastAsia="Times New Roman" w:hAnsi="Times New Roman"/>
                <w:b/>
                <w:bCs/>
                <w:color w:val="FFFFFF"/>
                <w:sz w:val="20"/>
                <w:szCs w:val="20"/>
              </w:rPr>
              <w:t xml:space="preserve">Concept</w:t>
            </w:r>
          </w:p>
        </w:tc>
        <w:tc>
          <w:tcPr>
            <w:tcW w:type="dxa" w:w="3480"/>
            <w:tcBorders>
              <w:top w:val="single" w:color="CCCCCC" w:sz="4"/>
              <w:left w:val="single" w:color="CCCCCC" w:sz="4"/>
              <w:bottom w:val="single" w:color="CCCCCC" w:sz="4"/>
              <w:right w:val="single" w:color="CCCCCC" w:sz="4"/>
            </w:tcBorders>
            <w:shd w:fill="0D1B33" w:val="clear"/>
            <w:tcMar>
              <w:top w:type="dxa" w:w="100"/>
              <w:left w:type="dxa" w:w="120"/>
              <w:bottom w:type="dxa" w:w="100"/>
              <w:right w:type="dxa" w:w="120"/>
            </w:tcMar>
            <w:vAlign w:val="center"/>
          </w:tcPr>
          <w:p>
            <w:pPr>
              <w:jc w:val="center"/>
            </w:pPr>
            <w:r>
              <w:rPr>
                <w:rFonts w:ascii="Times New Roman" w:cs="Times New Roman" w:eastAsia="Times New Roman" w:hAnsi="Times New Roman"/>
                <w:b/>
                <w:bCs/>
                <w:color w:val="FFFFFF"/>
                <w:sz w:val="20"/>
                <w:szCs w:val="20"/>
              </w:rPr>
              <w:t xml:space="preserve">Definition</w:t>
            </w:r>
          </w:p>
        </w:tc>
        <w:tc>
          <w:tcPr>
            <w:tcW w:type="dxa" w:w="3880"/>
            <w:tcBorders>
              <w:top w:val="single" w:color="CCCCCC" w:sz="4"/>
              <w:left w:val="single" w:color="CCCCCC" w:sz="4"/>
              <w:bottom w:val="single" w:color="CCCCCC" w:sz="4"/>
              <w:right w:val="single" w:color="CCCCCC" w:sz="4"/>
            </w:tcBorders>
            <w:shd w:fill="0D1B33" w:val="clear"/>
            <w:tcMar>
              <w:top w:type="dxa" w:w="100"/>
              <w:left w:type="dxa" w:w="120"/>
              <w:bottom w:type="dxa" w:w="100"/>
              <w:right w:type="dxa" w:w="120"/>
            </w:tcMar>
            <w:vAlign w:val="center"/>
          </w:tcPr>
          <w:p>
            <w:pPr>
              <w:jc w:val="center"/>
            </w:pPr>
            <w:r>
              <w:rPr>
                <w:rFonts w:ascii="Times New Roman" w:cs="Times New Roman" w:eastAsia="Times New Roman" w:hAnsi="Times New Roman"/>
                <w:b/>
                <w:bCs/>
                <w:color w:val="FFFFFF"/>
                <w:sz w:val="20"/>
                <w:szCs w:val="20"/>
              </w:rPr>
              <w:t xml:space="preserve">Role in the Question of Qadar</w:t>
            </w:r>
          </w:p>
        </w:tc>
      </w:tr>
      <w:tr>
        <w:tc>
          <w:tcPr>
            <w:tcW w:type="dxa" w:w="20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The Dual Fiṭra</w:t>
            </w:r>
          </w:p>
        </w:tc>
        <w:tc>
          <w:tcPr>
            <w:tcW w:type="dxa" w:w="348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Sinfulness (fujūr) and God-consciousness (taqwā) as two innate, opposing dispositions deposited by God in the human soul.</w:t>
            </w:r>
          </w:p>
        </w:tc>
        <w:tc>
          <w:tcPr>
            <w:tcW w:type="dxa" w:w="388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Defines the framework of freedom: the human is free to choose between two existential poles.</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Levels of the Soul</w:t>
            </w:r>
          </w:p>
        </w:tc>
        <w:tc>
          <w:tcPr>
            <w:tcW w:type="dxa" w:w="348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The commanding soul (al-ammāra, inclining toward passion) → the self-reproaching soul (al-lawwāma, self-accounting) → the tranquil soul (al-muṭma'inna, serenity).</w:t>
            </w:r>
          </w:p>
        </w:tc>
        <w:tc>
          <w:tcPr>
            <w:tcW w:type="dxa" w:w="388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Depicts the path of responsible freedom toward stewardship.</w:t>
            </w:r>
          </w:p>
        </w:tc>
      </w:tr>
      <w:tr>
        <w:tc>
          <w:tcPr>
            <w:tcW w:type="dxa" w:w="20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The Eight Ribs (al-Aḍlāʿ al-Thamāniya)</w:t>
            </w:r>
          </w:p>
        </w:tc>
        <w:tc>
          <w:tcPr>
            <w:tcW w:type="dxa" w:w="348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The network of psychodynamics among levels and between them and the Fourth Dimension.</w:t>
            </w:r>
          </w:p>
        </w:tc>
        <w:tc>
          <w:tcPr>
            <w:tcW w:type="dxa" w:w="388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Maps the contours of choice and consequence.</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The Fourth Dimension</w:t>
            </w:r>
          </w:p>
        </w:tc>
        <w:tc>
          <w:tcPr>
            <w:tcW w:type="dxa" w:w="348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Satan (temptation) and Divine Mercy (divine guidance), neither of which compels.</w:t>
            </w:r>
          </w:p>
        </w:tc>
        <w:tc>
          <w:tcPr>
            <w:tcW w:type="dxa" w:w="388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Clarifies that evil is a test, not a predetermined verdict.</w:t>
            </w:r>
          </w:p>
        </w:tc>
      </w:tr>
      <w:tr>
        <w:tc>
          <w:tcPr>
            <w:tcW w:type="dxa" w:w="20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Stewardship (al-Istikhlāf)</w:t>
            </w:r>
          </w:p>
        </w:tc>
        <w:tc>
          <w:tcPr>
            <w:tcW w:type="dxa" w:w="348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The existential purpose of humanity: cultivating the earth with justice and goodness.</w:t>
            </w:r>
          </w:p>
        </w:tc>
        <w:tc>
          <w:tcPr>
            <w:tcW w:type="dxa" w:w="388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Transforms the question of qadar from theory into an existential project.</w:t>
            </w:r>
          </w:p>
        </w:tc>
      </w:tr>
    </w:tbl>
    <w:p>
      <w:pPr>
        <w:spacing w:after="0" w:before="200"/>
      </w:pPr>
      <w:r>
        <w:t xml:space="preserve"/>
      </w:r>
    </w:p>
    <w:p>
      <w:pPr>
        <w:pStyle w:val="Heading2"/>
        <w:spacing w:after="160" w:before="280"/>
      </w:pPr>
      <w:r>
        <w:rPr>
          <w:rFonts w:ascii="Times New Roman" w:cs="Times New Roman" w:eastAsia="Times New Roman" w:hAnsi="Times New Roman"/>
          <w:b/>
          <w:bCs/>
          <w:color w:val="1A3A6B"/>
          <w:sz w:val="26"/>
          <w:szCs w:val="26"/>
        </w:rPr>
        <w:t xml:space="preserve">Section One: The Fiṭra as an Ethical Operating System — In-Depth Analysis</w:t>
      </w:r>
    </w:p>
    <w:p>
      <w:pPr>
        <w:pStyle w:val="Heading3"/>
        <w:spacing w:after="120" w:before="200"/>
      </w:pPr>
      <w:r>
        <w:rPr>
          <w:rFonts w:ascii="Times New Roman" w:cs="Times New Roman" w:eastAsia="Times New Roman" w:hAnsi="Times New Roman"/>
          <w:b/>
          <w:bCs/>
          <w:color w:val="0A5E5E"/>
          <w:sz w:val="24"/>
          <w:szCs w:val="24"/>
        </w:rPr>
        <w:t xml:space="preserve">1. The Dual Fiṭra Between the Quran and Psychology</w:t>
      </w:r>
    </w:p>
    <w:p>
      <w:pPr>
        <w:spacing w:after="80" w:before="80"/>
        <w:jc w:val="both"/>
      </w:pPr>
      <w:r>
        <w:rPr>
          <w:rFonts w:ascii="Times New Roman" w:cs="Times New Roman" w:eastAsia="Times New Roman" w:hAnsi="Times New Roman"/>
          <w:sz w:val="22"/>
          <w:szCs w:val="22"/>
        </w:rPr>
        <w:t xml:space="preserve">In Istikhlafi Psychology, the human being is neither 'compelled' nor 'absolutely free' in a vacuum; rather, he is innately endowed with opposing dispositions (sinfulness and God-consciousness).</w:t>
      </w:r>
    </w:p>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A7B1A" w:sz="8"/>
              <w:left w:val="single" w:color="9A7B1A" w:sz="8"/>
              <w:bottom w:val="single" w:color="9A7B1A" w:sz="8"/>
              <w:right w:val="single" w:color="9A7B1A" w:sz="8"/>
            </w:tcBorders>
            <w:shd w:fill="FDF6E3" w:val="clear"/>
            <w:tcMar>
              <w:top w:type="dxa" w:w="160"/>
              <w:left w:type="dxa" w:w="360"/>
              <w:bottom w:type="dxa" w:w="120"/>
              <w:right w:type="dxa" w:w="360"/>
            </w:tcMar>
          </w:tcPr>
          <w:p>
            <w:pPr>
              <w:spacing w:after="60" w:before="60"/>
              <w:jc w:val="center"/>
            </w:pPr>
            <w:r>
              <w:rPr>
                <w:rFonts w:ascii="Traditional Arabic" w:cs="Traditional Arabic" w:eastAsia="Traditional Arabic" w:hAnsi="Traditional Arabic"/>
                <w:b/>
                <w:bCs/>
                <w:color w:val="0D1B33"/>
                <w:sz w:val="26"/>
                <w:szCs w:val="26"/>
              </w:rPr>
              <w:t xml:space="preserve">وَنَفْسٍ وَمَا سَوَّاهَا ۞ فَأَلْهَمَهَا فُجُورَهَا وَتَقْوَاهَا</w:t>
            </w:r>
          </w:p>
          <w:p>
            <w:pPr>
              <w:spacing w:after="0" w:before="40"/>
              <w:jc w:val="center"/>
            </w:pPr>
            <w:r>
              <w:rPr>
                <w:rFonts w:ascii="Times New Roman" w:cs="Times New Roman" w:eastAsia="Times New Roman" w:hAnsi="Times New Roman"/>
                <w:i/>
                <w:iCs/>
                <w:color w:val="9A7B1A"/>
                <w:sz w:val="20"/>
                <w:szCs w:val="20"/>
              </w:rPr>
              <w:t xml:space="preserve">By the soul and He who fashioned it and inspired it with its sinfulness and its God-consciousness. (Al-Shams: 7-8)</w:t>
            </w:r>
          </w:p>
        </w:tc>
      </w:tr>
    </w:tbl>
    <w:p>
      <w:pPr>
        <w:spacing w:after="0" w:before="120"/>
      </w:pPr>
      <w:r>
        <w:t xml:space="preserve"/>
      </w:r>
    </w:p>
    <w:p>
      <w:pPr>
        <w:spacing w:after="80" w:before="80"/>
        <w:jc w:val="both"/>
      </w:pPr>
      <w:r>
        <w:rPr>
          <w:rFonts w:ascii="Times New Roman" w:cs="Times New Roman" w:eastAsia="Times New Roman" w:hAnsi="Times New Roman"/>
          <w:sz w:val="22"/>
          <w:szCs w:val="22"/>
        </w:rPr>
        <w:t xml:space="preserve">A precise semantic-linguistic observation: the verb alhama ("inspired") in the verse differs radically from ajbara ("compelled") or khalaqa ("created"). Inspiration is the depositing of disposition and inner discernment in the soul, not the imposition of a specific behavior. Hence the verb is in the active voice (God inspired) while preserving the soul's freedom to choose. The explicit distinction then follows: {Successful indeed is he who purifies it, and failed is he who corrupts it} — purification and corruption are acts of the human being; flourishing and failure are their consequences. Inspiration is fiṭra; purification is choice.</w:t>
      </w:r>
    </w:p>
    <w:p>
      <w:pPr>
        <w:spacing w:after="80" w:before="80"/>
        <w:jc w:val="both"/>
      </w:pPr>
      <w:r>
        <w:rPr>
          <w:rFonts w:ascii="Times New Roman" w:cs="Times New Roman" w:eastAsia="Times New Roman" w:hAnsi="Times New Roman"/>
          <w:sz w:val="22"/>
          <w:szCs w:val="22"/>
        </w:rPr>
        <w:t xml:space="preserve">This Quranic analysis presents a 'bounded freedom' theory in condensed form: the human being is constrained by fiṭra (he cannot exit the condition of being human, disposed toward sinfulness or God-consciousness by potential), yet he is free to favor one over the other. This is more precise and profound than the binary of 'compelled / free' that preoccupied the Muslim theologians.</w:t>
      </w:r>
    </w:p>
    <w:p>
      <w:pPr>
        <w:pStyle w:val="Heading3"/>
        <w:spacing w:after="120" w:before="200"/>
      </w:pPr>
      <w:r>
        <w:rPr>
          <w:rFonts w:ascii="Times New Roman" w:cs="Times New Roman" w:eastAsia="Times New Roman" w:hAnsi="Times New Roman"/>
          <w:b/>
          <w:bCs/>
          <w:color w:val="0A5E5E"/>
          <w:sz w:val="24"/>
          <w:szCs w:val="24"/>
        </w:rPr>
        <w:t xml:space="preserve">2. Fiṭra Compared to Western Frameworks</w:t>
      </w:r>
    </w:p>
    <w:p>
      <w:pPr>
        <w:spacing w:after="80" w:before="80"/>
        <w:jc w:val="both"/>
      </w:pPr>
      <w:r>
        <w:rPr>
          <w:rFonts w:ascii="Times New Roman" w:cs="Times New Roman" w:eastAsia="Times New Roman" w:hAnsi="Times New Roman"/>
          <w:sz w:val="22"/>
          <w:szCs w:val="22"/>
        </w:rPr>
        <w:t xml:space="preserve">When we compare the Istikhlafi concept of fiṭra with its Western counterparts, a fundamental difference becomes apparent:</w:t>
      </w:r>
    </w:p>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680"/>
        <w:gridCol w:w="3480"/>
      </w:tblGrid>
      <w:tr>
        <w:trPr>
          <w:tblHeader/>
        </w:trPr>
        <w:tc>
          <w:tcPr>
            <w:tcW w:type="dxa" w:w="2200"/>
            <w:tcBorders>
              <w:top w:val="single" w:color="CCCCCC" w:sz="4"/>
              <w:left w:val="single" w:color="CCCCCC" w:sz="4"/>
              <w:bottom w:val="single" w:color="CCCCCC" w:sz="4"/>
              <w:right w:val="single" w:color="CCCCCC" w:sz="4"/>
            </w:tcBorders>
            <w:shd w:fill="0D1B33" w:val="clear"/>
            <w:tcMar>
              <w:top w:type="dxa" w:w="100"/>
              <w:left w:type="dxa" w:w="120"/>
              <w:bottom w:type="dxa" w:w="100"/>
              <w:right w:type="dxa" w:w="120"/>
            </w:tcMar>
            <w:vAlign w:val="center"/>
          </w:tcPr>
          <w:p>
            <w:pPr>
              <w:jc w:val="center"/>
            </w:pPr>
            <w:r>
              <w:rPr>
                <w:rFonts w:ascii="Times New Roman" w:cs="Times New Roman" w:eastAsia="Times New Roman" w:hAnsi="Times New Roman"/>
                <w:b/>
                <w:bCs/>
                <w:color w:val="FFFFFF"/>
                <w:sz w:val="20"/>
                <w:szCs w:val="20"/>
              </w:rPr>
              <w:t xml:space="preserve">Framework</w:t>
            </w:r>
          </w:p>
        </w:tc>
        <w:tc>
          <w:tcPr>
            <w:tcW w:type="dxa" w:w="3680"/>
            <w:tcBorders>
              <w:top w:val="single" w:color="CCCCCC" w:sz="4"/>
              <w:left w:val="single" w:color="CCCCCC" w:sz="4"/>
              <w:bottom w:val="single" w:color="CCCCCC" w:sz="4"/>
              <w:right w:val="single" w:color="CCCCCC" w:sz="4"/>
            </w:tcBorders>
            <w:shd w:fill="0D1B33" w:val="clear"/>
            <w:tcMar>
              <w:top w:type="dxa" w:w="100"/>
              <w:left w:type="dxa" w:w="120"/>
              <w:bottom w:type="dxa" w:w="100"/>
              <w:right w:type="dxa" w:w="120"/>
            </w:tcMar>
            <w:vAlign w:val="center"/>
          </w:tcPr>
          <w:p>
            <w:pPr>
              <w:jc w:val="center"/>
            </w:pPr>
            <w:r>
              <w:rPr>
                <w:rFonts w:ascii="Times New Roman" w:cs="Times New Roman" w:eastAsia="Times New Roman" w:hAnsi="Times New Roman"/>
                <w:b/>
                <w:bCs/>
                <w:color w:val="FFFFFF"/>
                <w:sz w:val="20"/>
                <w:szCs w:val="20"/>
              </w:rPr>
              <w:t xml:space="preserve">Position on Human Nature</w:t>
            </w:r>
          </w:p>
        </w:tc>
        <w:tc>
          <w:tcPr>
            <w:tcW w:type="dxa" w:w="3480"/>
            <w:tcBorders>
              <w:top w:val="single" w:color="CCCCCC" w:sz="4"/>
              <w:left w:val="single" w:color="CCCCCC" w:sz="4"/>
              <w:bottom w:val="single" w:color="CCCCCC" w:sz="4"/>
              <w:right w:val="single" w:color="CCCCCC" w:sz="4"/>
            </w:tcBorders>
            <w:shd w:fill="0D1B33" w:val="clear"/>
            <w:tcMar>
              <w:top w:type="dxa" w:w="100"/>
              <w:left w:type="dxa" w:w="120"/>
              <w:bottom w:type="dxa" w:w="100"/>
              <w:right w:type="dxa" w:w="120"/>
            </w:tcMar>
            <w:vAlign w:val="center"/>
          </w:tcPr>
          <w:p>
            <w:pPr>
              <w:jc w:val="center"/>
            </w:pPr>
            <w:r>
              <w:rPr>
                <w:rFonts w:ascii="Times New Roman" w:cs="Times New Roman" w:eastAsia="Times New Roman" w:hAnsi="Times New Roman"/>
                <w:b/>
                <w:bCs/>
                <w:color w:val="FFFFFF"/>
                <w:sz w:val="20"/>
                <w:szCs w:val="20"/>
              </w:rPr>
              <w:t xml:space="preserve">Problem</w:t>
            </w:r>
          </w:p>
        </w:tc>
      </w:tr>
      <w:tr>
        <w:tc>
          <w:tcPr>
            <w:tcW w:type="dxa" w:w="22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Sartre (Existentialism)</w:t>
            </w:r>
          </w:p>
        </w:tc>
        <w:tc>
          <w:tcPr>
            <w:tcW w:type="dxa" w:w="368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No nature whatsoever. Existence precedes essence.</w:t>
            </w:r>
          </w:p>
        </w:tc>
        <w:tc>
          <w:tcPr>
            <w:tcW w:type="dxa" w:w="348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Freedom without anchor leads to unending existential anxiety (Angst).</w:t>
            </w:r>
          </w:p>
        </w:tc>
      </w:tr>
      <w:tr>
        <w:tc>
          <w:tcPr>
            <w:tcW w:type="dxa" w:w="22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Freud (Psychoanalysis)</w:t>
            </w:r>
          </w:p>
        </w:tc>
        <w:tc>
          <w:tcPr>
            <w:tcW w:type="dxa" w:w="368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Dual nature: Eros and Thanatos (life and death drives).</w:t>
            </w:r>
          </w:p>
        </w:tc>
        <w:tc>
          <w:tcPr>
            <w:tcW w:type="dxa" w:w="348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Instinctual determinism leaves only a narrow margin for freedom.</w:t>
            </w:r>
          </w:p>
        </w:tc>
      </w:tr>
      <w:tr>
        <w:tc>
          <w:tcPr>
            <w:tcW w:type="dxa" w:w="22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Kant (Rationalism)</w:t>
            </w:r>
          </w:p>
        </w:tc>
        <w:tc>
          <w:tcPr>
            <w:tcW w:type="dxa" w:w="368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Humans possess a tendency toward Radical Evil, but reason can transcend it.</w:t>
            </w:r>
          </w:p>
        </w:tc>
        <w:tc>
          <w:tcPr>
            <w:tcW w:type="dxa" w:w="348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Radical Evil remains obscure in origin.</w:t>
            </w:r>
          </w:p>
        </w:tc>
      </w:tr>
      <w:tr>
        <w:tc>
          <w:tcPr>
            <w:tcW w:type="dxa" w:w="22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Frankl (Logotherapy)</w:t>
            </w:r>
          </w:p>
        </w:tc>
        <w:tc>
          <w:tcPr>
            <w:tcW w:type="dxa" w:w="368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The human carries a Will to Meaning, but it is not the only drive.</w:t>
            </w:r>
          </w:p>
        </w:tc>
        <w:tc>
          <w:tcPr>
            <w:tcW w:type="dxa" w:w="348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Does not answer the ontological question: who instilled the Will to Meaning?</w:t>
            </w:r>
          </w:p>
        </w:tc>
      </w:tr>
      <w:tr>
        <w:tc>
          <w:tcPr>
            <w:tcW w:type="dxa" w:w="22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Istikhlafi Psychology</w:t>
            </w:r>
          </w:p>
        </w:tc>
        <w:tc>
          <w:tcPr>
            <w:tcW w:type="dxa" w:w="368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Dual fiṭra (sinfulness and God-consciousness) deposited by God. An existential framework, not an existential constraint.</w:t>
            </w:r>
          </w:p>
        </w:tc>
        <w:tc>
          <w:tcPr>
            <w:tcW w:type="dxa" w:w="348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Integrates the answer to origin (God), framework (fiṭra), and freedom (choice).</w:t>
            </w:r>
          </w:p>
        </w:tc>
      </w:tr>
    </w:tbl>
    <w:p>
      <w:pPr>
        <w:spacing w:after="0" w:before="200"/>
      </w:pPr>
      <w:r>
        <w:t xml:space="preserve"/>
      </w:r>
    </w:p>
    <w:p>
      <w:pPr>
        <w:pStyle w:val="Heading2"/>
        <w:spacing w:after="160" w:before="280"/>
      </w:pPr>
      <w:r>
        <w:rPr>
          <w:rFonts w:ascii="Times New Roman" w:cs="Times New Roman" w:eastAsia="Times New Roman" w:hAnsi="Times New Roman"/>
          <w:b/>
          <w:bCs/>
          <w:color w:val="1A3A6B"/>
          <w:sz w:val="26"/>
          <w:szCs w:val="26"/>
        </w:rPr>
        <w:t xml:space="preserve">Section Two: The Levels of the Soul — The Architecture of Responsible Freedom</w:t>
      </w:r>
    </w:p>
    <w:p>
      <w:pPr>
        <w:pStyle w:val="Heading3"/>
        <w:spacing w:after="120" w:before="200"/>
      </w:pPr>
      <w:r>
        <w:rPr>
          <w:rFonts w:ascii="Times New Roman" w:cs="Times New Roman" w:eastAsia="Times New Roman" w:hAnsi="Times New Roman"/>
          <w:b/>
          <w:bCs/>
          <w:color w:val="0A5E5E"/>
          <w:sz w:val="24"/>
          <w:szCs w:val="24"/>
        </w:rPr>
        <w:t xml:space="preserve">1. The Commanding Soul (al-Nafs al-Ammāra) — The Presence of Sinfulness, the Absence of Accountability</w:t>
      </w:r>
    </w:p>
    <w:p>
      <w:pPr>
        <w:spacing w:after="80" w:before="80"/>
        <w:jc w:val="both"/>
      </w:pPr>
      <w:r>
        <w:rPr>
          <w:rFonts w:ascii="Times New Roman" w:cs="Times New Roman" w:eastAsia="Times New Roman" w:hAnsi="Times New Roman"/>
          <w:sz w:val="22"/>
          <w:szCs w:val="22"/>
        </w:rPr>
        <w:t xml:space="preserve">The commanding soul is the level at which impulsiveness predominates and the passions of sinfulness prevail. In the context of qadar and freedom, the commanding soul is not 'compelled' to descend; rather, it is in a state of absence from the function of self-accounting. The 'commanding' human being does indeed choose, but his choice unfolds without a reflective pause that reveals the true nature of what he is choosing. This is what modern cognitive psychology terms 'present bias' or choice driven by immediate reward.</w:t>
      </w:r>
    </w:p>
    <w:p>
      <w:pPr>
        <w:pStyle w:val="Heading3"/>
        <w:spacing w:after="120" w:before="200"/>
      </w:pPr>
      <w:r>
        <w:rPr>
          <w:rFonts w:ascii="Times New Roman" w:cs="Times New Roman" w:eastAsia="Times New Roman" w:hAnsi="Times New Roman"/>
          <w:b/>
          <w:bCs/>
          <w:color w:val="0A5E5E"/>
          <w:sz w:val="24"/>
          <w:szCs w:val="24"/>
        </w:rPr>
        <w:t xml:space="preserve">2. The Self-Reproaching Soul (al-Nafs al-Lawwāma) — Freedom in Its Deepest Act</w:t>
      </w:r>
    </w:p>
    <w:p>
      <w:pPr>
        <w:spacing w:after="80" w:before="80"/>
        <w:jc w:val="both"/>
      </w:pPr>
      <w:r>
        <w:rPr>
          <w:rFonts w:ascii="Times New Roman" w:cs="Times New Roman" w:eastAsia="Times New Roman" w:hAnsi="Times New Roman"/>
          <w:sz w:val="22"/>
          <w:szCs w:val="22"/>
        </w:rPr>
        <w:t xml:space="preserve">The self-reproaching soul is the self-accounting system that enables the human being to exercise three fundamental capacities:</w:t>
      </w:r>
    </w:p>
    <w:p>
      <w:pPr>
        <w:spacing w:after="80" w:before="80"/>
        <w:jc w:val="both"/>
      </w:pPr>
      <w:r>
        <w:rPr>
          <w:rFonts w:ascii="Times New Roman" w:cs="Times New Roman" w:eastAsia="Times New Roman" w:hAnsi="Times New Roman"/>
          <w:sz w:val="22"/>
          <w:szCs w:val="22"/>
        </w:rPr>
        <w:t xml:space="preserve">a. </w:t>
      </w:r>
      <w:r>
        <w:rPr>
          <w:rFonts w:ascii="Times New Roman" w:cs="Times New Roman" w:eastAsia="Times New Roman" w:hAnsi="Times New Roman"/>
          <w:b/>
          <w:bCs/>
          <w:sz w:val="22"/>
          <w:szCs w:val="22"/>
        </w:rPr>
        <w:t xml:space="preserve">Recognizing error after it has occurred</w:t>
      </w:r>
      <w:r>
        <w:rPr>
          <w:rFonts w:ascii="Times New Roman" w:cs="Times New Roman" w:eastAsia="Times New Roman" w:hAnsi="Times New Roman"/>
          <w:sz w:val="22"/>
          <w:szCs w:val="22"/>
        </w:rPr>
        <w:t xml:space="preserve"> — which presupposes the existence of an innate moral standard.</w:t>
      </w:r>
    </w:p>
    <w:p>
      <w:pPr>
        <w:spacing w:after="80" w:before="80"/>
        <w:jc w:val="both"/>
      </w:pPr>
      <w:r>
        <w:rPr>
          <w:rFonts w:ascii="Times New Roman" w:cs="Times New Roman" w:eastAsia="Times New Roman" w:hAnsi="Times New Roman"/>
          <w:sz w:val="22"/>
          <w:szCs w:val="22"/>
        </w:rPr>
        <w:t xml:space="preserve">b. </w:t>
      </w:r>
      <w:r>
        <w:rPr>
          <w:rFonts w:ascii="Times New Roman" w:cs="Times New Roman" w:eastAsia="Times New Roman" w:hAnsi="Times New Roman"/>
          <w:b/>
          <w:bCs/>
          <w:sz w:val="22"/>
          <w:szCs w:val="22"/>
        </w:rPr>
        <w:t xml:space="preserve">Experiencing remorse</w:t>
      </w:r>
      <w:r>
        <w:rPr>
          <w:rFonts w:ascii="Times New Roman" w:cs="Times New Roman" w:eastAsia="Times New Roman" w:hAnsi="Times New Roman"/>
          <w:sz w:val="22"/>
          <w:szCs w:val="22"/>
        </w:rPr>
        <w:t xml:space="preserve"> — an existential ache that reveals that the human being perceives his choice to have been free.</w:t>
      </w:r>
    </w:p>
    <w:p>
      <w:pPr>
        <w:spacing w:after="80" w:before="80"/>
        <w:jc w:val="both"/>
      </w:pPr>
      <w:r>
        <w:rPr>
          <w:rFonts w:ascii="Times New Roman" w:cs="Times New Roman" w:eastAsia="Times New Roman" w:hAnsi="Times New Roman"/>
          <w:sz w:val="22"/>
          <w:szCs w:val="22"/>
        </w:rPr>
        <w:t xml:space="preserve">c. </w:t>
      </w:r>
      <w:r>
        <w:rPr>
          <w:rFonts w:ascii="Times New Roman" w:cs="Times New Roman" w:eastAsia="Times New Roman" w:hAnsi="Times New Roman"/>
          <w:b/>
          <w:bCs/>
          <w:sz w:val="22"/>
          <w:szCs w:val="22"/>
        </w:rPr>
        <w:t xml:space="preserve">Resolving to make correction</w:t>
      </w:r>
      <w:r>
        <w:rPr>
          <w:rFonts w:ascii="Times New Roman" w:cs="Times New Roman" w:eastAsia="Times New Roman" w:hAnsi="Times New Roman"/>
          <w:sz w:val="22"/>
          <w:szCs w:val="22"/>
        </w:rPr>
        <w:t xml:space="preserve"> — a future act proving that freedom has not been extinguished by the commission of an error.</w:t>
      </w:r>
    </w:p>
    <w:p>
      <w:pPr>
        <w:spacing w:after="0" w:before="120"/>
      </w:pPr>
      <w:r>
        <w:t xml:space="preserve"/>
      </w:r>
    </w:p>
    <w:p>
      <w:pPr>
        <w:spacing w:after="80" w:before="80"/>
        <w:jc w:val="both"/>
      </w:pPr>
      <w:r>
        <w:rPr>
          <w:rFonts w:ascii="Times New Roman" w:cs="Times New Roman" w:eastAsia="Times New Roman" w:hAnsi="Times New Roman"/>
          <w:sz w:val="22"/>
          <w:szCs w:val="22"/>
        </w:rPr>
        <w:t xml:space="preserve">Here the deep connection between the self-reproaching soul and the question of qadar becomes evident: if the human being were entirely compelled, the self-reproaching soul would have no existential function — for there is no meaning in remorse for an act one did not will. And if he were free without limit (as in Sartrean existentialism), the self-reproaching soul would find no standard by which to hold itself accountable. The existence of the self-reproaching soul is evidence that the human being is free, but his freedom is responsible and framed by fiṭra.</w:t>
      </w:r>
    </w:p>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A7B1A" w:sz="8"/>
              <w:left w:val="single" w:color="9A7B1A" w:sz="8"/>
              <w:bottom w:val="single" w:color="9A7B1A" w:sz="8"/>
              <w:right w:val="single" w:color="9A7B1A" w:sz="8"/>
            </w:tcBorders>
            <w:shd w:fill="FDF6E3" w:val="clear"/>
            <w:tcMar>
              <w:top w:type="dxa" w:w="160"/>
              <w:left w:type="dxa" w:w="360"/>
              <w:bottom w:type="dxa" w:w="120"/>
              <w:right w:type="dxa" w:w="360"/>
            </w:tcMar>
          </w:tcPr>
          <w:p>
            <w:pPr>
              <w:spacing w:after="60" w:before="60"/>
              <w:jc w:val="center"/>
            </w:pPr>
            <w:r>
              <w:rPr>
                <w:rFonts w:ascii="Traditional Arabic" w:cs="Traditional Arabic" w:eastAsia="Traditional Arabic" w:hAnsi="Traditional Arabic"/>
                <w:b/>
                <w:bCs/>
                <w:color w:val="0D1B33"/>
                <w:sz w:val="26"/>
                <w:szCs w:val="26"/>
              </w:rPr>
              <w:t xml:space="preserve">لَا أُقْسِمُ بِيَوْمِ الْقِيَامَةِ ۞ وَلَا أُقْسِمُ بِالنَّفْسِ اللَّوَّامَةِ</w:t>
            </w:r>
          </w:p>
          <w:p>
            <w:pPr>
              <w:spacing w:after="0" w:before="40"/>
              <w:jc w:val="center"/>
            </w:pPr>
            <w:r>
              <w:rPr>
                <w:rFonts w:ascii="Times New Roman" w:cs="Times New Roman" w:eastAsia="Times New Roman" w:hAnsi="Times New Roman"/>
                <w:i/>
                <w:iCs/>
                <w:color w:val="9A7B1A"/>
                <w:sz w:val="20"/>
                <w:szCs w:val="20"/>
              </w:rPr>
              <w:t xml:space="preserve">I do indeed swear by the Day of Resurrection; and I do swear by the self-reproaching soul. (Al-Qiyama: 1-2)</w:t>
            </w:r>
          </w:p>
        </w:tc>
      </w:tr>
    </w:tbl>
    <w:p>
      <w:pPr>
        <w:spacing w:after="0" w:before="120"/>
      </w:pPr>
      <w:r>
        <w:t xml:space="preserve"/>
      </w:r>
    </w:p>
    <w:p>
      <w:pPr>
        <w:spacing w:after="80" w:before="80"/>
        <w:jc w:val="both"/>
      </w:pPr>
      <w:r>
        <w:rPr>
          <w:rFonts w:ascii="Times New Roman" w:cs="Times New Roman" w:eastAsia="Times New Roman" w:hAnsi="Times New Roman"/>
          <w:sz w:val="22"/>
          <w:szCs w:val="22"/>
        </w:rPr>
        <w:t xml:space="preserve">Notably, God swears by the self-reproaching soul in the context of discourse about the Resurrection and divine reckoning. This indicates that the self-reproaching soul is the common denominator between freedom (in this world) and responsibility (in the hereafter). It is the bridge connecting choice to accountability — and this is precisely the foundation that Istikhlafi Psychology seeks to establish.</w:t>
      </w:r>
    </w:p>
    <w:p>
      <w:pPr>
        <w:pStyle w:val="Heading3"/>
        <w:spacing w:after="120" w:before="200"/>
      </w:pPr>
      <w:r>
        <w:rPr>
          <w:rFonts w:ascii="Times New Roman" w:cs="Times New Roman" w:eastAsia="Times New Roman" w:hAnsi="Times New Roman"/>
          <w:b/>
          <w:bCs/>
          <w:color w:val="0A5E5E"/>
          <w:sz w:val="24"/>
          <w:szCs w:val="24"/>
        </w:rPr>
        <w:t xml:space="preserve">3. The Tranquil Soul (al-Nafs al-Muṭma'inna) — The Destination of Freedom</w:t>
      </w:r>
    </w:p>
    <w:p>
      <w:pPr>
        <w:spacing w:after="80" w:before="80"/>
        <w:jc w:val="both"/>
      </w:pPr>
      <w:r>
        <w:rPr>
          <w:rFonts w:ascii="Times New Roman" w:cs="Times New Roman" w:eastAsia="Times New Roman" w:hAnsi="Times New Roman"/>
          <w:sz w:val="22"/>
          <w:szCs w:val="22"/>
        </w:rPr>
        <w:t xml:space="preserve">The tranquil soul is the destination of Istikhlafi freedom, not its antithesis. Serenity and tranquility are not a state of 'compulsion' or 'passivity'; they are the fruit of continuous Istikhlafi choice. This resolves a Sartrean problem: Sartre views all rest as an escape from freedom. But the Istikhlafi position replies: Istikhlafi rest is not an escape from freedom but its harvest — it is freedom from passion, not freedom in passion.</w:t>
      </w:r>
    </w:p>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A7B1A" w:sz="8"/>
              <w:left w:val="single" w:color="9A7B1A" w:sz="8"/>
              <w:bottom w:val="single" w:color="9A7B1A" w:sz="8"/>
              <w:right w:val="single" w:color="9A7B1A" w:sz="8"/>
            </w:tcBorders>
            <w:shd w:fill="FDF6E3" w:val="clear"/>
            <w:tcMar>
              <w:top w:type="dxa" w:w="160"/>
              <w:left w:type="dxa" w:w="360"/>
              <w:bottom w:type="dxa" w:w="120"/>
              <w:right w:type="dxa" w:w="360"/>
            </w:tcMar>
          </w:tcPr>
          <w:p>
            <w:pPr>
              <w:spacing w:after="60" w:before="60"/>
              <w:jc w:val="center"/>
            </w:pPr>
            <w:r>
              <w:rPr>
                <w:rFonts w:ascii="Traditional Arabic" w:cs="Traditional Arabic" w:eastAsia="Traditional Arabic" w:hAnsi="Traditional Arabic"/>
                <w:b/>
                <w:bCs/>
                <w:color w:val="0D1B33"/>
                <w:sz w:val="26"/>
                <w:szCs w:val="26"/>
              </w:rPr>
              <w:t xml:space="preserve">يَا أَيَّتُهَا النَّفْسُ الْمُطْمَئِنَّةُ ۞ ارْجِعِي إِلَىٰ رَبِّكِ رَاضِيَةً مَّرْضِيَّةً ۞ فَادْخُلِي فِي عِبَادِي ۞ وَادْخُلِي جَنَّتِي</w:t>
            </w:r>
          </w:p>
          <w:p>
            <w:pPr>
              <w:spacing w:after="0" w:before="40"/>
              <w:jc w:val="center"/>
            </w:pPr>
            <w:r>
              <w:rPr>
                <w:rFonts w:ascii="Times New Roman" w:cs="Times New Roman" w:eastAsia="Times New Roman" w:hAnsi="Times New Roman"/>
                <w:i/>
                <w:iCs/>
                <w:color w:val="9A7B1A"/>
                <w:sz w:val="20"/>
                <w:szCs w:val="20"/>
              </w:rPr>
              <w:t xml:space="preserve">O tranquil soul! Return to your Lord, well-pleased and pleasing [to Him]. Enter among My servants. Enter My Garden. (Al-Fajr: 27-30)</w:t>
            </w:r>
          </w:p>
        </w:tc>
      </w:tr>
    </w:tbl>
    <w:p>
      <w:pPr>
        <w:spacing w:after="0" w:before="200"/>
      </w:pPr>
      <w:r>
        <w:t xml:space="preserve"/>
      </w:r>
    </w:p>
    <w:p>
      <w:pPr>
        <w:pStyle w:val="Heading2"/>
        <w:spacing w:after="160" w:before="280"/>
      </w:pPr>
      <w:r>
        <w:rPr>
          <w:rFonts w:ascii="Times New Roman" w:cs="Times New Roman" w:eastAsia="Times New Roman" w:hAnsi="Times New Roman"/>
          <w:b/>
          <w:bCs/>
          <w:color w:val="1A3A6B"/>
          <w:sz w:val="26"/>
          <w:szCs w:val="26"/>
        </w:rPr>
        <w:t xml:space="preserve">Section Three: The Eight Ribs (al-Aḍlāʿ al-Thamāniya) — The Map of Choice and Consequence</w:t>
      </w:r>
    </w:p>
    <w:p>
      <w:pPr>
        <w:spacing w:after="80" w:before="80"/>
        <w:jc w:val="both"/>
      </w:pPr>
      <w:r>
        <w:rPr>
          <w:rFonts w:ascii="Times New Roman" w:cs="Times New Roman" w:eastAsia="Times New Roman" w:hAnsi="Times New Roman"/>
          <w:sz w:val="22"/>
          <w:szCs w:val="22"/>
        </w:rPr>
        <w:t xml:space="preserve">The Eight Ribs model presents a dynamic map of how human freedom operates in the lived psychological reality. The Ribs are not passive maps of determinism; they describe the pathways of choice and their consequences:</w:t>
      </w:r>
    </w:p>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880"/>
        <w:gridCol w:w="3080"/>
      </w:tblGrid>
      <w:tr>
        <w:trPr>
          <w:tblHeader/>
        </w:trPr>
        <w:tc>
          <w:tcPr>
            <w:tcW w:type="dxa" w:w="2400"/>
            <w:tcBorders>
              <w:top w:val="single" w:color="CCCCCC" w:sz="4"/>
              <w:left w:val="single" w:color="CCCCCC" w:sz="4"/>
              <w:bottom w:val="single" w:color="CCCCCC" w:sz="4"/>
              <w:right w:val="single" w:color="CCCCCC" w:sz="4"/>
            </w:tcBorders>
            <w:shd w:fill="0D1B33" w:val="clear"/>
            <w:tcMar>
              <w:top w:type="dxa" w:w="100"/>
              <w:left w:type="dxa" w:w="120"/>
              <w:bottom w:type="dxa" w:w="100"/>
              <w:right w:type="dxa" w:w="120"/>
            </w:tcMar>
            <w:vAlign w:val="center"/>
          </w:tcPr>
          <w:p>
            <w:pPr>
              <w:jc w:val="center"/>
            </w:pPr>
            <w:r>
              <w:rPr>
                <w:rFonts w:ascii="Times New Roman" w:cs="Times New Roman" w:eastAsia="Times New Roman" w:hAnsi="Times New Roman"/>
                <w:b/>
                <w:bCs/>
                <w:color w:val="FFFFFF"/>
                <w:sz w:val="20"/>
                <w:szCs w:val="20"/>
              </w:rPr>
              <w:t xml:space="preserve">Type of Ribs</w:t>
            </w:r>
          </w:p>
        </w:tc>
        <w:tc>
          <w:tcPr>
            <w:tcW w:type="dxa" w:w="3880"/>
            <w:tcBorders>
              <w:top w:val="single" w:color="CCCCCC" w:sz="4"/>
              <w:left w:val="single" w:color="CCCCCC" w:sz="4"/>
              <w:bottom w:val="single" w:color="CCCCCC" w:sz="4"/>
              <w:right w:val="single" w:color="CCCCCC" w:sz="4"/>
            </w:tcBorders>
            <w:shd w:fill="0D1B33" w:val="clear"/>
            <w:tcMar>
              <w:top w:type="dxa" w:w="100"/>
              <w:left w:type="dxa" w:w="120"/>
              <w:bottom w:type="dxa" w:w="100"/>
              <w:right w:type="dxa" w:w="120"/>
            </w:tcMar>
            <w:vAlign w:val="center"/>
          </w:tcPr>
          <w:p>
            <w:pPr>
              <w:jc w:val="center"/>
            </w:pPr>
            <w:r>
              <w:rPr>
                <w:rFonts w:ascii="Times New Roman" w:cs="Times New Roman" w:eastAsia="Times New Roman" w:hAnsi="Times New Roman"/>
                <w:b/>
                <w:bCs/>
                <w:color w:val="FFFFFF"/>
                <w:sz w:val="20"/>
                <w:szCs w:val="20"/>
              </w:rPr>
              <w:t xml:space="preserve">Direction</w:t>
            </w:r>
          </w:p>
        </w:tc>
        <w:tc>
          <w:tcPr>
            <w:tcW w:type="dxa" w:w="3080"/>
            <w:tcBorders>
              <w:top w:val="single" w:color="CCCCCC" w:sz="4"/>
              <w:left w:val="single" w:color="CCCCCC" w:sz="4"/>
              <w:bottom w:val="single" w:color="CCCCCC" w:sz="4"/>
              <w:right w:val="single" w:color="CCCCCC" w:sz="4"/>
            </w:tcBorders>
            <w:shd w:fill="0D1B33" w:val="clear"/>
            <w:tcMar>
              <w:top w:type="dxa" w:w="100"/>
              <w:left w:type="dxa" w:w="120"/>
              <w:bottom w:type="dxa" w:w="100"/>
              <w:right w:type="dxa" w:w="120"/>
            </w:tcMar>
            <w:vAlign w:val="center"/>
          </w:tcPr>
          <w:p>
            <w:pPr>
              <w:jc w:val="center"/>
            </w:pPr>
            <w:r>
              <w:rPr>
                <w:rFonts w:ascii="Times New Roman" w:cs="Times New Roman" w:eastAsia="Times New Roman" w:hAnsi="Times New Roman"/>
                <w:b/>
                <w:bCs/>
                <w:color w:val="FFFFFF"/>
                <w:sz w:val="20"/>
                <w:szCs w:val="20"/>
              </w:rPr>
              <w:t xml:space="preserve">Relationship to Qadar</w:t>
            </w:r>
          </w:p>
        </w:tc>
      </w:tr>
      <w:tr>
        <w:tc>
          <w:tcPr>
            <w:tcW w:type="dxa" w:w="24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Descending Ribs</w:t>
            </w:r>
          </w:p>
        </w:tc>
        <w:tc>
          <w:tcPr>
            <w:tcW w:type="dxa" w:w="388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Activate sinfulness and lead toward the commanding soul (impulsiveness, transgression, distraction).</w:t>
            </w:r>
          </w:p>
        </w:tc>
        <w:tc>
          <w:tcPr>
            <w:tcW w:type="dxa" w:w="308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They are not inevitable fate; they are accumulated choices that become habits, then character.</w:t>
            </w:r>
          </w:p>
        </w:tc>
      </w:tr>
      <w:tr>
        <w:tc>
          <w:tcPr>
            <w:tcW w:type="dxa" w:w="24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Ascending Ribs</w:t>
            </w:r>
          </w:p>
        </w:tc>
        <w:tc>
          <w:tcPr>
            <w:tcW w:type="dxa" w:w="388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Activate God-consciousness and lead toward the tranquil soul (repentance, purification, stewardship).</w:t>
            </w:r>
          </w:p>
        </w:tc>
        <w:tc>
          <w:tcPr>
            <w:tcW w:type="dxa" w:w="308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They are not purely external grace; they are a volitional path requiring resolve and perseverance.</w:t>
            </w:r>
          </w:p>
        </w:tc>
      </w:tr>
      <w:tr>
        <w:tc>
          <w:tcPr>
            <w:tcW w:type="dxa" w:w="24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The Turning Point</w:t>
            </w:r>
          </w:p>
        </w:tc>
        <w:tc>
          <w:tcPr>
            <w:tcW w:type="dxa" w:w="388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The self-reproaching soul is the inflection point between descent and ascent.</w:t>
            </w:r>
          </w:p>
        </w:tc>
        <w:tc>
          <w:tcPr>
            <w:tcW w:type="dxa" w:w="308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At this point, Istikhlafi freedom manifests in its most potent form.</w:t>
            </w:r>
          </w:p>
        </w:tc>
      </w:tr>
    </w:tbl>
    <w:p>
      <w:pPr>
        <w:spacing w:after="0" w:before="160"/>
      </w:pPr>
      <w:r>
        <w:t xml:space="preserve"/>
      </w:r>
    </w:p>
    <w:p>
      <w:pPr>
        <w:spacing w:after="80" w:before="80"/>
        <w:jc w:val="both"/>
      </w:pPr>
      <w:r>
        <w:rPr>
          <w:rFonts w:ascii="Times New Roman" w:cs="Times New Roman" w:eastAsia="Times New Roman" w:hAnsi="Times New Roman"/>
          <w:sz w:val="22"/>
          <w:szCs w:val="22"/>
        </w:rPr>
        <w:t xml:space="preserve">This model answers a profound philosophical question: why does a person sometimes persist in actions he knows harm him? The Istikhlafi answer: because the ribs leading to descent have accumulated and weakened the self-reproaching soul's capacity to intervene. The TLRT therapy works to restore the balance of the ribs and re-activate the self-reproaching soul.</w:t>
      </w:r>
    </w:p>
    <w:p>
      <w:pPr>
        <w:spacing w:after="0" w:before="200"/>
      </w:pPr>
      <w:r>
        <w:t xml:space="preserve"/>
      </w:r>
    </w:p>
    <w:p>
      <w:pPr>
        <w:pStyle w:val="Heading2"/>
        <w:spacing w:after="160" w:before="280"/>
      </w:pPr>
      <w:r>
        <w:rPr>
          <w:rFonts w:ascii="Times New Roman" w:cs="Times New Roman" w:eastAsia="Times New Roman" w:hAnsi="Times New Roman"/>
          <w:b/>
          <w:bCs/>
          <w:color w:val="1A3A6B"/>
          <w:sz w:val="26"/>
          <w:szCs w:val="26"/>
        </w:rPr>
        <w:t xml:space="preserve">Section Four: The Fourth Dimension — Satan and Mercy in the Arena of Choice</w:t>
      </w:r>
    </w:p>
    <w:p>
      <w:pPr>
        <w:pStyle w:val="Heading3"/>
        <w:spacing w:after="120" w:before="200"/>
      </w:pPr>
      <w:r>
        <w:rPr>
          <w:rFonts w:ascii="Times New Roman" w:cs="Times New Roman" w:eastAsia="Times New Roman" w:hAnsi="Times New Roman"/>
          <w:b/>
          <w:bCs/>
          <w:color w:val="0A5E5E"/>
          <w:sz w:val="24"/>
          <w:szCs w:val="24"/>
        </w:rPr>
        <w:t xml:space="preserve">1. Satan as an Agent of Temptation, Not a Deterministic Cause</w:t>
      </w:r>
    </w:p>
    <w:p>
      <w:pPr>
        <w:spacing w:after="80" w:before="80"/>
        <w:jc w:val="both"/>
      </w:pPr>
      <w:r>
        <w:rPr>
          <w:rFonts w:ascii="Times New Roman" w:cs="Times New Roman" w:eastAsia="Times New Roman" w:hAnsi="Times New Roman"/>
          <w:sz w:val="22"/>
          <w:szCs w:val="22"/>
        </w:rPr>
        <w:t xml:space="preserve">Istikhlafi Psychology adds an unseen dimension that operates in the arena of human choice: Satan beautifies sinfulness and whispers, but does not compel. This fundamental distinction — between temptation and compulsion — is what preserves human responsibility.</w:t>
      </w:r>
    </w:p>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A7B1A" w:sz="8"/>
              <w:left w:val="single" w:color="9A7B1A" w:sz="8"/>
              <w:bottom w:val="single" w:color="9A7B1A" w:sz="8"/>
              <w:right w:val="single" w:color="9A7B1A" w:sz="8"/>
            </w:tcBorders>
            <w:shd w:fill="FDF6E3" w:val="clear"/>
            <w:tcMar>
              <w:top w:type="dxa" w:w="160"/>
              <w:left w:type="dxa" w:w="360"/>
              <w:bottom w:type="dxa" w:w="120"/>
              <w:right w:type="dxa" w:w="360"/>
            </w:tcMar>
          </w:tcPr>
          <w:p>
            <w:pPr>
              <w:spacing w:after="60" w:before="60"/>
              <w:jc w:val="center"/>
            </w:pPr>
            <w:r>
              <w:rPr>
                <w:rFonts w:ascii="Traditional Arabic" w:cs="Traditional Arabic" w:eastAsia="Traditional Arabic" w:hAnsi="Traditional Arabic"/>
                <w:b/>
                <w:bCs/>
                <w:color w:val="0D1B33"/>
                <w:sz w:val="26"/>
                <w:szCs w:val="26"/>
              </w:rPr>
              <w:t xml:space="preserve">وَقَالَ الشَّيْطَانُ لَمَّا قُضِيَ الْأَمْرُ إِنَّ اللَّهَ وَعَدَكُمْ وَعْدَ الْحَقِّ وَوَعَدتُّكُمْ فَأَخْلَفْتُكُمْ ۖ وَمَا كَانَ لِيَ عَلَيْكُم مِّن سُلْطَانٍ إِلَّا أَن دَعَوْتُكُمْ فَاسْتَجَبْتُمْ ۖ فَلَا تَلُومُونِي وَلُومُوا أَنفُسَكُمْ</w:t>
            </w:r>
          </w:p>
          <w:p>
            <w:pPr>
              <w:spacing w:after="0" w:before="40"/>
              <w:jc w:val="center"/>
            </w:pPr>
            <w:r>
              <w:rPr>
                <w:rFonts w:ascii="Times New Roman" w:cs="Times New Roman" w:eastAsia="Times New Roman" w:hAnsi="Times New Roman"/>
                <w:i/>
                <w:iCs/>
                <w:color w:val="9A7B1A"/>
                <w:sz w:val="20"/>
                <w:szCs w:val="20"/>
              </w:rPr>
              <w:t xml:space="preserve">And Satan will say, when the matter is decided: "Indeed, Allah had promised you the promise of truth. And I promised you, but I betrayed you. And I had no authority over you except that I invited you, and you responded to me. So do not blame me; blame yourselves." (Ibrahim: 22)</w:t>
            </w:r>
          </w:p>
        </w:tc>
      </w:tr>
    </w:tbl>
    <w:p>
      <w:pPr>
        <w:spacing w:after="0" w:before="120"/>
      </w:pPr>
      <w:r>
        <w:t xml:space="preserve"/>
      </w:r>
    </w:p>
    <w:p>
      <w:pPr>
        <w:spacing w:after="80" w:before="80"/>
        <w:jc w:val="both"/>
      </w:pPr>
      <w:r>
        <w:rPr>
          <w:rFonts w:ascii="Times New Roman" w:cs="Times New Roman" w:eastAsia="Times New Roman" w:hAnsi="Times New Roman"/>
          <w:sz w:val="22"/>
          <w:szCs w:val="22"/>
        </w:rPr>
        <w:t xml:space="preserve">This noble verse constitutes an explicit Quranic proof that Satan himself acknowledges he possesses no coercive power over the human being. His temptation is an invitation; the response is a choice. This firmly establishes full human responsibility without denying the existence of external tempting factors.</w:t>
      </w:r>
    </w:p>
    <w:p>
      <w:pPr>
        <w:pStyle w:val="Heading3"/>
        <w:spacing w:after="120" w:before="200"/>
      </w:pPr>
      <w:r>
        <w:rPr>
          <w:rFonts w:ascii="Times New Roman" w:cs="Times New Roman" w:eastAsia="Times New Roman" w:hAnsi="Times New Roman"/>
          <w:b/>
          <w:bCs/>
          <w:color w:val="0A5E5E"/>
          <w:sz w:val="24"/>
          <w:szCs w:val="24"/>
        </w:rPr>
        <w:t xml:space="preserve">2. Divine Mercy and the Question of Compulsion in Guidance</w:t>
      </w:r>
    </w:p>
    <w:p>
      <w:pPr>
        <w:spacing w:after="80" w:before="80"/>
        <w:jc w:val="both"/>
      </w:pPr>
      <w:r>
        <w:rPr>
          <w:rFonts w:ascii="Times New Roman" w:cs="Times New Roman" w:eastAsia="Times New Roman" w:hAnsi="Times New Roman"/>
          <w:sz w:val="22"/>
          <w:szCs w:val="22"/>
        </w:rPr>
        <w:t xml:space="preserve">The second aspect of the Fourth Dimension is the Divine Mercy that facilitates repentance and aids the ascent. A question may arise here: if guidance is in God's hand, how can those not granted guidance be held accountable?</w:t>
      </w:r>
    </w:p>
    <w:p>
      <w:pPr>
        <w:spacing w:after="80" w:before="80"/>
        <w:jc w:val="both"/>
      </w:pPr>
      <w:r>
        <w:rPr>
          <w:rFonts w:ascii="Times New Roman" w:cs="Times New Roman" w:eastAsia="Times New Roman" w:hAnsi="Times New Roman"/>
          <w:sz w:val="22"/>
          <w:szCs w:val="22"/>
        </w:rPr>
        <w:t xml:space="preserve">The Istikhlafi answer distinguishes between two levels: (a) General guidance (al-tawfīq al-ʿāmm): the pathways of fiṭra, Revelation, and the self-reproaching soul granted to every human being. (b) Special guidance (al-tawfīq al-khāṣṣ): a particular divine aid that descends upon one who has prepared himself for it through his freedom and inner striving. The second does not come without the first. That is: divine guidance does not negate human effort but rather crowns it. In this there is something resembling Kant's theory of Moral Worthiness.</w:t>
      </w:r>
    </w:p>
    <w:p>
      <w:pPr>
        <w:spacing w:after="0" w:before="200"/>
      </w:pPr>
      <w:r>
        <w:t xml:space="preserve"/>
      </w:r>
    </w:p>
    <w:p>
      <w:pPr>
        <w:pStyle w:val="Heading2"/>
        <w:spacing w:after="160" w:before="280"/>
      </w:pPr>
      <w:r>
        <w:rPr>
          <w:rFonts w:ascii="Times New Roman" w:cs="Times New Roman" w:eastAsia="Times New Roman" w:hAnsi="Times New Roman"/>
          <w:b/>
          <w:bCs/>
          <w:color w:val="1A3A6B"/>
          <w:sz w:val="26"/>
          <w:szCs w:val="26"/>
        </w:rPr>
        <w:t xml:space="preserve">Section Five: Stewardship as the Purpose of Freedom — The Great Existential Transformation</w:t>
      </w:r>
    </w:p>
    <w:p>
      <w:pPr>
        <w:spacing w:after="80" w:before="80"/>
        <w:jc w:val="both"/>
      </w:pPr>
      <w:r>
        <w:rPr>
          <w:rFonts w:ascii="Times New Roman" w:cs="Times New Roman" w:eastAsia="Times New Roman" w:hAnsi="Times New Roman"/>
          <w:sz w:val="22"/>
          <w:szCs w:val="22"/>
        </w:rPr>
        <w:t xml:space="preserve">In the Istikhlafi model, divine decree is not a theoretical matter of 'determinism of act' so much as an existential framework for realizing a purpose. The human being is a trusted vicegerent (khalīfa), and his stewardship demands three inseparable pillars:</w:t>
      </w:r>
    </w:p>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680"/>
        <w:gridCol w:w="3480"/>
      </w:tblGrid>
      <w:tr>
        <w:trPr>
          <w:tblHeader/>
        </w:trPr>
        <w:tc>
          <w:tcPr>
            <w:tcW w:type="dxa" w:w="2200"/>
            <w:tcBorders>
              <w:top w:val="single" w:color="CCCCCC" w:sz="4"/>
              <w:left w:val="single" w:color="CCCCCC" w:sz="4"/>
              <w:bottom w:val="single" w:color="CCCCCC" w:sz="4"/>
              <w:right w:val="single" w:color="CCCCCC" w:sz="4"/>
            </w:tcBorders>
            <w:shd w:fill="0D1B33" w:val="clear"/>
            <w:tcMar>
              <w:top w:type="dxa" w:w="100"/>
              <w:left w:type="dxa" w:w="120"/>
              <w:bottom w:type="dxa" w:w="100"/>
              <w:right w:type="dxa" w:w="120"/>
            </w:tcMar>
            <w:vAlign w:val="center"/>
          </w:tcPr>
          <w:p>
            <w:pPr>
              <w:jc w:val="center"/>
            </w:pPr>
            <w:r>
              <w:rPr>
                <w:rFonts w:ascii="Times New Roman" w:cs="Times New Roman" w:eastAsia="Times New Roman" w:hAnsi="Times New Roman"/>
                <w:b/>
                <w:bCs/>
                <w:color w:val="FFFFFF"/>
                <w:sz w:val="20"/>
                <w:szCs w:val="20"/>
              </w:rPr>
              <w:t xml:space="preserve">Pillar</w:t>
            </w:r>
          </w:p>
        </w:tc>
        <w:tc>
          <w:tcPr>
            <w:tcW w:type="dxa" w:w="3680"/>
            <w:tcBorders>
              <w:top w:val="single" w:color="CCCCCC" w:sz="4"/>
              <w:left w:val="single" w:color="CCCCCC" w:sz="4"/>
              <w:bottom w:val="single" w:color="CCCCCC" w:sz="4"/>
              <w:right w:val="single" w:color="CCCCCC" w:sz="4"/>
            </w:tcBorders>
            <w:shd w:fill="0D1B33" w:val="clear"/>
            <w:tcMar>
              <w:top w:type="dxa" w:w="100"/>
              <w:left w:type="dxa" w:w="120"/>
              <w:bottom w:type="dxa" w:w="100"/>
              <w:right w:type="dxa" w:w="120"/>
            </w:tcMar>
            <w:vAlign w:val="center"/>
          </w:tcPr>
          <w:p>
            <w:pPr>
              <w:jc w:val="center"/>
            </w:pPr>
            <w:r>
              <w:rPr>
                <w:rFonts w:ascii="Times New Roman" w:cs="Times New Roman" w:eastAsia="Times New Roman" w:hAnsi="Times New Roman"/>
                <w:b/>
                <w:bCs/>
                <w:color w:val="FFFFFF"/>
                <w:sz w:val="20"/>
                <w:szCs w:val="20"/>
              </w:rPr>
              <w:t xml:space="preserve">Rationale</w:t>
            </w:r>
          </w:p>
        </w:tc>
        <w:tc>
          <w:tcPr>
            <w:tcW w:type="dxa" w:w="3480"/>
            <w:tcBorders>
              <w:top w:val="single" w:color="CCCCCC" w:sz="4"/>
              <w:left w:val="single" w:color="CCCCCC" w:sz="4"/>
              <w:bottom w:val="single" w:color="CCCCCC" w:sz="4"/>
              <w:right w:val="single" w:color="CCCCCC" w:sz="4"/>
            </w:tcBorders>
            <w:shd w:fill="0D1B33" w:val="clear"/>
            <w:tcMar>
              <w:top w:type="dxa" w:w="100"/>
              <w:left w:type="dxa" w:w="120"/>
              <w:bottom w:type="dxa" w:w="100"/>
              <w:right w:type="dxa" w:w="120"/>
            </w:tcMar>
            <w:vAlign w:val="center"/>
          </w:tcPr>
          <w:p>
            <w:pPr>
              <w:jc w:val="center"/>
            </w:pPr>
            <w:r>
              <w:rPr>
                <w:rFonts w:ascii="Times New Roman" w:cs="Times New Roman" w:eastAsia="Times New Roman" w:hAnsi="Times New Roman"/>
                <w:b/>
                <w:bCs/>
                <w:color w:val="FFFFFF"/>
                <w:sz w:val="20"/>
                <w:szCs w:val="20"/>
              </w:rPr>
              <w:t xml:space="preserve">Expression</w:t>
            </w:r>
          </w:p>
        </w:tc>
      </w:tr>
      <w:tr>
        <w:tc>
          <w:tcPr>
            <w:tcW w:type="dxa" w:w="22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Will (al-Irāda)</w:t>
            </w:r>
          </w:p>
        </w:tc>
        <w:tc>
          <w:tcPr>
            <w:tcW w:type="dxa" w:w="368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For the vicegerent is an agent, not an instrument.</w:t>
            </w:r>
          </w:p>
        </w:tc>
        <w:tc>
          <w:tcPr>
            <w:tcW w:type="dxa" w:w="348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The exercise of genuine human choice in every situation.</w:t>
            </w:r>
          </w:p>
        </w:tc>
      </w:tr>
      <w:tr>
        <w:tc>
          <w:tcPr>
            <w:tcW w:type="dxa" w:w="22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Responsibility (al-Masʾūliyya)</w:t>
            </w:r>
          </w:p>
        </w:tc>
        <w:tc>
          <w:tcPr>
            <w:tcW w:type="dxa" w:w="368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For the trust (amāna) requires accountability.</w:t>
            </w:r>
          </w:p>
        </w:tc>
        <w:tc>
          <w:tcPr>
            <w:tcW w:type="dxa" w:w="348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Self-accounting through the self-reproaching soul.</w:t>
            </w:r>
          </w:p>
        </w:tc>
      </w:tr>
      <w:tr>
        <w:tc>
          <w:tcPr>
            <w:tcW w:type="dxa" w:w="22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Purpose (al-Ghāya)</w:t>
            </w:r>
          </w:p>
        </w:tc>
        <w:tc>
          <w:tcPr>
            <w:tcW w:type="dxa" w:w="368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Cultivating the earth with justice and goodness.</w:t>
            </w:r>
          </w:p>
        </w:tc>
        <w:tc>
          <w:tcPr>
            <w:tcW w:type="dxa" w:w="348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The transformation of inner freedom into civilizational act.</w:t>
            </w:r>
          </w:p>
        </w:tc>
      </w:tr>
    </w:tbl>
    <w:p>
      <w:pPr>
        <w:spacing w:after="0" w:before="160"/>
      </w:pPr>
      <w:r>
        <w:t xml:space="preserve"/>
      </w:r>
    </w:p>
    <w:p>
      <w:pPr>
        <w:spacing w:after="80" w:before="80"/>
        <w:jc w:val="both"/>
      </w:pPr>
      <w:r>
        <w:rPr>
          <w:rFonts w:ascii="Times New Roman" w:cs="Times New Roman" w:eastAsia="Times New Roman" w:hAnsi="Times New Roman"/>
          <w:sz w:val="22"/>
          <w:szCs w:val="22"/>
        </w:rPr>
        <w:t xml:space="preserve">This triad — Will / Responsibility / Purpose — transforms the sterile debate over 'pure determinism' or 'absolute delegation' into a practical project: How do we activate the ascending ribs? How do we enable the self-reproaching soul to lead the commanding soul toward the tranquil soul? How do we transform remorse (which is knowledge of prior decree) into excellence (which is future action)?</w:t>
      </w:r>
    </w:p>
    <w:p>
      <w:pPr>
        <w:spacing w:after="0" w:before="200"/>
      </w:pPr>
      <w:r>
        <w:t xml:space="preserve"/>
      </w:r>
    </w:p>
    <w:p>
      <w:pPr>
        <w:pStyle w:val="Heading2"/>
        <w:spacing w:after="160" w:before="280"/>
      </w:pPr>
      <w:r>
        <w:rPr>
          <w:rFonts w:ascii="Times New Roman" w:cs="Times New Roman" w:eastAsia="Times New Roman" w:hAnsi="Times New Roman"/>
          <w:b/>
          <w:bCs/>
          <w:color w:val="1A3A6B"/>
          <w:sz w:val="26"/>
          <w:szCs w:val="26"/>
        </w:rPr>
        <w:t xml:space="preserve">Section Six: Comprehensive Comparative Table</w:t>
      </w:r>
    </w:p>
    <w:p>
      <w:pPr>
        <w:spacing w:after="0" w:before="1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1260"/>
        <w:gridCol w:w="1260"/>
        <w:gridCol w:w="1260"/>
        <w:gridCol w:w="1260"/>
        <w:gridCol w:w="1260"/>
        <w:gridCol w:w="1460"/>
      </w:tblGrid>
      <w:tr>
        <w:trPr>
          <w:tblHeader/>
        </w:trPr>
        <w:tc>
          <w:tcPr>
            <w:tcW w:type="dxa" w:w="1600"/>
            <w:tcBorders>
              <w:top w:val="single" w:color="CCCCCC" w:sz="4"/>
              <w:left w:val="single" w:color="CCCCCC" w:sz="4"/>
              <w:bottom w:val="single" w:color="CCCCCC" w:sz="4"/>
              <w:right w:val="single" w:color="CCCCCC" w:sz="4"/>
            </w:tcBorders>
            <w:shd w:fill="0D1B33" w:val="clear"/>
            <w:tcMar>
              <w:top w:type="dxa" w:w="100"/>
              <w:left w:type="dxa" w:w="120"/>
              <w:bottom w:type="dxa" w:w="100"/>
              <w:right w:type="dxa" w:w="120"/>
            </w:tcMar>
            <w:vAlign w:val="center"/>
          </w:tcPr>
          <w:p>
            <w:pPr>
              <w:jc w:val="center"/>
            </w:pPr>
            <w:r>
              <w:rPr>
                <w:rFonts w:ascii="Times New Roman" w:cs="Times New Roman" w:eastAsia="Times New Roman" w:hAnsi="Times New Roman"/>
                <w:b/>
                <w:bCs/>
                <w:color w:val="FFFFFF"/>
                <w:sz w:val="20"/>
                <w:szCs w:val="20"/>
              </w:rPr>
              <w:t xml:space="preserve">Criterion</w:t>
            </w:r>
          </w:p>
        </w:tc>
        <w:tc>
          <w:tcPr>
            <w:tcW w:type="dxa" w:w="1260"/>
            <w:tcBorders>
              <w:top w:val="single" w:color="CCCCCC" w:sz="4"/>
              <w:left w:val="single" w:color="CCCCCC" w:sz="4"/>
              <w:bottom w:val="single" w:color="CCCCCC" w:sz="4"/>
              <w:right w:val="single" w:color="CCCCCC" w:sz="4"/>
            </w:tcBorders>
            <w:shd w:fill="0D1B33" w:val="clear"/>
            <w:tcMar>
              <w:top w:type="dxa" w:w="100"/>
              <w:left w:type="dxa" w:w="120"/>
              <w:bottom w:type="dxa" w:w="100"/>
              <w:right w:type="dxa" w:w="120"/>
            </w:tcMar>
            <w:vAlign w:val="center"/>
          </w:tcPr>
          <w:p>
            <w:pPr>
              <w:jc w:val="center"/>
            </w:pPr>
            <w:r>
              <w:rPr>
                <w:rFonts w:ascii="Times New Roman" w:cs="Times New Roman" w:eastAsia="Times New Roman" w:hAnsi="Times New Roman"/>
                <w:b/>
                <w:bCs/>
                <w:color w:val="FFFFFF"/>
                <w:sz w:val="20"/>
                <w:szCs w:val="20"/>
              </w:rPr>
              <w:t xml:space="preserve">Mu'tazilites</w:t>
            </w:r>
          </w:p>
        </w:tc>
        <w:tc>
          <w:tcPr>
            <w:tcW w:type="dxa" w:w="1260"/>
            <w:tcBorders>
              <w:top w:val="single" w:color="CCCCCC" w:sz="4"/>
              <w:left w:val="single" w:color="CCCCCC" w:sz="4"/>
              <w:bottom w:val="single" w:color="CCCCCC" w:sz="4"/>
              <w:right w:val="single" w:color="CCCCCC" w:sz="4"/>
            </w:tcBorders>
            <w:shd w:fill="0D1B33" w:val="clear"/>
            <w:tcMar>
              <w:top w:type="dxa" w:w="100"/>
              <w:left w:type="dxa" w:w="120"/>
              <w:bottom w:type="dxa" w:w="100"/>
              <w:right w:type="dxa" w:w="120"/>
            </w:tcMar>
            <w:vAlign w:val="center"/>
          </w:tcPr>
          <w:p>
            <w:pPr>
              <w:jc w:val="center"/>
            </w:pPr>
            <w:r>
              <w:rPr>
                <w:rFonts w:ascii="Times New Roman" w:cs="Times New Roman" w:eastAsia="Times New Roman" w:hAnsi="Times New Roman"/>
                <w:b/>
                <w:bCs/>
                <w:color w:val="FFFFFF"/>
                <w:sz w:val="20"/>
                <w:szCs w:val="20"/>
              </w:rPr>
              <w:t xml:space="preserve">Ash'arites</w:t>
            </w:r>
          </w:p>
        </w:tc>
        <w:tc>
          <w:tcPr>
            <w:tcW w:type="dxa" w:w="1260"/>
            <w:tcBorders>
              <w:top w:val="single" w:color="CCCCCC" w:sz="4"/>
              <w:left w:val="single" w:color="CCCCCC" w:sz="4"/>
              <w:bottom w:val="single" w:color="CCCCCC" w:sz="4"/>
              <w:right w:val="single" w:color="CCCCCC" w:sz="4"/>
            </w:tcBorders>
            <w:shd w:fill="0D1B33" w:val="clear"/>
            <w:tcMar>
              <w:top w:type="dxa" w:w="100"/>
              <w:left w:type="dxa" w:w="120"/>
              <w:bottom w:type="dxa" w:w="100"/>
              <w:right w:type="dxa" w:w="120"/>
            </w:tcMar>
            <w:vAlign w:val="center"/>
          </w:tcPr>
          <w:p>
            <w:pPr>
              <w:jc w:val="center"/>
            </w:pPr>
            <w:r>
              <w:rPr>
                <w:rFonts w:ascii="Times New Roman" w:cs="Times New Roman" w:eastAsia="Times New Roman" w:hAnsi="Times New Roman"/>
                <w:b/>
                <w:bCs/>
                <w:color w:val="FFFFFF"/>
                <w:sz w:val="20"/>
                <w:szCs w:val="20"/>
              </w:rPr>
              <w:t xml:space="preserve">Philosophers</w:t>
            </w:r>
          </w:p>
        </w:tc>
        <w:tc>
          <w:tcPr>
            <w:tcW w:type="dxa" w:w="1260"/>
            <w:tcBorders>
              <w:top w:val="single" w:color="CCCCCC" w:sz="4"/>
              <w:left w:val="single" w:color="CCCCCC" w:sz="4"/>
              <w:bottom w:val="single" w:color="CCCCCC" w:sz="4"/>
              <w:right w:val="single" w:color="CCCCCC" w:sz="4"/>
            </w:tcBorders>
            <w:shd w:fill="0D1B33" w:val="clear"/>
            <w:tcMar>
              <w:top w:type="dxa" w:w="100"/>
              <w:left w:type="dxa" w:w="120"/>
              <w:bottom w:type="dxa" w:w="100"/>
              <w:right w:type="dxa" w:w="120"/>
            </w:tcMar>
            <w:vAlign w:val="center"/>
          </w:tcPr>
          <w:p>
            <w:pPr>
              <w:jc w:val="center"/>
            </w:pPr>
            <w:r>
              <w:rPr>
                <w:rFonts w:ascii="Times New Roman" w:cs="Times New Roman" w:eastAsia="Times New Roman" w:hAnsi="Times New Roman"/>
                <w:b/>
                <w:bCs/>
                <w:color w:val="FFFFFF"/>
                <w:sz w:val="20"/>
                <w:szCs w:val="20"/>
              </w:rPr>
              <w:t xml:space="preserve">Existentialism (Sartre)</w:t>
            </w:r>
          </w:p>
        </w:tc>
        <w:tc>
          <w:tcPr>
            <w:tcW w:type="dxa" w:w="1260"/>
            <w:tcBorders>
              <w:top w:val="single" w:color="CCCCCC" w:sz="4"/>
              <w:left w:val="single" w:color="CCCCCC" w:sz="4"/>
              <w:bottom w:val="single" w:color="CCCCCC" w:sz="4"/>
              <w:right w:val="single" w:color="CCCCCC" w:sz="4"/>
            </w:tcBorders>
            <w:shd w:fill="0D1B33" w:val="clear"/>
            <w:tcMar>
              <w:top w:type="dxa" w:w="100"/>
              <w:left w:type="dxa" w:w="120"/>
              <w:bottom w:type="dxa" w:w="100"/>
              <w:right w:type="dxa" w:w="120"/>
            </w:tcMar>
            <w:vAlign w:val="center"/>
          </w:tcPr>
          <w:p>
            <w:pPr>
              <w:jc w:val="center"/>
            </w:pPr>
            <w:r>
              <w:rPr>
                <w:rFonts w:ascii="Times New Roman" w:cs="Times New Roman" w:eastAsia="Times New Roman" w:hAnsi="Times New Roman"/>
                <w:b/>
                <w:bCs/>
                <w:color w:val="FFFFFF"/>
                <w:sz w:val="20"/>
                <w:szCs w:val="20"/>
              </w:rPr>
              <w:t xml:space="preserve">Logotherapy (Frankl)</w:t>
            </w:r>
          </w:p>
        </w:tc>
        <w:tc>
          <w:tcPr>
            <w:tcW w:type="dxa" w:w="1460"/>
            <w:tcBorders>
              <w:top w:val="single" w:color="CCCCCC" w:sz="4"/>
              <w:left w:val="single" w:color="CCCCCC" w:sz="4"/>
              <w:bottom w:val="single" w:color="CCCCCC" w:sz="4"/>
              <w:right w:val="single" w:color="CCCCCC" w:sz="4"/>
            </w:tcBorders>
            <w:shd w:fill="0D1B33" w:val="clear"/>
            <w:tcMar>
              <w:top w:type="dxa" w:w="100"/>
              <w:left w:type="dxa" w:w="120"/>
              <w:bottom w:type="dxa" w:w="100"/>
              <w:right w:type="dxa" w:w="120"/>
            </w:tcMar>
            <w:vAlign w:val="center"/>
          </w:tcPr>
          <w:p>
            <w:pPr>
              <w:jc w:val="center"/>
            </w:pPr>
            <w:r>
              <w:rPr>
                <w:rFonts w:ascii="Times New Roman" w:cs="Times New Roman" w:eastAsia="Times New Roman" w:hAnsi="Times New Roman"/>
                <w:b/>
                <w:bCs/>
                <w:color w:val="FFFFFF"/>
                <w:sz w:val="20"/>
                <w:szCs w:val="20"/>
              </w:rPr>
              <w:t xml:space="preserve">Istikhlafi Psychology</w:t>
            </w:r>
          </w:p>
        </w:tc>
      </w:tr>
      <w:tr>
        <w:tc>
          <w:tcPr>
            <w:tcW w:type="dxa" w:w="16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Source of Act</w:t>
            </w:r>
          </w:p>
        </w:tc>
        <w:tc>
          <w:tcPr>
            <w:tcW w:type="dxa" w:w="12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Human is creator of his own act.</w:t>
            </w:r>
          </w:p>
        </w:tc>
        <w:tc>
          <w:tcPr>
            <w:tcW w:type="dxa" w:w="12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God creates; human acquires (kasb).</w:t>
            </w:r>
          </w:p>
        </w:tc>
        <w:tc>
          <w:tcPr>
            <w:tcW w:type="dxa" w:w="12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Nature and cosmic causes.</w:t>
            </w:r>
          </w:p>
        </w:tc>
        <w:tc>
          <w:tcPr>
            <w:tcW w:type="dxa" w:w="12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Human alone; no nature.</w:t>
            </w:r>
          </w:p>
        </w:tc>
        <w:tc>
          <w:tcPr>
            <w:tcW w:type="dxa" w:w="12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Innate will to meaning.</w:t>
            </w:r>
          </w:p>
        </w:tc>
        <w:tc>
          <w:tcPr>
            <w:tcW w:type="dxa" w:w="14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Fiṭra (sinfulness/taqwā) + choice.</w:t>
            </w:r>
          </w:p>
        </w:tc>
      </w:tr>
      <w:tr>
        <w:tc>
          <w:tcPr>
            <w:tcW w:type="dxa" w:w="16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Nature of Freedom</w:t>
            </w:r>
          </w:p>
        </w:tc>
        <w:tc>
          <w:tcPr>
            <w:tcW w:type="dxa" w:w="12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Full, genuine freedom.</w:t>
            </w:r>
          </w:p>
        </w:tc>
        <w:tc>
          <w:tcPr>
            <w:tcW w:type="dxa" w:w="12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Formal freedom (acquisition).</w:t>
            </w:r>
          </w:p>
        </w:tc>
        <w:tc>
          <w:tcPr>
            <w:tcW w:type="dxa" w:w="12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Rational, consensual determinism.</w:t>
            </w:r>
          </w:p>
        </w:tc>
        <w:tc>
          <w:tcPr>
            <w:tcW w:type="dxa" w:w="12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Absolute freedom without anchor.</w:t>
            </w:r>
          </w:p>
        </w:tc>
        <w:tc>
          <w:tcPr>
            <w:tcW w:type="dxa" w:w="12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Freedom bounded by will to meaning.</w:t>
            </w:r>
          </w:p>
        </w:tc>
        <w:tc>
          <w:tcPr>
            <w:tcW w:type="dxa" w:w="14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Freedom framed by fiṭra and the Ribs.</w:t>
            </w:r>
          </w:p>
        </w:tc>
      </w:tr>
      <w:tr>
        <w:tc>
          <w:tcPr>
            <w:tcW w:type="dxa" w:w="16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Explanation of Evil</w:t>
            </w:r>
          </w:p>
        </w:tc>
        <w:tc>
          <w:tcPr>
            <w:tcW w:type="dxa" w:w="12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From humanity alone.</w:t>
            </w:r>
          </w:p>
        </w:tc>
        <w:tc>
          <w:tcPr>
            <w:tcW w:type="dxa" w:w="12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By God's will (He is not questioned).</w:t>
            </w:r>
          </w:p>
        </w:tc>
        <w:tc>
          <w:tcPr>
            <w:tcW w:type="dxa" w:w="12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Deficiency in being.</w:t>
            </w:r>
          </w:p>
        </w:tc>
        <w:tc>
          <w:tcPr>
            <w:tcW w:type="dxa" w:w="12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Result of absolute freedom.</w:t>
            </w:r>
          </w:p>
        </w:tc>
        <w:tc>
          <w:tcPr>
            <w:tcW w:type="dxa" w:w="12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Opportunity to extract meaning.</w:t>
            </w:r>
          </w:p>
        </w:tc>
        <w:tc>
          <w:tcPr>
            <w:tcW w:type="dxa" w:w="14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Human choice + trial (Satan).</w:t>
            </w:r>
          </w:p>
        </w:tc>
      </w:tr>
      <w:tr>
        <w:tc>
          <w:tcPr>
            <w:tcW w:type="dxa" w:w="16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Basis of Responsibility</w:t>
            </w:r>
          </w:p>
        </w:tc>
        <w:tc>
          <w:tcPr>
            <w:tcW w:type="dxa" w:w="12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Reason + free choice.</w:t>
            </w:r>
          </w:p>
        </w:tc>
        <w:tc>
          <w:tcPr>
            <w:tcW w:type="dxa" w:w="12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Religious law + God's ownership.</w:t>
            </w:r>
          </w:p>
        </w:tc>
        <w:tc>
          <w:tcPr>
            <w:tcW w:type="dxa" w:w="12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Reason and knowledge.</w:t>
            </w:r>
          </w:p>
        </w:tc>
        <w:tc>
          <w:tcPr>
            <w:tcW w:type="dxa" w:w="12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Radical, absolute freedom.</w:t>
            </w:r>
          </w:p>
        </w:tc>
        <w:tc>
          <w:tcPr>
            <w:tcW w:type="dxa" w:w="12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Will to meaning.</w:t>
            </w:r>
          </w:p>
        </w:tc>
        <w:tc>
          <w:tcPr>
            <w:tcW w:type="dxa" w:w="14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Fiṭra + Revelation + self-reproaching soul.</w:t>
            </w:r>
          </w:p>
        </w:tc>
      </w:tr>
      <w:tr>
        <w:tc>
          <w:tcPr>
            <w:tcW w:type="dxa" w:w="16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Purpose of Existence</w:t>
            </w:r>
          </w:p>
        </w:tc>
        <w:tc>
          <w:tcPr>
            <w:tcW w:type="dxa" w:w="12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Applying divine justice.</w:t>
            </w:r>
          </w:p>
        </w:tc>
        <w:tc>
          <w:tcPr>
            <w:tcW w:type="dxa" w:w="12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Worship and compliance.</w:t>
            </w:r>
          </w:p>
        </w:tc>
        <w:tc>
          <w:tcPr>
            <w:tcW w:type="dxa" w:w="12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Achieving epistemic perfection.</w:t>
            </w:r>
          </w:p>
        </w:tc>
        <w:tc>
          <w:tcPr>
            <w:tcW w:type="dxa" w:w="12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Authentic existence.</w:t>
            </w:r>
          </w:p>
        </w:tc>
        <w:tc>
          <w:tcPr>
            <w:tcW w:type="dxa" w:w="12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Finding meaning in every situation.</w:t>
            </w:r>
          </w:p>
        </w:tc>
        <w:tc>
          <w:tcPr>
            <w:tcW w:type="dxa" w:w="14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Stewardship and the tranquil soul.</w:t>
            </w:r>
          </w:p>
        </w:tc>
      </w:tr>
      <w:tr>
        <w:tc>
          <w:tcPr>
            <w:tcW w:type="dxa" w:w="16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Therapeutic Dimension</w:t>
            </w:r>
          </w:p>
        </w:tc>
        <w:tc>
          <w:tcPr>
            <w:tcW w:type="dxa" w:w="12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Absent.</w:t>
            </w:r>
          </w:p>
        </w:tc>
        <w:tc>
          <w:tcPr>
            <w:tcW w:type="dxa" w:w="12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Absent.</w:t>
            </w:r>
          </w:p>
        </w:tc>
        <w:tc>
          <w:tcPr>
            <w:tcW w:type="dxa" w:w="12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Absent.</w:t>
            </w:r>
          </w:p>
        </w:tc>
        <w:tc>
          <w:tcPr>
            <w:tcW w:type="dxa" w:w="12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Present (existential analysis).</w:t>
            </w:r>
          </w:p>
        </w:tc>
        <w:tc>
          <w:tcPr>
            <w:tcW w:type="dxa" w:w="12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Present and essential.</w:t>
            </w:r>
          </w:p>
        </w:tc>
        <w:tc>
          <w:tcPr>
            <w:tcW w:type="dxa" w:w="14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Present and framed (TLRT).</w:t>
            </w:r>
          </w:p>
        </w:tc>
      </w:tr>
    </w:tbl>
    <w:p>
      <w:pPr>
        <w:spacing w:after="0" w:before="200"/>
      </w:pPr>
      <w:r>
        <w:t xml:space="preserve"/>
      </w:r>
    </w:p>
    <w:p>
      <w:pPr>
        <w:pStyle w:val="Heading1"/>
        <w:pageBreakBefore/>
        <w:spacing w:after="240" w:before="360"/>
      </w:pPr>
      <w:r>
        <w:rPr>
          <w:rFonts w:ascii="Times New Roman" w:cs="Times New Roman" w:eastAsia="Times New Roman" w:hAnsi="Times New Roman"/>
          <w:b/>
          <w:bCs/>
          <w:color w:val="0D1B33"/>
          <w:sz w:val="32"/>
          <w:szCs w:val="32"/>
        </w:rPr>
        <w:t xml:space="preserve">Part Three: Istikhlafi Responses to Kalamic Dilemmas</w:t>
      </w:r>
    </w:p>
    <w:p>
      <w:pPr>
        <w:pStyle w:val="Heading2"/>
        <w:spacing w:after="160" w:before="280"/>
      </w:pPr>
      <w:r>
        <w:rPr>
          <w:rFonts w:ascii="Times New Roman" w:cs="Times New Roman" w:eastAsia="Times New Roman" w:hAnsi="Times New Roman"/>
          <w:b/>
          <w:bCs/>
          <w:color w:val="1A3A6B"/>
          <w:sz w:val="26"/>
          <w:szCs w:val="26"/>
        </w:rPr>
        <w:t xml:space="preserve">Section One: Detailed Response Table</w:t>
      </w:r>
    </w:p>
    <w:p>
      <w:pPr>
        <w:spacing w:after="0" w:before="1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4160"/>
        <w:gridCol w:w="2800"/>
      </w:tblGrid>
      <w:tr>
        <w:trPr>
          <w:tblHeader/>
        </w:trPr>
        <w:tc>
          <w:tcPr>
            <w:tcW w:type="dxa" w:w="2400"/>
            <w:tcBorders>
              <w:top w:val="single" w:color="CCCCCC" w:sz="4"/>
              <w:left w:val="single" w:color="CCCCCC" w:sz="4"/>
              <w:bottom w:val="single" w:color="CCCCCC" w:sz="4"/>
              <w:right w:val="single" w:color="CCCCCC" w:sz="4"/>
            </w:tcBorders>
            <w:shd w:fill="0D1B33" w:val="clear"/>
            <w:tcMar>
              <w:top w:type="dxa" w:w="100"/>
              <w:left w:type="dxa" w:w="120"/>
              <w:bottom w:type="dxa" w:w="100"/>
              <w:right w:type="dxa" w:w="120"/>
            </w:tcMar>
            <w:vAlign w:val="center"/>
          </w:tcPr>
          <w:p>
            <w:pPr>
              <w:jc w:val="center"/>
            </w:pPr>
            <w:r>
              <w:rPr>
                <w:rFonts w:ascii="Times New Roman" w:cs="Times New Roman" w:eastAsia="Times New Roman" w:hAnsi="Times New Roman"/>
                <w:b/>
                <w:bCs/>
                <w:color w:val="FFFFFF"/>
                <w:sz w:val="20"/>
                <w:szCs w:val="20"/>
              </w:rPr>
              <w:t xml:space="preserve">Traditional Kalamic Question</w:t>
            </w:r>
          </w:p>
        </w:tc>
        <w:tc>
          <w:tcPr>
            <w:tcW w:type="dxa" w:w="4160"/>
            <w:tcBorders>
              <w:top w:val="single" w:color="CCCCCC" w:sz="4"/>
              <w:left w:val="single" w:color="CCCCCC" w:sz="4"/>
              <w:bottom w:val="single" w:color="CCCCCC" w:sz="4"/>
              <w:right w:val="single" w:color="CCCCCC" w:sz="4"/>
            </w:tcBorders>
            <w:shd w:fill="0D1B33" w:val="clear"/>
            <w:tcMar>
              <w:top w:type="dxa" w:w="100"/>
              <w:left w:type="dxa" w:w="120"/>
              <w:bottom w:type="dxa" w:w="100"/>
              <w:right w:type="dxa" w:w="120"/>
            </w:tcMar>
            <w:vAlign w:val="center"/>
          </w:tcPr>
          <w:p>
            <w:pPr>
              <w:jc w:val="center"/>
            </w:pPr>
            <w:r>
              <w:rPr>
                <w:rFonts w:ascii="Times New Roman" w:cs="Times New Roman" w:eastAsia="Times New Roman" w:hAnsi="Times New Roman"/>
                <w:b/>
                <w:bCs/>
                <w:color w:val="FFFFFF"/>
                <w:sz w:val="20"/>
                <w:szCs w:val="20"/>
              </w:rPr>
              <w:t xml:space="preserve">Istikhlafi Response</w:t>
            </w:r>
          </w:p>
        </w:tc>
        <w:tc>
          <w:tcPr>
            <w:tcW w:type="dxa" w:w="2800"/>
            <w:tcBorders>
              <w:top w:val="single" w:color="CCCCCC" w:sz="4"/>
              <w:left w:val="single" w:color="CCCCCC" w:sz="4"/>
              <w:bottom w:val="single" w:color="CCCCCC" w:sz="4"/>
              <w:right w:val="single" w:color="CCCCCC" w:sz="4"/>
            </w:tcBorders>
            <w:shd w:fill="0D1B33" w:val="clear"/>
            <w:tcMar>
              <w:top w:type="dxa" w:w="100"/>
              <w:left w:type="dxa" w:w="120"/>
              <w:bottom w:type="dxa" w:w="100"/>
              <w:right w:type="dxa" w:w="120"/>
            </w:tcMar>
            <w:vAlign w:val="center"/>
          </w:tcPr>
          <w:p>
            <w:pPr>
              <w:jc w:val="center"/>
            </w:pPr>
            <w:r>
              <w:rPr>
                <w:rFonts w:ascii="Times New Roman" w:cs="Times New Roman" w:eastAsia="Times New Roman" w:hAnsi="Times New Roman"/>
                <w:b/>
                <w:bCs/>
                <w:color w:val="FFFFFF"/>
                <w:sz w:val="20"/>
                <w:szCs w:val="20"/>
              </w:rPr>
              <w:t xml:space="preserve">Foundation</w:t>
            </w:r>
          </w:p>
        </w:tc>
      </w:tr>
      <w:tr>
        <w:tc>
          <w:tcPr>
            <w:tcW w:type="dxa" w:w="24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Is the human compelled or free?</w:t>
            </w:r>
          </w:p>
        </w:tc>
        <w:tc>
          <w:tcPr>
            <w:tcW w:type="dxa" w:w="41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Free within the framework of his fiṭra. He possesses genuine will circumscribed between two poles: sinfulness and God-consciousness.</w:t>
            </w:r>
          </w:p>
        </w:tc>
        <w:tc>
          <w:tcPr>
            <w:tcW w:type="dxa" w:w="28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The Dual Fiṭra (Al-Shams: 8)</w:t>
            </w:r>
          </w:p>
        </w:tc>
      </w:tr>
      <w:tr>
        <w:tc>
          <w:tcPr>
            <w:tcW w:type="dxa" w:w="24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How do we reconcile divine foreknowledge with human freedom?</w:t>
            </w:r>
          </w:p>
        </w:tc>
        <w:tc>
          <w:tcPr>
            <w:tcW w:type="dxa" w:w="41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Divine foreknowledge does not necessitate the act; it is knowledge of what the human being will do by his own choice within the possibilities of his fiṭra.</w:t>
            </w:r>
          </w:p>
        </w:tc>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Middle Knowledge Theory / Developed Mu'tazilite position</w:t>
            </w:r>
          </w:p>
        </w:tc>
      </w:tr>
      <w:tr>
        <w:tc>
          <w:tcPr>
            <w:tcW w:type="dxa" w:w="24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Does the human create his own act?</w:t>
            </w:r>
          </w:p>
        </w:tc>
        <w:tc>
          <w:tcPr>
            <w:tcW w:type="dxa" w:w="41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The human chooses, adopts, and bears responsibility for his act; God creates the capacity, the fiṭra, and the cosmos.</w:t>
            </w:r>
          </w:p>
        </w:tc>
        <w:tc>
          <w:tcPr>
            <w:tcW w:type="dxa" w:w="28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Distinction between creating capacity and creating choice</w:t>
            </w:r>
          </w:p>
        </w:tc>
      </w:tr>
      <w:tr>
        <w:tc>
          <w:tcPr>
            <w:tcW w:type="dxa" w:w="24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What is the foundation of moral responsibility?</w:t>
            </w:r>
          </w:p>
        </w:tc>
        <w:tc>
          <w:tcPr>
            <w:tcW w:type="dxa" w:w="41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Fiṭra (innate knowledge of good and evil) + Revelation (reminder and elaboration) + the self-reproaching soul (self-accounting).</w:t>
            </w:r>
          </w:p>
        </w:tc>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The Istikhlafi Foundational Triangle</w:t>
            </w:r>
          </w:p>
        </w:tc>
      </w:tr>
      <w:tr>
        <w:tc>
          <w:tcPr>
            <w:tcW w:type="dxa" w:w="24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Why does God create the possibility of evil?</w:t>
            </w:r>
          </w:p>
        </w:tc>
        <w:tc>
          <w:tcPr>
            <w:tcW w:type="dxa" w:w="41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So that choice may be genuine and responsibility meaningful. Satan is a tempting agent, not a deterministic cause.</w:t>
            </w:r>
          </w:p>
        </w:tc>
        <w:tc>
          <w:tcPr>
            <w:tcW w:type="dxa" w:w="28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Ibrahim: 22 + the philosophy of genuine freedom</w:t>
            </w:r>
          </w:p>
        </w:tc>
      </w:tr>
      <w:tr>
        <w:tc>
          <w:tcPr>
            <w:tcW w:type="dxa" w:w="24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What role does qadar play in human failure?</w:t>
            </w:r>
          </w:p>
        </w:tc>
        <w:tc>
          <w:tcPr>
            <w:tcW w:type="dxa" w:w="41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Failure is the product of descending ribs and is rectifiable by activating the self-reproaching soul and ascending ribs. Qadar is a framework, not a final verdict.</w:t>
            </w:r>
          </w:p>
        </w:tc>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The TLRT model in innate reprogramming</w:t>
            </w:r>
          </w:p>
        </w:tc>
      </w:tr>
      <w:tr>
        <w:tc>
          <w:tcPr>
            <w:tcW w:type="dxa" w:w="24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Is invocation of qadar acceptable as excuse?</w:t>
            </w:r>
          </w:p>
        </w:tc>
        <w:tc>
          <w:tcPr>
            <w:tcW w:type="dxa" w:w="416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No. The self-reproaching soul itself is evidence of the rejection of this excuse. Satan himself acknowledged he did not compel.</w:t>
            </w:r>
          </w:p>
        </w:tc>
        <w:tc>
          <w:tcPr>
            <w:tcW w:type="dxa" w:w="280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pPr>
              <w:jc w:val="both"/>
            </w:pPr>
            <w:r>
              <w:rPr>
                <w:rFonts w:ascii="Times New Roman" w:cs="Times New Roman" w:eastAsia="Times New Roman" w:hAnsi="Times New Roman"/>
                <w:color w:val="333333"/>
                <w:sz w:val="19"/>
                <w:szCs w:val="19"/>
              </w:rPr>
              <w:t xml:space="preserve">Al-Qiyama: 2 + Ibrahim: 22 + the prophetic hadith</w:t>
            </w:r>
          </w:p>
        </w:tc>
      </w:tr>
    </w:tbl>
    <w:p>
      <w:pPr>
        <w:spacing w:after="0" w:before="200"/>
      </w:pPr>
      <w:r>
        <w:t xml:space="preserve"/>
      </w:r>
    </w:p>
    <w:p>
      <w:pPr>
        <w:pStyle w:val="Heading2"/>
        <w:spacing w:after="160" w:before="280"/>
      </w:pPr>
      <w:r>
        <w:rPr>
          <w:rFonts w:ascii="Times New Roman" w:cs="Times New Roman" w:eastAsia="Times New Roman" w:hAnsi="Times New Roman"/>
          <w:b/>
          <w:bCs/>
          <w:color w:val="1A3A6B"/>
          <w:sz w:val="26"/>
          <w:szCs w:val="26"/>
        </w:rPr>
        <w:t xml:space="preserve">Section Two: Therapeutic Application — The TLRT Protocol and the Question of Qadar</w:t>
      </w:r>
    </w:p>
    <w:p>
      <w:pPr>
        <w:spacing w:after="80" w:before="80"/>
        <w:jc w:val="both"/>
      </w:pPr>
      <w:r>
        <w:rPr>
          <w:rFonts w:ascii="Times New Roman" w:cs="Times New Roman" w:eastAsia="Times New Roman" w:hAnsi="Times New Roman"/>
          <w:sz w:val="22"/>
          <w:szCs w:val="22"/>
        </w:rPr>
        <w:t xml:space="preserve">The TLRT protocol (Transformative Reconciliation Tillage Therapy) does not halt at philosophical theorizing; it transforms the Istikhlafi vision of divine decree into a practical therapeutic protocol addressing:</w:t>
      </w:r>
    </w:p>
    <w:p>
      <w:pPr>
        <w:spacing w:after="80" w:before="80"/>
        <w:jc w:val="both"/>
      </w:pPr>
      <w:r>
        <w:rPr>
          <w:rFonts w:ascii="Times New Roman" w:cs="Times New Roman" w:eastAsia="Times New Roman" w:hAnsi="Times New Roman"/>
          <w:b/>
          <w:bCs/>
          <w:color w:val="0A5E5E"/>
          <w:sz w:val="22"/>
          <w:szCs w:val="22"/>
        </w:rPr>
        <w:t xml:space="preserve">▸ </w:t>
      </w:r>
      <w:r>
        <w:rPr>
          <w:rFonts w:ascii="Times New Roman" w:cs="Times New Roman" w:eastAsia="Times New Roman" w:hAnsi="Times New Roman"/>
          <w:b/>
          <w:bCs/>
          <w:sz w:val="22"/>
          <w:szCs w:val="22"/>
        </w:rPr>
        <w:t xml:space="preserve">The sense of compulsion and helplessness</w:t>
      </w:r>
      <w:r>
        <w:rPr>
          <w:rFonts w:ascii="Times New Roman" w:cs="Times New Roman" w:eastAsia="Times New Roman" w:hAnsi="Times New Roman"/>
          <w:sz w:val="22"/>
          <w:szCs w:val="22"/>
        </w:rPr>
        <w:t xml:space="preserve"> ("I am this way and cannot change"): treated by activating ascending ribs and reinforcing the self-reproaching soul.</w:t>
      </w:r>
    </w:p>
    <w:p>
      <w:pPr>
        <w:spacing w:after="0" w:before="40"/>
      </w:pPr>
      <w:r>
        <w:t xml:space="preserve"/>
      </w:r>
    </w:p>
    <w:p>
      <w:pPr>
        <w:spacing w:after="80" w:before="80"/>
        <w:jc w:val="both"/>
      </w:pPr>
      <w:r>
        <w:rPr>
          <w:rFonts w:ascii="Times New Roman" w:cs="Times New Roman" w:eastAsia="Times New Roman" w:hAnsi="Times New Roman"/>
          <w:b/>
          <w:bCs/>
          <w:color w:val="0A5E5E"/>
          <w:sz w:val="22"/>
          <w:szCs w:val="22"/>
        </w:rPr>
        <w:t xml:space="preserve">▸ </w:t>
      </w:r>
      <w:r>
        <w:rPr>
          <w:rFonts w:ascii="Times New Roman" w:cs="Times New Roman" w:eastAsia="Times New Roman" w:hAnsi="Times New Roman"/>
          <w:b/>
          <w:bCs/>
          <w:sz w:val="22"/>
          <w:szCs w:val="22"/>
        </w:rPr>
        <w:t xml:space="preserve">Invoking qadar to escape responsibility</w:t>
      </w:r>
      <w:r>
        <w:rPr>
          <w:rFonts w:ascii="Times New Roman" w:cs="Times New Roman" w:eastAsia="Times New Roman" w:hAnsi="Times New Roman"/>
          <w:sz w:val="22"/>
          <w:szCs w:val="22"/>
        </w:rPr>
        <w:t xml:space="preserve">: treated by reconstructing the Istikhlafi image of God (the Just and Merciful, not the Compeller).</w:t>
      </w:r>
    </w:p>
    <w:p>
      <w:pPr>
        <w:spacing w:after="0" w:before="40"/>
      </w:pPr>
      <w:r>
        <w:t xml:space="preserve"/>
      </w:r>
    </w:p>
    <w:p>
      <w:pPr>
        <w:spacing w:after="80" w:before="80"/>
        <w:jc w:val="both"/>
      </w:pPr>
      <w:r>
        <w:rPr>
          <w:rFonts w:ascii="Times New Roman" w:cs="Times New Roman" w:eastAsia="Times New Roman" w:hAnsi="Times New Roman"/>
          <w:b/>
          <w:bCs/>
          <w:color w:val="0A5E5E"/>
          <w:sz w:val="22"/>
          <w:szCs w:val="22"/>
        </w:rPr>
        <w:t xml:space="preserve">▸ </w:t>
      </w:r>
      <w:r>
        <w:rPr>
          <w:rFonts w:ascii="Times New Roman" w:cs="Times New Roman" w:eastAsia="Times New Roman" w:hAnsi="Times New Roman"/>
          <w:b/>
          <w:bCs/>
          <w:sz w:val="22"/>
          <w:szCs w:val="22"/>
        </w:rPr>
        <w:t xml:space="preserve">Moral schism (al-faṣām al-akhlāqī)</w:t>
      </w:r>
      <w:r>
        <w:rPr>
          <w:rFonts w:ascii="Times New Roman" w:cs="Times New Roman" w:eastAsia="Times New Roman" w:hAnsi="Times New Roman"/>
          <w:sz w:val="22"/>
          <w:szCs w:val="22"/>
        </w:rPr>
        <w:t xml:space="preserve"> — the conflict between the self-reproaching and commanding souls: treated through the Behavioral Bridge technique and reordering of the Ribs.</w:t>
      </w:r>
    </w:p>
    <w:p>
      <w:pPr>
        <w:spacing w:after="0" w:before="40"/>
      </w:pPr>
      <w:r>
        <w:t xml:space="preserve"/>
      </w:r>
    </w:p>
    <w:p>
      <w:pPr>
        <w:spacing w:after="80" w:before="80"/>
        <w:jc w:val="both"/>
      </w:pPr>
      <w:r>
        <w:rPr>
          <w:rFonts w:ascii="Times New Roman" w:cs="Times New Roman" w:eastAsia="Times New Roman" w:hAnsi="Times New Roman"/>
          <w:b/>
          <w:bCs/>
          <w:color w:val="0A5E5E"/>
          <w:sz w:val="22"/>
          <w:szCs w:val="22"/>
        </w:rPr>
        <w:t xml:space="preserve">▸ </w:t>
      </w:r>
      <w:r>
        <w:rPr>
          <w:rFonts w:ascii="Times New Roman" w:cs="Times New Roman" w:eastAsia="Times New Roman" w:hAnsi="Times New Roman"/>
          <w:b/>
          <w:bCs/>
          <w:sz w:val="22"/>
          <w:szCs w:val="22"/>
        </w:rPr>
        <w:t xml:space="preserve">Destructive guilt</w:t>
      </w:r>
      <w:r>
        <w:rPr>
          <w:rFonts w:ascii="Times New Roman" w:cs="Times New Roman" w:eastAsia="Times New Roman" w:hAnsi="Times New Roman"/>
          <w:sz w:val="22"/>
          <w:szCs w:val="22"/>
        </w:rPr>
        <w:t xml:space="preserve"> ("Had God decreed it for me, I would have acted"): treated by converting remorse from passive compulsion into the positive fiṭra of the self-reproaching soul.</w:t>
      </w:r>
    </w:p>
    <w:p>
      <w:pPr>
        <w:spacing w:after="0" w:before="120"/>
      </w:pPr>
      <w:r>
        <w:t xml:space="preserve"/>
      </w:r>
    </w:p>
    <w:p>
      <w:pPr>
        <w:spacing w:after="80" w:before="80"/>
        <w:jc w:val="both"/>
      </w:pPr>
      <w:r>
        <w:rPr>
          <w:rFonts w:ascii="Times New Roman" w:cs="Times New Roman" w:eastAsia="Times New Roman" w:hAnsi="Times New Roman"/>
          <w:sz w:val="22"/>
          <w:szCs w:val="22"/>
        </w:rPr>
        <w:t xml:space="preserve">Here it becomes abundantly clear how the separation between kalamic philosophy and psychotherapy was only possible by placing 'bounded freedom' at the core of the model: treating the human being begins with his rediscovery of his genuine freedom and his realization that he is not governed by descending ribs but always possesses the possibility of ascent.</w:t>
      </w:r>
    </w:p>
    <w:p>
      <w:pPr>
        <w:pBdr>
          <w:bottom w:val="single" w:color="9A7B1A" w:sz="4" w:space="4"/>
        </w:pBdr>
        <w:spacing w:after="160" w:before="160"/>
      </w:pPr>
      <w:r>
        <w:t xml:space="preserve"/>
      </w:r>
    </w:p>
    <w:p>
      <w:pPr>
        <w:pStyle w:val="Heading1"/>
        <w:pageBreakBefore/>
        <w:spacing w:after="240" w:before="360"/>
      </w:pPr>
      <w:r>
        <w:rPr>
          <w:rFonts w:ascii="Times New Roman" w:cs="Times New Roman" w:eastAsia="Times New Roman" w:hAnsi="Times New Roman"/>
          <w:b/>
          <w:bCs/>
          <w:color w:val="0D1B33"/>
          <w:sz w:val="32"/>
          <w:szCs w:val="32"/>
        </w:rPr>
        <w:t xml:space="preserve">Conclusion: From Kalamic Debate to Existential Architecture</w:t>
      </w:r>
    </w:p>
    <w:p>
      <w:pPr>
        <w:spacing w:after="80" w:before="80"/>
        <w:jc w:val="both"/>
      </w:pPr>
      <w:r>
        <w:rPr>
          <w:rFonts w:ascii="Times New Roman" w:cs="Times New Roman" w:eastAsia="Times New Roman" w:hAnsi="Times New Roman"/>
          <w:sz w:val="22"/>
          <w:szCs w:val="22"/>
        </w:rPr>
        <w:t xml:space="preserve">Islamic kalamic thought (Mu'tazilites and Ash'arites), Islamic philosophy (Ibn Sina and al-Farabi), and modern Western philosophy (Kant, Sartre, Frankl) have all offered valuable attempts to understand the relationship between humanity, God, and the cosmos in the question of divine decree. Yet all these attempts remained — despite their depth — enclosed within a theoretical and polemical framework that never reached a therapeutic and existential dimension capable of assisting the human being in managing his life and achieving his purpose.</w:t>
      </w:r>
    </w:p>
    <w:p>
      <w:pPr>
        <w:spacing w:after="80" w:before="80"/>
        <w:jc w:val="both"/>
      </w:pPr>
      <w:r>
        <w:rPr>
          <w:rFonts w:ascii="Times New Roman" w:cs="Times New Roman" w:eastAsia="Times New Roman" w:hAnsi="Times New Roman"/>
          <w:sz w:val="22"/>
          <w:szCs w:val="22"/>
        </w:rPr>
        <w:t xml:space="preserve">Istikhlafi Psychology offers a qualitative leap on two distinct and complementary levels:</w:t>
      </w:r>
    </w:p>
    <w:p>
      <w:pPr>
        <w:pStyle w:val="Heading3"/>
        <w:spacing w:after="120" w:before="200"/>
      </w:pPr>
      <w:r>
        <w:rPr>
          <w:rFonts w:ascii="Times New Roman" w:cs="Times New Roman" w:eastAsia="Times New Roman" w:hAnsi="Times New Roman"/>
          <w:b/>
          <w:bCs/>
          <w:color w:val="0A5E5E"/>
          <w:sz w:val="24"/>
          <w:szCs w:val="24"/>
        </w:rPr>
        <w:t xml:space="preserve">The First Level: The Transformation in the Formulation of the Question</w:t>
      </w:r>
    </w:p>
    <w:p>
      <w:pPr>
        <w:spacing w:after="80" w:before="80"/>
        <w:jc w:val="both"/>
      </w:pPr>
      <w:r>
        <w:rPr>
          <w:rFonts w:ascii="Times New Roman" w:cs="Times New Roman" w:eastAsia="Times New Roman" w:hAnsi="Times New Roman"/>
          <w:sz w:val="22"/>
          <w:szCs w:val="22"/>
        </w:rPr>
        <w:t xml:space="preserve">Instead of the theoretically sterile question 'Is the human being compelled or free?', the Istikhlafi model asks: 'How does the human being achieve his purpose as a vicegerent in light of what God has deposited in his fiṭra of sinfulness and God-consciousness? And what are the mechanisms that enable him to favor God-consciousness over sinfulness by employing his freedom?'</w:t>
      </w:r>
    </w:p>
    <w:p>
      <w:pPr>
        <w:spacing w:after="80" w:before="80"/>
        <w:jc w:val="both"/>
      </w:pPr>
      <w:r>
        <w:rPr>
          <w:rFonts w:ascii="Times New Roman" w:cs="Times New Roman" w:eastAsia="Times New Roman" w:hAnsi="Times New Roman"/>
          <w:sz w:val="22"/>
          <w:szCs w:val="22"/>
        </w:rPr>
        <w:t xml:space="preserve">This shift in the question demands a shift in method: from the polemical kalamic method to the existential therapeutic method; and from the search for a theoretical answer to the construction of a practical Istikhlafi project.</w:t>
      </w:r>
    </w:p>
    <w:p>
      <w:pPr>
        <w:pStyle w:val="Heading3"/>
        <w:spacing w:after="120" w:before="200"/>
      </w:pPr>
      <w:r>
        <w:rPr>
          <w:rFonts w:ascii="Times New Roman" w:cs="Times New Roman" w:eastAsia="Times New Roman" w:hAnsi="Times New Roman"/>
          <w:b/>
          <w:bCs/>
          <w:color w:val="0A5E5E"/>
          <w:sz w:val="24"/>
          <w:szCs w:val="24"/>
        </w:rPr>
        <w:t xml:space="preserve">The Second Level: Synthesis Among Positions Rather Than Selection Between Them</w:t>
      </w:r>
    </w:p>
    <w:p>
      <w:pPr>
        <w:spacing w:after="80" w:before="80"/>
        <w:jc w:val="both"/>
      </w:pPr>
      <w:r>
        <w:rPr>
          <w:rFonts w:ascii="Times New Roman" w:cs="Times New Roman" w:eastAsia="Times New Roman" w:hAnsi="Times New Roman"/>
          <w:sz w:val="22"/>
          <w:szCs w:val="22"/>
        </w:rPr>
        <w:t xml:space="preserve">The Istikhlafi model does not reject prior positions wholesale; rather, it recomposes them within a higher framework:</w:t>
      </w:r>
    </w:p>
    <w:p>
      <w:pPr>
        <w:spacing w:after="80" w:before="80"/>
        <w:jc w:val="both"/>
      </w:pPr>
      <w:r>
        <w:rPr>
          <w:rFonts w:ascii="Times New Roman" w:cs="Times New Roman" w:eastAsia="Times New Roman" w:hAnsi="Times New Roman"/>
          <w:b/>
          <w:bCs/>
          <w:color w:val="9A7B1A"/>
          <w:sz w:val="22"/>
          <w:szCs w:val="22"/>
        </w:rPr>
        <w:t xml:space="preserve">• </w:t>
      </w:r>
      <w:r>
        <w:rPr>
          <w:rFonts w:ascii="Times New Roman" w:cs="Times New Roman" w:eastAsia="Times New Roman" w:hAnsi="Times New Roman"/>
          <w:b/>
          <w:bCs/>
          <w:sz w:val="22"/>
          <w:szCs w:val="22"/>
        </w:rPr>
        <w:t xml:space="preserve">With the Mu'tazilites</w:t>
      </w:r>
      <w:r>
        <w:rPr>
          <w:rFonts w:ascii="Times New Roman" w:cs="Times New Roman" w:eastAsia="Times New Roman" w:hAnsi="Times New Roman"/>
          <w:sz w:val="22"/>
          <w:szCs w:val="22"/>
        </w:rPr>
        <w:t xml:space="preserve"> in affirming genuine freedom and rational responsibility — but grounds it in fiṭra rather than pure reason.</w:t>
      </w:r>
    </w:p>
    <w:p>
      <w:pPr>
        <w:spacing w:after="80" w:before="80"/>
        <w:jc w:val="both"/>
      </w:pPr>
      <w:r>
        <w:rPr>
          <w:rFonts w:ascii="Times New Roman" w:cs="Times New Roman" w:eastAsia="Times New Roman" w:hAnsi="Times New Roman"/>
          <w:b/>
          <w:bCs/>
          <w:color w:val="9A7B1A"/>
          <w:sz w:val="22"/>
          <w:szCs w:val="22"/>
        </w:rPr>
        <w:t xml:space="preserve">• </w:t>
      </w:r>
      <w:r>
        <w:rPr>
          <w:rFonts w:ascii="Times New Roman" w:cs="Times New Roman" w:eastAsia="Times New Roman" w:hAnsi="Times New Roman"/>
          <w:b/>
          <w:bCs/>
          <w:sz w:val="22"/>
          <w:szCs w:val="22"/>
        </w:rPr>
        <w:t xml:space="preserve">With the Ash'arites</w:t>
      </w:r>
      <w:r>
        <w:rPr>
          <w:rFonts w:ascii="Times New Roman" w:cs="Times New Roman" w:eastAsia="Times New Roman" w:hAnsi="Times New Roman"/>
          <w:sz w:val="22"/>
          <w:szCs w:val="22"/>
        </w:rPr>
        <w:t xml:space="preserve"> in venerating absolute divine omnipotence and God's creation of the entire cosmos — but rejects actual compulsion.</w:t>
      </w:r>
    </w:p>
    <w:p>
      <w:pPr>
        <w:spacing w:after="80" w:before="80"/>
        <w:jc w:val="both"/>
      </w:pPr>
      <w:r>
        <w:rPr>
          <w:rFonts w:ascii="Times New Roman" w:cs="Times New Roman" w:eastAsia="Times New Roman" w:hAnsi="Times New Roman"/>
          <w:b/>
          <w:bCs/>
          <w:color w:val="9A7B1A"/>
          <w:sz w:val="22"/>
          <w:szCs w:val="22"/>
        </w:rPr>
        <w:t xml:space="preserve">• </w:t>
      </w:r>
      <w:r>
        <w:rPr>
          <w:rFonts w:ascii="Times New Roman" w:cs="Times New Roman" w:eastAsia="Times New Roman" w:hAnsi="Times New Roman"/>
          <w:b/>
          <w:bCs/>
          <w:sz w:val="22"/>
          <w:szCs w:val="22"/>
        </w:rPr>
        <w:t xml:space="preserve">With the Philosophers</w:t>
      </w:r>
      <w:r>
        <w:rPr>
          <w:rFonts w:ascii="Times New Roman" w:cs="Times New Roman" w:eastAsia="Times New Roman" w:hAnsi="Times New Roman"/>
          <w:sz w:val="22"/>
          <w:szCs w:val="22"/>
        </w:rPr>
        <w:t xml:space="preserve"> in acknowledging the role of psychological nature in directing action — but adds freedom and accountability.</w:t>
      </w:r>
    </w:p>
    <w:p>
      <w:pPr>
        <w:spacing w:after="80" w:before="80"/>
        <w:jc w:val="both"/>
      </w:pPr>
      <w:r>
        <w:rPr>
          <w:rFonts w:ascii="Times New Roman" w:cs="Times New Roman" w:eastAsia="Times New Roman" w:hAnsi="Times New Roman"/>
          <w:b/>
          <w:bCs/>
          <w:color w:val="9A7B1A"/>
          <w:sz w:val="22"/>
          <w:szCs w:val="22"/>
        </w:rPr>
        <w:t xml:space="preserve">• </w:t>
      </w:r>
      <w:r>
        <w:rPr>
          <w:rFonts w:ascii="Times New Roman" w:cs="Times New Roman" w:eastAsia="Times New Roman" w:hAnsi="Times New Roman"/>
          <w:b/>
          <w:bCs/>
          <w:sz w:val="22"/>
          <w:szCs w:val="22"/>
        </w:rPr>
        <w:t xml:space="preserve">With Frankl</w:t>
      </w:r>
      <w:r>
        <w:rPr>
          <w:rFonts w:ascii="Times New Roman" w:cs="Times New Roman" w:eastAsia="Times New Roman" w:hAnsi="Times New Roman"/>
          <w:sz w:val="22"/>
          <w:szCs w:val="22"/>
        </w:rPr>
        <w:t xml:space="preserve"> in making inner freedom genuine even in the harshest circumstances — but frames it within stewardship rather than individual meaning alone.</w:t>
      </w:r>
    </w:p>
    <w:p>
      <w:pPr>
        <w:spacing w:after="80" w:before="80"/>
        <w:jc w:val="both"/>
      </w:pPr>
      <w:r>
        <w:rPr>
          <w:rFonts w:ascii="Times New Roman" w:cs="Times New Roman" w:eastAsia="Times New Roman" w:hAnsi="Times New Roman"/>
          <w:b/>
          <w:bCs/>
          <w:color w:val="9A7B1A"/>
          <w:sz w:val="22"/>
          <w:szCs w:val="22"/>
        </w:rPr>
        <w:t xml:space="preserve">• </w:t>
      </w:r>
      <w:r>
        <w:rPr>
          <w:rFonts w:ascii="Times New Roman" w:cs="Times New Roman" w:eastAsia="Times New Roman" w:hAnsi="Times New Roman"/>
          <w:b/>
          <w:bCs/>
          <w:sz w:val="22"/>
          <w:szCs w:val="22"/>
        </w:rPr>
        <w:t xml:space="preserve">With Kant</w:t>
      </w:r>
      <w:r>
        <w:rPr>
          <w:rFonts w:ascii="Times New Roman" w:cs="Times New Roman" w:eastAsia="Times New Roman" w:hAnsi="Times New Roman"/>
          <w:sz w:val="22"/>
          <w:szCs w:val="22"/>
        </w:rPr>
        <w:t xml:space="preserve"> in making freedom a condition for morality — but gives it an innate divine foundation rather than a merely rational one.</w:t>
      </w:r>
    </w:p>
    <w:p>
      <w:pPr>
        <w:spacing w:after="0" w:before="160"/>
      </w:pPr>
      <w:r>
        <w:t xml:space="preserve"/>
      </w:r>
    </w:p>
    <w:p>
      <w:pPr>
        <w:pBdr>
          <w:left w:val="thick" w:color="0A5E5E" w:sz="12" w:space="10"/>
        </w:pBdr>
        <w:spacing w:after="200" w:before="200"/>
        <w:ind w:left="360"/>
        <w:jc w:val="both"/>
      </w:pPr>
      <w:r>
        <w:rPr>
          <w:rFonts w:ascii="Times New Roman" w:cs="Times New Roman" w:eastAsia="Times New Roman" w:hAnsi="Times New Roman"/>
          <w:i/>
          <w:iCs/>
          <w:color w:val="0D1B33"/>
          <w:sz w:val="22"/>
          <w:szCs w:val="22"/>
        </w:rPr>
        <w:t xml:space="preserve">Freedom in the Istikhlafi model is not an absolute gift — it is a trust (amāna). Divine decree is not a prison that shackles the human being; it is a framework that liberates him from the delusion of divinity and burdens him with the responsibility of stewardship. Only then does the human being transform from a prisoner in the debate of 'compulsion and choice' into an Istikhlafi agent who builds himself and cultivates the earth, bearing witness that God intended for him goodness, cleared a path for him, and left him the decision.</w:t>
      </w:r>
    </w:p>
    <w:p>
      <w:pPr>
        <w:spacing w:after="0" w:before="120"/>
      </w:pPr>
      <w:r>
        <w:t xml:space="preserve"/>
      </w:r>
    </w:p>
    <w:p>
      <w:pPr>
        <w:spacing w:after="80" w:before="80"/>
        <w:jc w:val="both"/>
      </w:pPr>
      <w:r>
        <w:rPr>
          <w:rFonts w:ascii="Times New Roman" w:cs="Times New Roman" w:eastAsia="Times New Roman" w:hAnsi="Times New Roman"/>
          <w:sz w:val="22"/>
          <w:szCs w:val="22"/>
        </w:rPr>
        <w:t xml:space="preserve">In sum, the kalamic debate over divine decree was a necessary stage in Islamic intellectual maturation. Yet transcending it to the stage of 'existential architecture' offered by Istikhlafi Psychology represents the qualitative leap awaited by the contemporary Muslim mind — a mind in need of a vision that unites the authenticity of Revelation, the depth of philosophy, and the efficacy of therapy.</w:t>
      </w:r>
    </w:p>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A7B1A" w:sz="8"/>
              <w:left w:val="single" w:color="9A7B1A" w:sz="8"/>
              <w:bottom w:val="single" w:color="9A7B1A" w:sz="8"/>
              <w:right w:val="single" w:color="9A7B1A" w:sz="8"/>
            </w:tcBorders>
            <w:shd w:fill="FDF6E3" w:val="clear"/>
            <w:tcMar>
              <w:top w:type="dxa" w:w="160"/>
              <w:left w:type="dxa" w:w="360"/>
              <w:bottom w:type="dxa" w:w="120"/>
              <w:right w:type="dxa" w:w="360"/>
            </w:tcMar>
          </w:tcPr>
          <w:p>
            <w:pPr>
              <w:spacing w:after="60" w:before="60"/>
              <w:jc w:val="center"/>
            </w:pPr>
            <w:r>
              <w:rPr>
                <w:rFonts w:ascii="Traditional Arabic" w:cs="Traditional Arabic" w:eastAsia="Traditional Arabic" w:hAnsi="Traditional Arabic"/>
                <w:b/>
                <w:bCs/>
                <w:color w:val="0D1B33"/>
                <w:sz w:val="26"/>
                <w:szCs w:val="26"/>
              </w:rPr>
              <w:t xml:space="preserve">وَقُلِ اعْمَلُوا فَسَيَرَى اللَّهُ عَمَلَكُمْ وَرَسُولُهُ وَالْمُؤْمِنُونَ ۖ وَسَتُرَدُّونَ إِلَىٰ عَالِمِ الْغَيْبِ وَالشَّهَادَةِ فَيُنَبِّئُكُم بِمَا كُنتُمْ تَعْمَلُونَ</w:t>
            </w:r>
          </w:p>
          <w:p>
            <w:pPr>
              <w:spacing w:after="0" w:before="40"/>
              <w:jc w:val="center"/>
            </w:pPr>
            <w:r>
              <w:rPr>
                <w:rFonts w:ascii="Times New Roman" w:cs="Times New Roman" w:eastAsia="Times New Roman" w:hAnsi="Times New Roman"/>
                <w:i/>
                <w:iCs/>
                <w:color w:val="9A7B1A"/>
                <w:sz w:val="20"/>
                <w:szCs w:val="20"/>
              </w:rPr>
              <w:t xml:space="preserve">Say: Act! For Allah will see your deeds, and [so will] His Messenger and the believers. And you will be returned to the Knower of the unseen and the witnessed, and He will inform you of what you used to do. (Al-Tawba: 105)</w:t>
            </w:r>
          </w:p>
        </w:tc>
      </w:tr>
    </w:tbl>
    <w:p>
      <w:pPr>
        <w:pBdr>
          <w:bottom w:val="single" w:color="9A7B1A" w:sz="4" w:space="4"/>
        </w:pBdr>
        <w:spacing w:after="160" w:before="160"/>
      </w:pPr>
      <w:r>
        <w:t xml:space="preserve"/>
      </w:r>
    </w:p>
    <w:p>
      <w:pPr>
        <w:pStyle w:val="Heading1"/>
        <w:pageBreakBefore/>
        <w:spacing w:after="240" w:before="360"/>
      </w:pPr>
      <w:r>
        <w:rPr>
          <w:rFonts w:ascii="Times New Roman" w:cs="Times New Roman" w:eastAsia="Times New Roman" w:hAnsi="Times New Roman"/>
          <w:b/>
          <w:bCs/>
          <w:color w:val="0D1B33"/>
          <w:sz w:val="32"/>
          <w:szCs w:val="32"/>
        </w:rPr>
        <w:t xml:space="preserve">References and Bibliography</w:t>
      </w:r>
    </w:p>
    <w:p>
      <w:pPr>
        <w:pStyle w:val="Heading2"/>
        <w:spacing w:after="160" w:before="280"/>
      </w:pPr>
      <w:r>
        <w:rPr>
          <w:rFonts w:ascii="Times New Roman" w:cs="Times New Roman" w:eastAsia="Times New Roman" w:hAnsi="Times New Roman"/>
          <w:b/>
          <w:bCs/>
          <w:color w:val="1A3A6B"/>
          <w:sz w:val="26"/>
          <w:szCs w:val="26"/>
        </w:rPr>
        <w:t xml:space="preserve">I. Classical Islamic Sources</w:t>
      </w:r>
    </w:p>
    <w:p>
      <w:pPr>
        <w:spacing w:after="80" w:before="80"/>
        <w:jc w:val="both"/>
      </w:pPr>
      <w:r>
        <w:rPr>
          <w:rFonts w:ascii="Times New Roman" w:cs="Times New Roman" w:eastAsia="Times New Roman" w:hAnsi="Times New Roman"/>
          <w:sz w:val="22"/>
          <w:szCs w:val="22"/>
        </w:rPr>
        <w:t xml:space="preserve">• Al-Qāḍī ʿAbd al-Jabbār al-Hamadhānī. (5th century AH). Sharḥ al-Uṣūl al-Khamsa [Commentary on the Five Principles]. Ed. ʿAbd al-Karīm ʿUthmān. Maktabat Wahba.</w:t>
      </w:r>
    </w:p>
    <w:p>
      <w:pPr>
        <w:spacing w:after="80" w:before="80"/>
        <w:jc w:val="both"/>
      </w:pPr>
      <w:r>
        <w:rPr>
          <w:rFonts w:ascii="Times New Roman" w:cs="Times New Roman" w:eastAsia="Times New Roman" w:hAnsi="Times New Roman"/>
          <w:sz w:val="22"/>
          <w:szCs w:val="22"/>
        </w:rPr>
        <w:t xml:space="preserve">• Al-Shahrastānī, Muḥammad ibn ʿAbd al-Karīm. (1128 CE). Al-Milal wa-l-Niḥal [Religious Sects and Creeds]. Ed. Muḥammad Sayyid Kīlānī. Dār al-Maʿrifa, Beirut.</w:t>
      </w:r>
    </w:p>
    <w:p>
      <w:pPr>
        <w:spacing w:after="80" w:before="80"/>
        <w:jc w:val="both"/>
      </w:pPr>
      <w:r>
        <w:rPr>
          <w:rFonts w:ascii="Times New Roman" w:cs="Times New Roman" w:eastAsia="Times New Roman" w:hAnsi="Times New Roman"/>
          <w:sz w:val="22"/>
          <w:szCs w:val="22"/>
        </w:rPr>
        <w:t xml:space="preserve">• Ibn Rushd, Abū al-Walīd Muḥammad. (1195 CE). Tahāfut al-Tahāfut [The Incoherence of the Incoherence]. Ed. Sulaymān Dunyā. Dār al-Maʿārif, Cairo.</w:t>
      </w:r>
    </w:p>
    <w:p>
      <w:pPr>
        <w:spacing w:after="80" w:before="80"/>
        <w:jc w:val="both"/>
      </w:pPr>
      <w:r>
        <w:rPr>
          <w:rFonts w:ascii="Times New Roman" w:cs="Times New Roman" w:eastAsia="Times New Roman" w:hAnsi="Times New Roman"/>
          <w:sz w:val="22"/>
          <w:szCs w:val="22"/>
        </w:rPr>
        <w:t xml:space="preserve">• Ibn Sīnā, Abū ʿAlī al-Ḥusayn. (1037 CE). Al-Shifāʾ: Al-Ilāhiyyāt [The Cure: Metaphysics]. Ed. Père Qanwānī et al. General Authority for Government Printing Affairs.</w:t>
      </w:r>
    </w:p>
    <w:p>
      <w:pPr>
        <w:spacing w:after="80" w:before="80"/>
        <w:jc w:val="both"/>
      </w:pPr>
      <w:r>
        <w:rPr>
          <w:rFonts w:ascii="Times New Roman" w:cs="Times New Roman" w:eastAsia="Times New Roman" w:hAnsi="Times New Roman"/>
          <w:sz w:val="22"/>
          <w:szCs w:val="22"/>
        </w:rPr>
        <w:t xml:space="preserve">• Al-Ashʿarī, Abū al-Ḥasan. (935 CE). Al-Lumaʿ fī al-Radd ʿalā Ahl al-Zaygh wa-l-Bidaʿ. Ed. Ḥamūda Gharāba. Dār al-Kitāb al-Miṣrī.</w:t>
      </w:r>
    </w:p>
    <w:p>
      <w:pPr>
        <w:spacing w:after="80" w:before="80"/>
        <w:jc w:val="both"/>
      </w:pPr>
      <w:r>
        <w:rPr>
          <w:rFonts w:ascii="Times New Roman" w:cs="Times New Roman" w:eastAsia="Times New Roman" w:hAnsi="Times New Roman"/>
          <w:sz w:val="22"/>
          <w:szCs w:val="22"/>
        </w:rPr>
        <w:t xml:space="preserve">• Al-Ghazālī, Abū Ḥāmid. (1111 CE). Iḥyāʾ ʿUlūm al-Dīn [The Revival of the Religious Sciences]. Dār al-Maʿrifa, Beirut.</w:t>
      </w:r>
    </w:p>
    <w:p>
      <w:pPr>
        <w:pStyle w:val="Heading2"/>
        <w:spacing w:after="160" w:before="280"/>
      </w:pPr>
      <w:r>
        <w:rPr>
          <w:rFonts w:ascii="Times New Roman" w:cs="Times New Roman" w:eastAsia="Times New Roman" w:hAnsi="Times New Roman"/>
          <w:b/>
          <w:bCs/>
          <w:color w:val="1A3A6B"/>
          <w:sz w:val="26"/>
          <w:szCs w:val="26"/>
        </w:rPr>
        <w:t xml:space="preserve">II. Istikhlafi Psychology</w:t>
      </w:r>
    </w:p>
    <w:p>
      <w:pPr>
        <w:spacing w:after="80" w:before="80"/>
        <w:jc w:val="both"/>
      </w:pPr>
      <w:r>
        <w:rPr>
          <w:rFonts w:ascii="Times New Roman" w:cs="Times New Roman" w:eastAsia="Times New Roman" w:hAnsi="Times New Roman"/>
          <w:sz w:val="22"/>
          <w:szCs w:val="22"/>
        </w:rPr>
        <w:t xml:space="preserve">• Al-Zarraʿ, ʿAbd al-Salām. (2023). ʿIlm al-Nafs al-Istikhlāfī: Namūdhaj al-Aḍlāʿ al-Thamāniya [Istikhlafi Psychology: The Eight Ribs Model] (The Istikhlafi Thesis). Pages: 108, 189, 205–207, 906, 1102, 1104, 1125.</w:t>
      </w:r>
    </w:p>
    <w:p>
      <w:pPr>
        <w:spacing w:after="80" w:before="80"/>
        <w:jc w:val="both"/>
      </w:pPr>
      <w:r>
        <w:rPr>
          <w:rFonts w:ascii="Times New Roman" w:cs="Times New Roman" w:eastAsia="Times New Roman" w:hAnsi="Times New Roman"/>
          <w:sz w:val="22"/>
          <w:szCs w:val="22"/>
        </w:rPr>
        <w:t xml:space="preserve">• TLRT (Transformative Reconciliation Tillage Therapy). (2026). Al-Dalīl al-Naẓarī wa-l-Iklīnīkī [The Theoretical and Clinical Manual] (First Experimental Edition). Page: 34.</w:t>
      </w:r>
    </w:p>
    <w:p>
      <w:pPr>
        <w:pStyle w:val="Heading2"/>
        <w:spacing w:after="160" w:before="280"/>
      </w:pPr>
      <w:r>
        <w:rPr>
          <w:rFonts w:ascii="Times New Roman" w:cs="Times New Roman" w:eastAsia="Times New Roman" w:hAnsi="Times New Roman"/>
          <w:b/>
          <w:bCs/>
          <w:color w:val="1A3A6B"/>
          <w:sz w:val="26"/>
          <w:szCs w:val="26"/>
        </w:rPr>
        <w:t xml:space="preserve">III. Western Philosophy</w:t>
      </w:r>
    </w:p>
    <w:p>
      <w:pPr>
        <w:spacing w:after="80" w:before="80"/>
        <w:jc w:val="both"/>
      </w:pPr>
      <w:r>
        <w:rPr>
          <w:rFonts w:ascii="Times New Roman" w:cs="Times New Roman" w:eastAsia="Times New Roman" w:hAnsi="Times New Roman"/>
          <w:sz w:val="22"/>
          <w:szCs w:val="22"/>
        </w:rPr>
        <w:t xml:space="preserve">• Kant, Immanuel. (1788). Critique of Practical Reason. Trans. Mary Gregor. Cambridge University Press, 1997.</w:t>
      </w:r>
    </w:p>
    <w:p>
      <w:pPr>
        <w:spacing w:after="80" w:before="80"/>
        <w:jc w:val="both"/>
      </w:pPr>
      <w:r>
        <w:rPr>
          <w:rFonts w:ascii="Times New Roman" w:cs="Times New Roman" w:eastAsia="Times New Roman" w:hAnsi="Times New Roman"/>
          <w:sz w:val="22"/>
          <w:szCs w:val="22"/>
        </w:rPr>
        <w:t xml:space="preserve">• Sartre, Jean-Paul. (1943). Being and Nothingness. Trans. Hazel Barnes. Philosophical Library, New York.</w:t>
      </w:r>
    </w:p>
    <w:p>
      <w:pPr>
        <w:spacing w:after="80" w:before="80"/>
        <w:jc w:val="both"/>
      </w:pPr>
      <w:r>
        <w:rPr>
          <w:rFonts w:ascii="Times New Roman" w:cs="Times New Roman" w:eastAsia="Times New Roman" w:hAnsi="Times New Roman"/>
          <w:sz w:val="22"/>
          <w:szCs w:val="22"/>
        </w:rPr>
        <w:t xml:space="preserve">• Frankl, Viktor E. (1946). Man's Search for Meaning. Beacon Press, Boston.</w:t>
      </w:r>
    </w:p>
    <w:p>
      <w:pPr>
        <w:spacing w:after="80" w:before="80"/>
        <w:jc w:val="both"/>
      </w:pPr>
      <w:r>
        <w:rPr>
          <w:rFonts w:ascii="Times New Roman" w:cs="Times New Roman" w:eastAsia="Times New Roman" w:hAnsi="Times New Roman"/>
          <w:sz w:val="22"/>
          <w:szCs w:val="22"/>
        </w:rPr>
        <w:t xml:space="preserve">• Molina, Luis de. (1588). Concordia liberi arbitrii cum gratiae donis. Trans. Freddoso, A. J. Cornell University Press, 1988.</w:t>
      </w:r>
    </w:p>
    <w:p>
      <w:pPr>
        <w:spacing w:after="80" w:before="80"/>
        <w:jc w:val="both"/>
      </w:pPr>
      <w:r>
        <w:rPr>
          <w:rFonts w:ascii="Times New Roman" w:cs="Times New Roman" w:eastAsia="Times New Roman" w:hAnsi="Times New Roman"/>
          <w:sz w:val="22"/>
          <w:szCs w:val="22"/>
        </w:rPr>
        <w:t xml:space="preserve">• Leibniz, Gottfried Wilhelm. (1710). Theodicy: Essays on the Goodness of God, the Freedom of Man, and the Origin of Evil. Trans. E.M. Huggard. Open Court, 1985.</w:t>
      </w:r>
    </w:p>
    <w:p>
      <w:pPr>
        <w:spacing w:after="80" w:before="80"/>
        <w:jc w:val="both"/>
      </w:pPr>
      <w:r>
        <w:rPr>
          <w:rFonts w:ascii="Times New Roman" w:cs="Times New Roman" w:eastAsia="Times New Roman" w:hAnsi="Times New Roman"/>
          <w:sz w:val="22"/>
          <w:szCs w:val="22"/>
        </w:rPr>
        <w:t xml:space="preserve">• Frankfurt, Harry G. (1971). Freedom of the Will and the Concept of a Person. Journal of Philosophy, 68(1), 5–20.</w:t>
      </w:r>
    </w:p>
    <w:p>
      <w:pPr>
        <w:spacing w:after="80" w:before="80"/>
        <w:jc w:val="both"/>
      </w:pPr>
      <w:r>
        <w:rPr>
          <w:rFonts w:ascii="Times New Roman" w:cs="Times New Roman" w:eastAsia="Times New Roman" w:hAnsi="Times New Roman"/>
          <w:sz w:val="22"/>
          <w:szCs w:val="22"/>
        </w:rPr>
        <w:t xml:space="preserve">• Plantinga, Alvin. (1977). God, Freedom, and Evil. Eerdmans Publishing.</w:t>
      </w:r>
    </w:p>
    <w:p>
      <w:pPr>
        <w:pStyle w:val="Heading2"/>
        <w:spacing w:after="160" w:before="280"/>
      </w:pPr>
      <w:r>
        <w:rPr>
          <w:rFonts w:ascii="Times New Roman" w:cs="Times New Roman" w:eastAsia="Times New Roman" w:hAnsi="Times New Roman"/>
          <w:b/>
          <w:bCs/>
          <w:color w:val="1A3A6B"/>
          <w:sz w:val="26"/>
          <w:szCs w:val="26"/>
        </w:rPr>
        <w:t xml:space="preserve">IV. Contemporary Studies</w:t>
      </w:r>
    </w:p>
    <w:p>
      <w:pPr>
        <w:spacing w:after="80" w:before="80"/>
        <w:jc w:val="both"/>
      </w:pPr>
      <w:r>
        <w:rPr>
          <w:rFonts w:ascii="Times New Roman" w:cs="Times New Roman" w:eastAsia="Times New Roman" w:hAnsi="Times New Roman"/>
          <w:sz w:val="22"/>
          <w:szCs w:val="22"/>
        </w:rPr>
        <w:t xml:space="preserve">• Wolfson, Harry Austryn. (1976). The Philosophy of the Kalam. Harvard University Press.</w:t>
      </w:r>
    </w:p>
    <w:p>
      <w:pPr>
        <w:spacing w:after="80" w:before="80"/>
        <w:jc w:val="both"/>
      </w:pPr>
      <w:r>
        <w:rPr>
          <w:rFonts w:ascii="Times New Roman" w:cs="Times New Roman" w:eastAsia="Times New Roman" w:hAnsi="Times New Roman"/>
          <w:sz w:val="22"/>
          <w:szCs w:val="22"/>
        </w:rPr>
        <w:t xml:space="preserve">• Nasr, Seyyed Hossein. (1981). Islam and the Plight of Modern Man. Longman.</w:t>
      </w:r>
    </w:p>
    <w:p>
      <w:pPr>
        <w:spacing w:after="80" w:before="80"/>
        <w:jc w:val="both"/>
      </w:pPr>
      <w:r>
        <w:rPr>
          <w:rFonts w:ascii="Times New Roman" w:cs="Times New Roman" w:eastAsia="Times New Roman" w:hAnsi="Times New Roman"/>
          <w:sz w:val="22"/>
          <w:szCs w:val="22"/>
        </w:rPr>
        <w:t xml:space="preserve">• Abū Zayd, Naṣr Ḥāmid. (1994). Al-Naṣṣ, al-Sulṭa, al-Ḥaqīqa [Text, Authority, Truth]. Al-Markaz al-Thaqāfī al-ʿArabī.</w:t>
      </w:r>
    </w:p>
    <w:p>
      <w:pPr>
        <w:spacing w:after="80" w:before="80"/>
        <w:jc w:val="both"/>
      </w:pPr>
      <w:r>
        <w:rPr>
          <w:rFonts w:ascii="Times New Roman" w:cs="Times New Roman" w:eastAsia="Times New Roman" w:hAnsi="Times New Roman"/>
          <w:sz w:val="22"/>
          <w:szCs w:val="22"/>
        </w:rPr>
        <w:t xml:space="preserve">• Nasr, Seyyed Hossein. (2006). Islamic Philosophy from Its Origin to the Present. State University of New York Press.</w:t>
      </w:r>
    </w:p>
    <w:p>
      <w:pPr>
        <w:pBdr>
          <w:bottom w:val="single" w:color="9A7B1A" w:sz="4" w:space="4"/>
        </w:pBdr>
        <w:spacing w:after="160" w:before="160"/>
      </w:pPr>
      <w:r>
        <w:t xml:space="preserve"/>
      </w:r>
    </w:p>
    <w:p>
      <w:pPr>
        <w:spacing w:after="0" w:before="240"/>
      </w:pPr>
      <w:r>
        <w:t xml:space="preserve"/>
      </w:r>
    </w:p>
    <w:p>
      <w:pPr>
        <w:spacing w:after="80" w:before="160"/>
        <w:jc w:val="center"/>
      </w:pPr>
      <w:r>
        <w:rPr>
          <w:rFonts w:ascii="Times New Roman" w:cs="Times New Roman" w:eastAsia="Times New Roman" w:hAnsi="Times New Roman"/>
          <w:b/>
          <w:bCs/>
          <w:i/>
          <w:iCs/>
          <w:color w:val="0A5E5E"/>
          <w:sz w:val="22"/>
          <w:szCs w:val="22"/>
        </w:rPr>
        <w:t xml:space="preserve">My success is only through Allah — upon Him I rely and to Him I turn.</w:t>
      </w:r>
    </w:p>
    <w:p>
      <w:pPr>
        <w:spacing w:after="0" w:before="0"/>
        <w:jc w:val="center"/>
      </w:pPr>
      <w:r>
        <w:rPr>
          <w:rFonts w:ascii="Traditional Arabic" w:cs="Traditional Arabic" w:eastAsia="Traditional Arabic" w:hAnsi="Traditional Arabic"/>
          <w:color w:val="9A7B1A"/>
          <w:sz w:val="24"/>
          <w:szCs w:val="24"/>
        </w:rPr>
        <w:t xml:space="preserve">(وَمَا تَوْفِيقِي إِلَّا بِاللَّهِ، عَلَيْهِ تَوَكَّلْتُ وَإِلَيْهِ أُنِيبُ)</w:t>
      </w:r>
    </w:p>
    <w:sectPr>
      <w:headerReference w:type="default" r:id="rId7"/>
      <w:footerReference w:type="default" r:id="rId8"/>
      <w:pgSz w:w="12240" w:h="15840" w:orient="portrait"/>
      <w:pgMar w:top="1440" w:right="1260" w:bottom="144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9A7B1A" w:sz="4" w:space="4"/>
      </w:pBdr>
      <w:jc w:val="center"/>
    </w:pPr>
    <w:r>
      <w:rPr>
        <w:rFonts w:ascii="Times New Roman" w:cs="Times New Roman" w:eastAsia="Times New Roman" w:hAnsi="Times New Roman"/>
        <w:color w:val="0D1B33"/>
        <w:sz w:val="18"/>
        <w:szCs w:val="18"/>
      </w:rPr>
      <w:t xml:space="preserve">© Abd al-Salam al-Zaraa — Istikhlafi Psychology  |  Page </w:t>
    </w:r>
    <w:r>
      <w:rPr>
        <w:rFonts w:ascii="Times New Roman" w:cs="Times New Roman" w:eastAsia="Times New Roman" w:hAnsi="Times New Roman"/>
        <w:color w:val="0D1B33"/>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9A7B1A" w:sz="4" w:space="4"/>
      </w:pBdr>
      <w:jc w:val="right"/>
    </w:pPr>
    <w:r>
      <w:rPr>
        <w:rFonts w:ascii="Times New Roman" w:cs="Times New Roman" w:eastAsia="Times New Roman" w:hAnsi="Times New Roman"/>
        <w:i/>
        <w:iCs/>
        <w:color w:val="0A5E5E"/>
        <w:sz w:val="18"/>
        <w:szCs w:val="18"/>
      </w:rPr>
      <w:t xml:space="preserve">Istikhlafi Psychology — Divine Decree &amp; Human Freedom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360"/>
      <w:outlineLvl w:val="0"/>
    </w:pPr>
    <w:rPr>
      <w:rFonts w:ascii="Times New Roman" w:cs="Times New Roman" w:eastAsia="Times New Roman" w:hAnsi="Times New Roman"/>
      <w:b/>
      <w:bCs/>
      <w:color w:val="0D1B33"/>
      <w:sz w:val="32"/>
      <w:szCs w:val="32"/>
    </w:rPr>
  </w:style>
  <w:style w:type="paragraph" w:styleId="Heading2">
    <w:name w:val="Heading 2"/>
    <w:basedOn w:val="Normal"/>
    <w:next w:val="Normal"/>
    <w:qFormat/>
    <w:pPr>
      <w:spacing w:after="160" w:before="280"/>
      <w:outlineLvl w:val="1"/>
    </w:pPr>
    <w:rPr>
      <w:rFonts w:ascii="Times New Roman" w:cs="Times New Roman" w:eastAsia="Times New Roman" w:hAnsi="Times New Roman"/>
      <w:b/>
      <w:bCs/>
      <w:color w:val="1A3A6B"/>
      <w:sz w:val="26"/>
      <w:szCs w:val="26"/>
    </w:rPr>
  </w:style>
  <w:style w:type="paragraph" w:styleId="Heading3">
    <w:name w:val="Heading 3"/>
    <w:basedOn w:val="Normal"/>
    <w:next w:val="Normal"/>
    <w:qFormat/>
    <w:pPr>
      <w:spacing w:after="120" w:before="200"/>
      <w:outlineLvl w:val="2"/>
    </w:pPr>
    <w:rPr>
      <w:rFonts w:ascii="Times New Roman" w:cs="Times New Roman" w:eastAsia="Times New Roman" w:hAnsi="Times New Roman"/>
      <w:b/>
      <w:bCs/>
      <w:color w:val="0A5E5E"/>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2026-05-08T03:15:18.646Z</dcterms:created>
  <dcterms:modified xsi:type="dcterms:W3CDTF">2026-05-08T03:15:18.664Z</dcterms:modified>
</cp:coreProperties>
</file>

<file path=docProps/custom.xml><?xml version="1.0" encoding="utf-8"?>
<Properties xmlns="http://schemas.openxmlformats.org/officeDocument/2006/custom-properties" xmlns:vt="http://schemas.openxmlformats.org/officeDocument/2006/docPropsVTypes"/>
</file>