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80"/>
        <w:jc w:val="center"/>
      </w:pPr>
      <w:r>
        <w:rPr>
          <w:rFonts w:ascii="Times New Roman" w:cs="Times New Roman" w:eastAsia="Times New Roman" w:hAnsi="Times New Roman"/>
          <w:b/>
          <w:bCs/>
          <w:color w:val="1C2B3A"/>
          <w:sz w:val="28"/>
          <w:szCs w:val="28"/>
          <w:rtl/>
        </w:rPr>
        <w:t xml:space="preserve">بسم الله الرحمن الرحيم</w:t>
      </w:r>
    </w:p>
    <w:p>
      <w:pPr>
        <w:spacing w:after="280"/>
      </w:pPr>
      <w:r>
        <w:t xml:space="preserve"/>
      </w:r>
    </w:p>
    <w:p>
      <w:pPr>
        <w:bidi/>
        <w:spacing w:after="100"/>
        <w:jc w:val="center"/>
      </w:pPr>
      <w:r>
        <w:rPr>
          <w:rFonts w:ascii="Times New Roman" w:cs="Times New Roman" w:eastAsia="Times New Roman" w:hAnsi="Times New Roman"/>
          <w:b/>
          <w:bCs/>
          <w:color w:val="1C2B3A"/>
          <w:sz w:val="40"/>
          <w:szCs w:val="40"/>
          <w:rtl/>
        </w:rPr>
        <w:t xml:space="preserve">إعادة تعريف دور رجال الدين</w:t>
      </w:r>
    </w:p>
    <w:p>
      <w:pPr>
        <w:bidi/>
        <w:spacing w:after="180"/>
        <w:jc w:val="center"/>
      </w:pPr>
      <w:r>
        <w:rPr>
          <w:rFonts w:ascii="Times New Roman" w:cs="Times New Roman" w:eastAsia="Times New Roman" w:hAnsi="Times New Roman"/>
          <w:b/>
          <w:bCs/>
          <w:color w:val="1C2B3A"/>
          <w:sz w:val="40"/>
          <w:szCs w:val="40"/>
          <w:rtl/>
        </w:rPr>
        <w:t xml:space="preserve">في ضوء الأطروحة الاستخلافية</w:t>
      </w:r>
    </w:p>
    <w:p>
      <w:pPr>
        <w:pBdr>
          <w:bottom w:val="single" w:color="1B5E8A" w:sz="6" w:space="1"/>
        </w:pBdr>
        <w:spacing w:after="200"/>
      </w:pPr>
      <w:r>
        <w:t xml:space="preserve"/>
      </w:r>
    </w:p>
    <w:p>
      <w:pPr>
        <w:bidi/>
        <w:spacing w:after="200"/>
        <w:jc w:val="center"/>
      </w:pPr>
      <w:r>
        <w:rPr>
          <w:rFonts w:ascii="Times New Roman" w:cs="Times New Roman" w:eastAsia="Times New Roman" w:hAnsi="Times New Roman"/>
          <w:color w:val="1B5E8A"/>
          <w:sz w:val="27"/>
          <w:szCs w:val="27"/>
          <w:rtl/>
        </w:rPr>
        <w:t xml:space="preserve">من سلطة الوصاية إلى مرجعية الرقابة الأخلاقية</w:t>
      </w:r>
    </w:p>
    <w:p>
      <w:pPr>
        <w:spacing w:after="360"/>
        <w:jc w:val="center"/>
      </w:pPr>
      <w:r>
        <w:rPr>
          <w:rFonts w:ascii="Times New Roman" w:cs="Times New Roman" w:eastAsia="Times New Roman" w:hAnsi="Times New Roman"/>
          <w:color w:val="555555"/>
          <w:sz w:val="20"/>
          <w:szCs w:val="20"/>
        </w:rPr>
        <w:t xml:space="preserve">Redefining the Role of Religious Scholars in Light of the Istikhlafic Thesis: From Guardianship Authority to Ethical Oversight Reference</w:t>
      </w:r>
    </w:p>
    <w:p>
      <w:pPr>
        <w:spacing w:after="500"/>
      </w:pPr>
      <w:r>
        <w:t xml:space="preserve"/>
      </w:r>
    </w:p>
    <w:p>
      <w:pPr>
        <w:pBdr>
          <w:bottom w:val="single" w:color="1C2B3A" w:sz="6" w:space="1"/>
        </w:pBdr>
        <w:spacing w:after="200"/>
      </w:pPr>
      <w:r>
        <w:t xml:space="preserve"/>
      </w:r>
    </w:p>
    <w:p>
      <w:pPr>
        <w:spacing w:after="240"/>
      </w:pPr>
      <w:r>
        <w:t xml:space="preserve"/>
      </w:r>
    </w:p>
    <w:p>
      <w:pPr>
        <w:bidi/>
        <w:spacing w:after="180"/>
        <w:jc w:val="center"/>
      </w:pPr>
      <w:r>
        <w:rPr>
          <w:rFonts w:ascii="Times New Roman" w:cs="Times New Roman" w:eastAsia="Times New Roman" w:hAnsi="Times New Roman"/>
          <w:b/>
          <w:bCs/>
          <w:color w:val="1C2B3A"/>
          <w:sz w:val="30"/>
          <w:szCs w:val="30"/>
          <w:rtl/>
        </w:rPr>
        <w:t xml:space="preserve">ملخص البحث</w:t>
      </w:r>
    </w:p>
    <w:p>
      <w:pPr>
        <w:bidi/>
        <w:spacing w:after="185" w:line="390" w:lineRule="auto"/>
        <w:ind/>
        <w:jc w:val="both"/>
      </w:pPr>
      <w:r>
        <w:rPr>
          <w:rFonts w:ascii="Times New Roman" w:cs="Times New Roman" w:eastAsia="Times New Roman" w:hAnsi="Times New Roman"/>
          <w:b w:val="false"/>
          <w:bCs w:val="false"/>
          <w:color w:val="111111"/>
          <w:sz w:val="24"/>
          <w:szCs w:val="24"/>
          <w:rtl/>
        </w:rPr>
        <w:t xml:space="preserve">يُعالج هذا البحث إشكاليةً محوريةً في الفكر الإسلامي المعاصر، وهي العلاقة بين رجال الدين (العلماء) والمجتمع الإسلامي — وما تكشفه الأطروحة الاستخلافية من رؤية نقدية ثالثة تتجاوز الثنائية القائمة بين نزعة تقديس تُحوّل العلماء إلى وسطاء حصريين للحقيقة، ونزعة علمانية إقصائية تسعى إلى تهميشهم. ينطلق البحث من أطروحة أن النموذج الاستخلافي لا يُلغي دور العلماء بل يُعيد صياغته نقلةً نوعيةً: من «سلطة الوصاية» إلى «مرجعية الرقابة الأخلاقية».</w:t>
      </w:r>
    </w:p>
    <w:p>
      <w:pPr>
        <w:bidi/>
        <w:spacing w:after="185" w:line="390" w:lineRule="auto"/>
        <w:ind/>
        <w:jc w:val="both"/>
      </w:pPr>
      <w:r>
        <w:rPr>
          <w:rFonts w:ascii="Times New Roman" w:cs="Times New Roman" w:eastAsia="Times New Roman" w:hAnsi="Times New Roman"/>
          <w:b w:val="false"/>
          <w:bCs w:val="false"/>
          <w:color w:val="111111"/>
          <w:sz w:val="24"/>
          <w:szCs w:val="24"/>
          <w:rtl/>
        </w:rPr>
        <w:t xml:space="preserve">يسير البحث في سبعة محاور: السيادة للمنظومة لا للأشخاص، ودمقرطة الاستخلاف والمسؤولية الفردية، وتفكيك احتكار الخبرة الروحية، ونقد الفصام الأخلاقي وتقديم أدوات التمكين الفردي، ورفض قتل الأب الرمزي، ومقارنة نقدية مع نماذج الوصاية التاريخية، وأخيرًا جدول مقارن شامل وتوصيات بحثية.</w:t>
      </w:r>
    </w:p>
    <w:p>
      <w:pPr>
        <w:bidi/>
        <w:spacing w:after="185" w:line="390" w:lineRule="auto"/>
        <w:ind/>
        <w:jc w:val="both"/>
      </w:pPr>
      <w:r>
        <w:rPr>
          <w:rFonts w:ascii="Times New Roman" w:cs="Times New Roman" w:eastAsia="Times New Roman" w:hAnsi="Times New Roman"/>
          <w:b/>
          <w:bCs/>
          <w:color w:val="111111"/>
          <w:sz w:val="22"/>
          <w:szCs w:val="22"/>
          <w:rtl/>
        </w:rPr>
        <w:t xml:space="preserve">الكلمات المفتاحية: الاستخلاف، رجال الدين، سلطة الوصاية، المسؤولية الفردية، الفصام الأخلاقي، نموذج TLRT، دمقرطة الدين، السيادة الأخلاقية.</w:t>
      </w:r>
    </w:p>
    <w:p>
      <w:pPr>
        <w:spacing w:after="60"/>
      </w:pPr>
      <w:r>
        <w:t xml:space="preserve"/>
      </w:r>
    </w:p>
    <w:p>
      <w:pPr>
        <w:spacing w:after="80"/>
        <w:jc w:val="left"/>
      </w:pPr>
      <w:r>
        <w:rPr>
          <w:rFonts w:ascii="Times New Roman" w:cs="Times New Roman" w:eastAsia="Times New Roman" w:hAnsi="Times New Roman"/>
          <w:color w:val="444444"/>
          <w:sz w:val="21"/>
          <w:szCs w:val="21"/>
        </w:rPr>
        <w:t xml:space="preserve">Mots-clés : Istikhlaf, oulémas, autorité tutélaire, responsabilité individuelle, schisme moral, modèle TLRT, démocratisation du religieux, souveraineté éthique.</w:t>
      </w:r>
    </w:p>
    <w:p>
      <w:pPr>
        <w:pBdr>
          <w:bottom w:val="single" w:color="1B5E8A" w:sz="6" w:space="1"/>
        </w:pBdr>
        <w:spacing w:after="200"/>
      </w:pPr>
      <w:r>
        <w:t xml:space="preserve"/>
      </w:r>
    </w:p>
    <w:p>
      <w:pPr>
        <w:spacing w:after="200"/>
      </w:pPr>
      <w:r>
        <w:t xml:space="preserve"/>
      </w:r>
    </w:p>
    <w:p>
      <w:pPr>
        <w:pStyle w:val="Heading1"/>
        <w:bidi/>
        <w:spacing w:before="460" w:after="220"/>
        <w:jc w:val="right"/>
      </w:pPr>
      <w:r>
        <w:rPr>
          <w:rFonts w:ascii="Times New Roman" w:cs="Times New Roman" w:eastAsia="Times New Roman" w:hAnsi="Times New Roman"/>
          <w:b/>
          <w:bCs/>
          <w:color w:val="1C2B3A"/>
          <w:sz w:val="34"/>
          <w:szCs w:val="34"/>
          <w:rtl/>
        </w:rPr>
        <w:t xml:space="preserve">أولاً: المقدمة والإطار النظري</w:t>
      </w:r>
    </w:p>
    <w:p>
      <w:pPr>
        <w:pBdr>
          <w:bottom w:val="single" w:color="1B5E8A" w:sz="6" w:space="1"/>
        </w:pBdr>
        <w:spacing w:after="200"/>
      </w:pPr>
      <w:r>
        <w:t xml:space="preserve"/>
      </w:r>
    </w:p>
    <w:p>
      <w:pPr>
        <w:pStyle w:val="Heading2"/>
        <w:bidi/>
        <w:spacing w:before="300" w:after="160"/>
        <w:jc w:val="right"/>
      </w:pPr>
      <w:r>
        <w:rPr>
          <w:rFonts w:ascii="Times New Roman" w:cs="Times New Roman" w:eastAsia="Times New Roman" w:hAnsi="Times New Roman"/>
          <w:b/>
          <w:bCs/>
          <w:color w:val="1B5E8A"/>
          <w:sz w:val="27"/>
          <w:szCs w:val="27"/>
          <w:rtl/>
        </w:rPr>
        <w:t xml:space="preserve">1.1  سياق الإشكالية</w:t>
      </w:r>
    </w:p>
    <w:p>
      <w:pPr>
        <w:bidi/>
        <w:spacing w:after="185" w:line="390" w:lineRule="auto"/>
        <w:ind w:firstLine="720"/>
        <w:jc w:val="both"/>
      </w:pPr>
      <w:r>
        <w:rPr>
          <w:rFonts w:ascii="Times New Roman" w:cs="Times New Roman" w:eastAsia="Times New Roman" w:hAnsi="Times New Roman"/>
          <w:b w:val="false"/>
          <w:bCs w:val="false"/>
          <w:color w:val="111111"/>
          <w:sz w:val="24"/>
          <w:szCs w:val="24"/>
          <w:rtl/>
        </w:rPr>
        <w:t xml:space="preserve">شكّلت العلاقة بين العلماء (رجال الدين) والمجتمع ورقةَ ضغط مزمنة في تاريخ الفكر الإسلامي؛ إذ أنتجت هذه العلاقة على مر العصور نموذجَين متعارضَين: نموذج التقديس الذي جعل من العالم وصيًّا مطلقًا على وعي المجتمع وضمير الفرد، يُقدّم الحقيقة الدينية جاهزةً مُغلَّفةً لا تقبل المساءلة. ونموذج الإقصاء العلماني الذي سعى إلى تهميش العلماء أو استبدالهم بنُخَب تقنية-عقلانية، كما جرى في تجارب علمانية قسرية في العالم الإسلامي.</w:t>
      </w:r>
    </w:p>
    <w:p>
      <w:pPr>
        <w:bidi/>
        <w:spacing w:after="185" w:line="390" w:lineRule="auto"/>
        <w:ind w:firstLine="720"/>
        <w:jc w:val="both"/>
      </w:pPr>
      <w:r>
        <w:rPr>
          <w:rFonts w:ascii="Times New Roman" w:cs="Times New Roman" w:eastAsia="Times New Roman" w:hAnsi="Times New Roman"/>
          <w:b w:val="false"/>
          <w:bCs w:val="false"/>
          <w:color w:val="111111"/>
          <w:sz w:val="24"/>
          <w:szCs w:val="24"/>
          <w:rtl/>
        </w:rPr>
        <w:t xml:space="preserve">كلا النموذجَين يشترك في علّة جوهرية: الهيمنة على الفرد بدلاً من تمكينه. وتُقدّم الأطروحة الاستخلافية رؤيةً ثالثةً تُعيد صياغة العلاقة على أسس مغايرة: أسس الاستخلاف المشترك والسيادة الأخلاقية للمنظومة لا للأشخاص. وتنبثق إشكالية البحث من سؤال محوري: كيف يُمكن إعادة تعريف دور العالِم بما يحفظ وظيفته الجوهرية دون أن يحوّلها إلى سلطة وصاية تُعطّل الاستخلاف الفردي؟</w:t>
      </w:r>
    </w:p>
    <w:p>
      <w:pPr>
        <w:pStyle w:val="Heading2"/>
        <w:bidi/>
        <w:spacing w:before="300" w:after="160"/>
        <w:jc w:val="right"/>
      </w:pPr>
      <w:r>
        <w:rPr>
          <w:rFonts w:ascii="Times New Roman" w:cs="Times New Roman" w:eastAsia="Times New Roman" w:hAnsi="Times New Roman"/>
          <w:b/>
          <w:bCs/>
          <w:color w:val="1B5E8A"/>
          <w:sz w:val="27"/>
          <w:szCs w:val="27"/>
          <w:rtl/>
        </w:rPr>
        <w:t xml:space="preserve">1.2  الفرضيات الأساسية للبحث</w:t>
      </w:r>
    </w:p>
    <w:p>
      <w:pPr>
        <w:pStyle w:val="ListParagraph"/>
        <w:numPr>
          <w:ilvl w:val="0"/>
          <w:numId w:val="2"/>
        </w:numPr>
        <w:bidi/>
        <w:spacing w:after="110"/>
        <w:jc w:val="right"/>
      </w:pPr>
      <w:r>
        <w:rPr>
          <w:rFonts w:ascii="Times New Roman" w:cs="Times New Roman" w:eastAsia="Times New Roman" w:hAnsi="Times New Roman"/>
          <w:sz w:val="24"/>
          <w:szCs w:val="24"/>
          <w:rtl/>
        </w:rPr>
        <w:t xml:space="preserve">السيادة في المنظومة الاستخلافية تنصرف إلى المنظومة الأخلاقية المستمدة من الوحي، لا إلى شخص الحاكم أو العالِم.</w:t>
      </w:r>
    </w:p>
    <w:p>
      <w:pPr>
        <w:pStyle w:val="ListParagraph"/>
        <w:numPr>
          <w:ilvl w:val="0"/>
          <w:numId w:val="2"/>
        </w:numPr>
        <w:bidi/>
        <w:spacing w:after="110"/>
        <w:jc w:val="right"/>
      </w:pPr>
      <w:r>
        <w:rPr>
          <w:rFonts w:ascii="Times New Roman" w:cs="Times New Roman" w:eastAsia="Times New Roman" w:hAnsi="Times New Roman"/>
          <w:sz w:val="24"/>
          <w:szCs w:val="24"/>
          <w:rtl/>
        </w:rPr>
        <w:t xml:space="preserve">الاستخلاف مقصدٌ عام لكل إنسان بصفته حرًّا مسؤولاً، مما يُقلّص الحاجة إلى وسيط دائم في التزكية والتوبة.</w:t>
      </w:r>
    </w:p>
    <w:p>
      <w:pPr>
        <w:pStyle w:val="ListParagraph"/>
        <w:numPr>
          <w:ilvl w:val="0"/>
          <w:numId w:val="2"/>
        </w:numPr>
        <w:bidi/>
        <w:spacing w:after="110"/>
        <w:jc w:val="right"/>
      </w:pPr>
      <w:r>
        <w:rPr>
          <w:rFonts w:ascii="Times New Roman" w:cs="Times New Roman" w:eastAsia="Times New Roman" w:hAnsi="Times New Roman"/>
          <w:sz w:val="24"/>
          <w:szCs w:val="24"/>
          <w:rtl/>
        </w:rPr>
        <w:t xml:space="preserve">الخطاب الوعظي التقليدي يفتقر إلى «الهندسة السلوكية» والأدوات العلاجية العملية التي يحتاجها الفرد في أزماته الروحية.</w:t>
      </w:r>
    </w:p>
    <w:p>
      <w:pPr>
        <w:pStyle w:val="ListParagraph"/>
        <w:numPr>
          <w:ilvl w:val="0"/>
          <w:numId w:val="2"/>
        </w:numPr>
        <w:bidi/>
        <w:spacing w:after="110"/>
        <w:jc w:val="right"/>
      </w:pPr>
      <w:r>
        <w:rPr>
          <w:rFonts w:ascii="Times New Roman" w:cs="Times New Roman" w:eastAsia="Times New Roman" w:hAnsi="Times New Roman"/>
          <w:sz w:val="24"/>
          <w:szCs w:val="24"/>
          <w:rtl/>
        </w:rPr>
        <w:t xml:space="preserve">إعادة إدراج الشيطان كعامل ديناميكي في النفس يتطلب نموذجًا تقنيًا متكاملاً لا خطابًا وعظيًا مُجرَّدًا.</w:t>
      </w:r>
    </w:p>
    <w:p>
      <w:pPr>
        <w:pStyle w:val="Heading2"/>
        <w:bidi/>
        <w:spacing w:before="300" w:after="160"/>
        <w:jc w:val="right"/>
      </w:pPr>
      <w:r>
        <w:rPr>
          <w:rFonts w:ascii="Times New Roman" w:cs="Times New Roman" w:eastAsia="Times New Roman" w:hAnsi="Times New Roman"/>
          <w:b/>
          <w:bCs/>
          <w:color w:val="1B5E8A"/>
          <w:sz w:val="27"/>
          <w:szCs w:val="27"/>
          <w:rtl/>
        </w:rPr>
        <w:t xml:space="preserve">1.3  منهج البحث</w:t>
      </w:r>
    </w:p>
    <w:p>
      <w:pPr>
        <w:bidi/>
        <w:spacing w:after="185" w:line="390" w:lineRule="auto"/>
        <w:ind w:firstLine="720"/>
        <w:jc w:val="both"/>
      </w:pPr>
      <w:r>
        <w:rPr>
          <w:rFonts w:ascii="Times New Roman" w:cs="Times New Roman" w:eastAsia="Times New Roman" w:hAnsi="Times New Roman"/>
          <w:b w:val="false"/>
          <w:bCs w:val="false"/>
          <w:color w:val="111111"/>
          <w:sz w:val="24"/>
          <w:szCs w:val="24"/>
          <w:rtl/>
        </w:rPr>
        <w:t xml:space="preserve">يعتمد البحث المنهجَ النقدي التحليلي المقارن، مستندًا إلى: (أ) نصوص الأطروحة الاستخلافية في محاورها ذات الصلة. (ب) تراث الفكر السياسي الإسلامي في مسألة الولاية العلمية والفقهية. (ج) الدراسات الغربية المعاصرة في سوسيولوجيا الدين ونظريات السلطة. (د) نماذج مقارنة من التجارب الإسلامية والغربية في إدارة العلاقة بين المؤسسة الدينية والمجتمع.</w:t>
      </w:r>
    </w:p>
    <w:p>
      <w:pPr>
        <w:spacing w:after="120"/>
      </w:pPr>
      <w:r>
        <w:t xml:space="preserve"/>
      </w:r>
    </w:p>
    <w:p>
      <w:pPr>
        <w:pStyle w:val="Heading1"/>
        <w:bidi/>
        <w:spacing w:before="460" w:after="220"/>
        <w:jc w:val="right"/>
      </w:pPr>
      <w:r>
        <w:rPr>
          <w:rFonts w:ascii="Times New Roman" w:cs="Times New Roman" w:eastAsia="Times New Roman" w:hAnsi="Times New Roman"/>
          <w:b/>
          <w:bCs/>
          <w:color w:val="1C2B3A"/>
          <w:sz w:val="34"/>
          <w:szCs w:val="34"/>
          <w:rtl/>
        </w:rPr>
        <w:t xml:space="preserve">ثانيًا: السيادة للمنظومة الأخلاقية لا للأشخاص</w:t>
      </w:r>
    </w:p>
    <w:p>
      <w:pPr>
        <w:pBdr>
          <w:bottom w:val="single" w:color="1B5E8A" w:sz="6" w:space="1"/>
        </w:pBdr>
        <w:spacing w:after="200"/>
      </w:pPr>
      <w:r>
        <w:t xml:space="preserve"/>
      </w:r>
    </w:p>
    <w:p>
      <w:pPr>
        <w:pStyle w:val="Heading2"/>
        <w:bidi/>
        <w:spacing w:before="300" w:after="160"/>
        <w:jc w:val="right"/>
      </w:pPr>
      <w:r>
        <w:rPr>
          <w:rFonts w:ascii="Times New Roman" w:cs="Times New Roman" w:eastAsia="Times New Roman" w:hAnsi="Times New Roman"/>
          <w:b/>
          <w:bCs/>
          <w:color w:val="1B5E8A"/>
          <w:sz w:val="27"/>
          <w:szCs w:val="27"/>
          <w:rtl/>
        </w:rPr>
        <w:t xml:space="preserve">2.1  المفهوم وأسسه القرآنية</w:t>
      </w:r>
    </w:p>
    <w:p>
      <w:pPr>
        <w:bidi/>
        <w:spacing w:after="185" w:line="390" w:lineRule="auto"/>
        <w:ind w:firstLine="720"/>
        <w:jc w:val="both"/>
      </w:pPr>
      <w:r>
        <w:rPr>
          <w:rFonts w:ascii="Times New Roman" w:cs="Times New Roman" w:eastAsia="Times New Roman" w:hAnsi="Times New Roman"/>
          <w:b w:val="false"/>
          <w:bCs w:val="false"/>
          <w:color w:val="111111"/>
          <w:sz w:val="24"/>
          <w:szCs w:val="24"/>
          <w:rtl/>
        </w:rPr>
        <w:t xml:space="preserve">تنطلق الأطروحة الاستخلافية من مبدأ «السيادة الأخلاقية» الذي يجعل الوحيَ — لا الشخصَ — المرجعَ الأعلى في كل قضية. ويستند هذا المبدأ إلى جوهر الخلافة القرآنية التي لم تُسنَد يومًا إلى فرد أو طبقة بل إلى الإنسان بوصفه حاملًا للأمانة:</w:t>
      </w:r>
    </w:p>
    <w:p>
      <w:pPr>
        <w:pBdr>
          <w:top w:val="single" w:color="7A5010" w:sz="4" w:space="3"/>
          <w:bottom w:val="single" w:color="7A5010" w:sz="4" w:space="3"/>
        </w:pBdr>
        <w:shd w:fill="FDFBF2" w:val="clear"/>
        <w:bidi/>
        <w:spacing w:before="140" w:after="140"/>
        <w:jc w:val="center"/>
      </w:pPr>
      <w:r>
        <w:rPr>
          <w:rFonts w:ascii="Times New Roman" w:cs="Times New Roman" w:eastAsia="Times New Roman" w:hAnsi="Times New Roman"/>
          <w:b/>
          <w:bCs/>
          <w:color w:val="7A5010"/>
          <w:sz w:val="26"/>
          <w:szCs w:val="26"/>
          <w:rtl/>
        </w:rPr>
        <w:t xml:space="preserve">إِنَّا عَرَضْنَا الْأَمَانَةَ عَلَى السَّمَاوَاتِ وَالْأَرْضِ وَالْجِبَالِ فَأَبَيْنَ أَن يَحْمِلْنَهَا وَأَشْفَقْنَ مِنْهَا وَحَمَلَهَا الْإِنسَانُ</w:t>
      </w:r>
      <w:r>
        <w:rPr>
          <w:rFonts w:ascii="Times New Roman" w:cs="Times New Roman" w:eastAsia="Times New Roman" w:hAnsi="Times New Roman"/>
          <w:color w:val="6B5400"/>
          <w:sz w:val="21"/>
          <w:szCs w:val="21"/>
          <w:rtl/>
        </w:rPr>
        <w:t xml:space="preserve">  ﴿الأحزاب: 72﴾</w:t>
      </w:r>
    </w:p>
    <w:p>
      <w:pPr>
        <w:bidi/>
        <w:spacing w:after="185" w:line="390" w:lineRule="auto"/>
        <w:ind w:firstLine="720"/>
        <w:jc w:val="both"/>
      </w:pPr>
      <w:r>
        <w:rPr>
          <w:rFonts w:ascii="Times New Roman" w:cs="Times New Roman" w:eastAsia="Times New Roman" w:hAnsi="Times New Roman"/>
          <w:b w:val="false"/>
          <w:bCs w:val="false"/>
          <w:color w:val="111111"/>
          <w:sz w:val="24"/>
          <w:szCs w:val="24"/>
          <w:rtl/>
        </w:rPr>
        <w:t xml:space="preserve">وهذه الأمانة الكونية لا تتوسّع ولا تتقلّص بحجم صاحبها الاجتماعي أو العلمي؛ فكلٌّ من الحاكم والعالِم والعامّي حاملٌ لها بقدر موقعه. ومن ثَمّ لا يملك أحدٌ احتكارَ الحقيقة الدينية، بل كلٌّ منهم «حارسٌ» للمنظومة ومراقبٌ لانحرافاتها. [الأطروحة الاستخلافية، ص 1143، 1159]</w:t>
      </w:r>
    </w:p>
    <w:p>
      <w:pPr>
        <w:bidi/>
        <w:spacing w:after="90"/>
        <w:ind w:left="560"/>
        <w:jc w:val="right"/>
      </w:pPr>
      <w:r>
        <w:rPr>
          <w:rFonts w:ascii="Times New Roman" w:cs="Times New Roman" w:eastAsia="Times New Roman" w:hAnsi="Times New Roman"/>
          <w:color w:val="555566"/>
          <w:sz w:val="19"/>
          <w:szCs w:val="19"/>
          <w:rtl/>
        </w:rPr>
        <w:t xml:space="preserve">الزراع، علم النفس الاستخلافي [الأطروحة]. ص 1143، 1159.</w:t>
      </w:r>
    </w:p>
    <w:p>
      <w:pPr>
        <w:pStyle w:val="Heading2"/>
        <w:bidi/>
        <w:spacing w:before="300" w:after="160"/>
        <w:jc w:val="right"/>
      </w:pPr>
      <w:r>
        <w:rPr>
          <w:rFonts w:ascii="Times New Roman" w:cs="Times New Roman" w:eastAsia="Times New Roman" w:hAnsi="Times New Roman"/>
          <w:b/>
          <w:bCs/>
          <w:color w:val="1B5E8A"/>
          <w:sz w:val="27"/>
          <w:szCs w:val="27"/>
          <w:rtl/>
        </w:rPr>
        <w:t xml:space="preserve">2.2  التحوّل من المالك إلى المترجم</w:t>
      </w:r>
    </w:p>
    <w:p>
      <w:pPr>
        <w:bidi/>
        <w:spacing w:after="185" w:line="390" w:lineRule="auto"/>
        <w:ind w:firstLine="720"/>
        <w:jc w:val="both"/>
      </w:pPr>
      <w:r>
        <w:rPr>
          <w:rFonts w:ascii="Times New Roman" w:cs="Times New Roman" w:eastAsia="Times New Roman" w:hAnsi="Times New Roman"/>
          <w:b w:val="false"/>
          <w:bCs w:val="false"/>
          <w:color w:val="111111"/>
          <w:sz w:val="24"/>
          <w:szCs w:val="24"/>
          <w:rtl/>
        </w:rPr>
        <w:t xml:space="preserve">يُحدث مبدأ السيادة الأخلاقية تحوّلًا جذريًا في تعريف وظيفة العالِم: من «مالك الحقيقة» إلى «مترجمها». العالِم مترجمٌ للوحي في سياقاته المتغيرة وقيّمٌ على تطبيق المنظومة لا شريكٌ في صياغتها، والمجتمع هو «الرقيب الحي» الذي يُشارك في صيانة هذه المنظومة ومحاسبة الانحرافات عنها. [ص 1159، 1160]</w:t>
      </w:r>
    </w:p>
    <w:p>
      <w:pPr>
        <w:bidi/>
        <w:spacing w:after="185" w:line="390" w:lineRule="auto"/>
        <w:ind w:firstLine="720"/>
        <w:jc w:val="both"/>
      </w:pPr>
      <w:r>
        <w:rPr>
          <w:rFonts w:ascii="Times New Roman" w:cs="Times New Roman" w:eastAsia="Times New Roman" w:hAnsi="Times New Roman"/>
          <w:b w:val="false"/>
          <w:bCs w:val="false"/>
          <w:color w:val="111111"/>
          <w:sz w:val="24"/>
          <w:szCs w:val="24"/>
          <w:rtl/>
        </w:rPr>
        <w:t xml:space="preserve">وهذا التحوّل ليس تقليصًا لمكانة العلم بل تعزيزًا للمسؤولية؛ إذ العالِم لم يعد مُحصَّنًا بسلطة رمزية تقيه المساءلة، بل أضحى مسؤولًا أمام منظومة يحرسها الجميع. وهو يُشبه — في مقاربة وظيفية — دور القاضي الدستوري الذي يُفسّر النص القانوني الأعلى لكنه لا يُلغيه ولا يملكه.</w:t>
      </w:r>
    </w:p>
    <w:p>
      <w:pPr>
        <w:pStyle w:val="Heading2"/>
        <w:bidi/>
        <w:spacing w:before="300" w:after="160"/>
        <w:jc w:val="right"/>
      </w:pPr>
      <w:r>
        <w:rPr>
          <w:rFonts w:ascii="Times New Roman" w:cs="Times New Roman" w:eastAsia="Times New Roman" w:hAnsi="Times New Roman"/>
          <w:b/>
          <w:bCs/>
          <w:color w:val="1B5E8A"/>
          <w:sz w:val="27"/>
          <w:szCs w:val="27"/>
          <w:rtl/>
        </w:rPr>
        <w:t xml:space="preserve">2.3  مقارنة نموذجية: العالِم بين ثلاثة نماذج</w:t>
      </w:r>
    </w:p>
    <w:p>
      <w:pPr>
        <w:spacing w:after="6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2800"/>
        <w:gridCol w:w="2200"/>
        <w:gridCol w:w="2026"/>
      </w:tblGrid>
      <w:tr>
        <w:tc>
          <w:tcPr>
            <w:tcW w:type="dxa" w:w="2000"/>
            <w:tcBorders>
              <w:top w:val="single" w:color="AAAAAA" w:sz="1"/>
              <w:left w:val="single" w:color="AAAAAA" w:sz="1"/>
              <w:bottom w:val="single" w:color="AAAAAA" w:sz="1"/>
              <w:right w:val="single" w:color="AAAAAA" w:sz="1"/>
            </w:tcBorders>
            <w:shd w:fill="1C2B3A" w:val="clear"/>
            <w:tcMar>
              <w:top w:type="dxa" w:w="100"/>
              <w:left w:type="dxa" w:w="140"/>
              <w:bottom w:type="dxa" w:w="100"/>
              <w:right w:type="dxa" w:w="140"/>
            </w:tcMar>
          </w:tcPr>
          <w:p>
            <w:pPr>
              <w:bidi/>
              <w:jc w:val="center"/>
            </w:pPr>
            <w:r>
              <w:rPr>
                <w:rFonts w:ascii="Times New Roman" w:cs="Times New Roman" w:eastAsia="Times New Roman" w:hAnsi="Times New Roman"/>
                <w:b/>
                <w:bCs/>
                <w:color w:val="FFFFFF"/>
                <w:sz w:val="21"/>
                <w:szCs w:val="21"/>
                <w:rtl/>
              </w:rPr>
              <w:t xml:space="preserve">النموذج</w:t>
            </w:r>
          </w:p>
        </w:tc>
        <w:tc>
          <w:tcPr>
            <w:tcW w:type="dxa" w:w="2800"/>
            <w:tcBorders>
              <w:top w:val="single" w:color="AAAAAA" w:sz="1"/>
              <w:left w:val="single" w:color="AAAAAA" w:sz="1"/>
              <w:bottom w:val="single" w:color="AAAAAA" w:sz="1"/>
              <w:right w:val="single" w:color="AAAAAA" w:sz="1"/>
            </w:tcBorders>
            <w:shd w:fill="1C2B3A" w:val="clear"/>
            <w:tcMar>
              <w:top w:type="dxa" w:w="100"/>
              <w:left w:type="dxa" w:w="140"/>
              <w:bottom w:type="dxa" w:w="100"/>
              <w:right w:type="dxa" w:w="140"/>
            </w:tcMar>
          </w:tcPr>
          <w:p>
            <w:pPr>
              <w:bidi/>
              <w:jc w:val="center"/>
            </w:pPr>
            <w:r>
              <w:rPr>
                <w:rFonts w:ascii="Times New Roman" w:cs="Times New Roman" w:eastAsia="Times New Roman" w:hAnsi="Times New Roman"/>
                <w:b/>
                <w:bCs/>
                <w:color w:val="FFFFFF"/>
                <w:sz w:val="21"/>
                <w:szCs w:val="21"/>
                <w:rtl/>
              </w:rPr>
              <w:t xml:space="preserve">تعريف دور العالِم</w:t>
            </w:r>
          </w:p>
        </w:tc>
        <w:tc>
          <w:tcPr>
            <w:tcW w:type="dxa" w:w="2200"/>
            <w:tcBorders>
              <w:top w:val="single" w:color="AAAAAA" w:sz="1"/>
              <w:left w:val="single" w:color="AAAAAA" w:sz="1"/>
              <w:bottom w:val="single" w:color="AAAAAA" w:sz="1"/>
              <w:right w:val="single" w:color="AAAAAA" w:sz="1"/>
            </w:tcBorders>
            <w:shd w:fill="1C2B3A" w:val="clear"/>
            <w:tcMar>
              <w:top w:type="dxa" w:w="100"/>
              <w:left w:type="dxa" w:w="140"/>
              <w:bottom w:type="dxa" w:w="100"/>
              <w:right w:type="dxa" w:w="140"/>
            </w:tcMar>
          </w:tcPr>
          <w:p>
            <w:pPr>
              <w:bidi/>
              <w:jc w:val="center"/>
            </w:pPr>
            <w:r>
              <w:rPr>
                <w:rFonts w:ascii="Times New Roman" w:cs="Times New Roman" w:eastAsia="Times New Roman" w:hAnsi="Times New Roman"/>
                <w:b/>
                <w:bCs/>
                <w:color w:val="FFFFFF"/>
                <w:sz w:val="21"/>
                <w:szCs w:val="21"/>
                <w:rtl/>
              </w:rPr>
              <w:t xml:space="preserve">طبيعة سلطته</w:t>
            </w:r>
          </w:p>
        </w:tc>
        <w:tc>
          <w:tcPr>
            <w:tcW w:type="dxa" w:w="2026"/>
            <w:tcBorders>
              <w:top w:val="single" w:color="AAAAAA" w:sz="1"/>
              <w:left w:val="single" w:color="AAAAAA" w:sz="1"/>
              <w:bottom w:val="single" w:color="AAAAAA" w:sz="1"/>
              <w:right w:val="single" w:color="AAAAAA" w:sz="1"/>
            </w:tcBorders>
            <w:shd w:fill="1C2B3A" w:val="clear"/>
            <w:tcMar>
              <w:top w:type="dxa" w:w="100"/>
              <w:left w:type="dxa" w:w="140"/>
              <w:bottom w:type="dxa" w:w="100"/>
              <w:right w:type="dxa" w:w="140"/>
            </w:tcMar>
          </w:tcPr>
          <w:p>
            <w:pPr>
              <w:bidi/>
              <w:jc w:val="center"/>
            </w:pPr>
            <w:r>
              <w:rPr>
                <w:rFonts w:ascii="Times New Roman" w:cs="Times New Roman" w:eastAsia="Times New Roman" w:hAnsi="Times New Roman"/>
                <w:b/>
                <w:bCs/>
                <w:color w:val="FFFFFF"/>
                <w:sz w:val="21"/>
                <w:szCs w:val="21"/>
                <w:rtl/>
              </w:rPr>
              <w:t xml:space="preserve">موقع المجتمع</w:t>
            </w:r>
          </w:p>
        </w:tc>
      </w:tr>
      <w:tr>
        <w:tc>
          <w:tcPr>
            <w:tcW w:type="dxa" w:w="2000"/>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نموذج الوصاية التقليدي</w:t>
            </w:r>
          </w:p>
        </w:tc>
        <w:tc>
          <w:tcPr>
            <w:tcW w:type="dxa" w:w="2800"/>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مالك الحقيقة ووسيطها الحصري</w:t>
            </w:r>
          </w:p>
        </w:tc>
        <w:tc>
          <w:tcPr>
            <w:tcW w:type="dxa" w:w="2200"/>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سلطة هرمية مطلقة</w:t>
            </w:r>
          </w:p>
        </w:tc>
        <w:tc>
          <w:tcPr>
            <w:tcW w:type="dxa" w:w="2026"/>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متلقٍّ سلبي</w:t>
            </w:r>
          </w:p>
        </w:tc>
      </w:tr>
      <w:tr>
        <w:tc>
          <w:tcPr>
            <w:tcW w:type="dxa" w:w="2000"/>
            <w:tcBorders>
              <w:top w:val="single" w:color="AAAAAA" w:sz="1"/>
              <w:left w:val="single" w:color="AAAAAA" w:sz="1"/>
              <w:bottom w:val="single" w:color="AAAAAA" w:sz="1"/>
              <w:right w:val="single" w:color="AAAAAA" w:sz="1"/>
            </w:tcBorders>
            <w:shd w:fill="F3F7FB"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النموذج العلماني الإقصائي</w:t>
            </w:r>
          </w:p>
        </w:tc>
        <w:tc>
          <w:tcPr>
            <w:tcW w:type="dxa" w:w="2800"/>
            <w:tcBorders>
              <w:top w:val="single" w:color="AAAAAA" w:sz="1"/>
              <w:left w:val="single" w:color="AAAAAA" w:sz="1"/>
              <w:bottom w:val="single" w:color="AAAAAA" w:sz="1"/>
              <w:right w:val="single" w:color="AAAAAA" w:sz="1"/>
            </w:tcBorders>
            <w:shd w:fill="F3F7FB"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رجعة تاريخية تعيق التقدم</w:t>
            </w:r>
          </w:p>
        </w:tc>
        <w:tc>
          <w:tcPr>
            <w:tcW w:type="dxa" w:w="2200"/>
            <w:tcBorders>
              <w:top w:val="single" w:color="AAAAAA" w:sz="1"/>
              <w:left w:val="single" w:color="AAAAAA" w:sz="1"/>
              <w:bottom w:val="single" w:color="AAAAAA" w:sz="1"/>
              <w:right w:val="single" w:color="AAAAAA" w:sz="1"/>
            </w:tcBorders>
            <w:shd w:fill="F3F7FB"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لا سلطة — مُهمَّش</w:t>
            </w:r>
          </w:p>
        </w:tc>
        <w:tc>
          <w:tcPr>
            <w:tcW w:type="dxa" w:w="2026"/>
            <w:tcBorders>
              <w:top w:val="single" w:color="AAAAAA" w:sz="1"/>
              <w:left w:val="single" w:color="AAAAAA" w:sz="1"/>
              <w:bottom w:val="single" w:color="AAAAAA" w:sz="1"/>
              <w:right w:val="single" w:color="AAAAAA" w:sz="1"/>
            </w:tcBorders>
            <w:shd w:fill="F3F7FB"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مُدار بالنُّخَب التقنية</w:t>
            </w:r>
          </w:p>
        </w:tc>
      </w:tr>
      <w:tr>
        <w:tc>
          <w:tcPr>
            <w:tcW w:type="dxa" w:w="2000"/>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النموذج الاستخلافي</w:t>
            </w:r>
          </w:p>
        </w:tc>
        <w:tc>
          <w:tcPr>
            <w:tcW w:type="dxa" w:w="2800"/>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مترجم المنظومة وحارس تطبيقها</w:t>
            </w:r>
          </w:p>
        </w:tc>
        <w:tc>
          <w:tcPr>
            <w:tcW w:type="dxa" w:w="2200"/>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مرجعية تخصصية رقابية</w:t>
            </w:r>
          </w:p>
        </w:tc>
        <w:tc>
          <w:tcPr>
            <w:tcW w:type="dxa" w:w="2026"/>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رقيب حي وشريك فاعل</w:t>
            </w:r>
          </w:p>
        </w:tc>
      </w:tr>
    </w:tbl>
    <w:p>
      <w:pPr>
        <w:spacing w:after="180"/>
      </w:pPr>
      <w:r>
        <w:t xml:space="preserve"/>
      </w:r>
    </w:p>
    <w:p>
      <w:pPr>
        <w:pStyle w:val="Heading1"/>
        <w:bidi/>
        <w:spacing w:before="460" w:after="220"/>
        <w:jc w:val="right"/>
      </w:pPr>
      <w:r>
        <w:rPr>
          <w:rFonts w:ascii="Times New Roman" w:cs="Times New Roman" w:eastAsia="Times New Roman" w:hAnsi="Times New Roman"/>
          <w:b/>
          <w:bCs/>
          <w:color w:val="1C2B3A"/>
          <w:sz w:val="34"/>
          <w:szCs w:val="34"/>
          <w:rtl/>
        </w:rPr>
        <w:t xml:space="preserve">ثالثًا: دمقرطة الاستخلاف والمسؤولية الفردية</w:t>
      </w:r>
    </w:p>
    <w:p>
      <w:pPr>
        <w:pBdr>
          <w:bottom w:val="single" w:color="1B5E8A" w:sz="6" w:space="1"/>
        </w:pBdr>
        <w:spacing w:after="200"/>
      </w:pPr>
      <w:r>
        <w:t xml:space="preserve"/>
      </w:r>
    </w:p>
    <w:p>
      <w:pPr>
        <w:pStyle w:val="Heading2"/>
        <w:bidi/>
        <w:spacing w:before="300" w:after="160"/>
        <w:jc w:val="right"/>
      </w:pPr>
      <w:r>
        <w:rPr>
          <w:rFonts w:ascii="Times New Roman" w:cs="Times New Roman" w:eastAsia="Times New Roman" w:hAnsi="Times New Roman"/>
          <w:b/>
          <w:bCs/>
          <w:color w:val="1B5E8A"/>
          <w:sz w:val="27"/>
          <w:szCs w:val="27"/>
          <w:rtl/>
        </w:rPr>
        <w:t xml:space="preserve">3.1  الاستخلاف مقصدٌ عام لا وظيفة محتكرة</w:t>
      </w:r>
    </w:p>
    <w:p>
      <w:pPr>
        <w:bidi/>
        <w:spacing w:after="185" w:line="390" w:lineRule="auto"/>
        <w:ind w:firstLine="720"/>
        <w:jc w:val="both"/>
      </w:pPr>
      <w:r>
        <w:rPr>
          <w:rFonts w:ascii="Times New Roman" w:cs="Times New Roman" w:eastAsia="Times New Roman" w:hAnsi="Times New Roman"/>
          <w:b w:val="false"/>
          <w:bCs w:val="false"/>
          <w:color w:val="111111"/>
          <w:sz w:val="24"/>
          <w:szCs w:val="24"/>
          <w:rtl/>
        </w:rPr>
        <w:t xml:space="preserve">يُعدّ مبدأ «عموم الاستخلاف» ركيزةً إبستمولوجيةً تُغيّر بنيويًا مفهوم الوساطة الدينية؛ إذ الاستخلاف في الأطروحة ليس وظيفةً لطبقة العلماء أو الحكام، بل مقصدٌ قرآني يشمل كل إنسان بصفته حرًّا مُكلَّفًا: [ص 1097، 1100]</w:t>
      </w:r>
    </w:p>
    <w:p>
      <w:pPr>
        <w:pBdr>
          <w:top w:val="single" w:color="7A5010" w:sz="4" w:space="3"/>
          <w:bottom w:val="single" w:color="7A5010" w:sz="4" w:space="3"/>
        </w:pBdr>
        <w:shd w:fill="FDFBF2" w:val="clear"/>
        <w:bidi/>
        <w:spacing w:before="140" w:after="140"/>
        <w:jc w:val="center"/>
      </w:pPr>
      <w:r>
        <w:rPr>
          <w:rFonts w:ascii="Times New Roman" w:cs="Times New Roman" w:eastAsia="Times New Roman" w:hAnsi="Times New Roman"/>
          <w:b/>
          <w:bCs/>
          <w:color w:val="7A5010"/>
          <w:sz w:val="26"/>
          <w:szCs w:val="26"/>
          <w:rtl/>
        </w:rPr>
        <w:t xml:space="preserve">وَإِذْ قَالَ رَبُّكَ لِلْمَلَائِكَةِ إِنِّي جَاعِلٌ فِي الْأَرْضِ خَلِيفَةً</w:t>
      </w:r>
      <w:r>
        <w:rPr>
          <w:rFonts w:ascii="Times New Roman" w:cs="Times New Roman" w:eastAsia="Times New Roman" w:hAnsi="Times New Roman"/>
          <w:color w:val="6B5400"/>
          <w:sz w:val="21"/>
          <w:szCs w:val="21"/>
          <w:rtl/>
        </w:rPr>
        <w:t xml:space="preserve">  ﴿البقرة: 30﴾</w:t>
      </w:r>
    </w:p>
    <w:p>
      <w:pPr>
        <w:bidi/>
        <w:spacing w:after="185" w:line="390" w:lineRule="auto"/>
        <w:ind w:firstLine="720"/>
        <w:jc w:val="both"/>
      </w:pPr>
      <w:r>
        <w:rPr>
          <w:rFonts w:ascii="Times New Roman" w:cs="Times New Roman" w:eastAsia="Times New Roman" w:hAnsi="Times New Roman"/>
          <w:b w:val="false"/>
          <w:bCs w:val="false"/>
          <w:color w:val="111111"/>
          <w:sz w:val="24"/>
          <w:szCs w:val="24"/>
          <w:rtl/>
        </w:rPr>
        <w:t xml:space="preserve">فـ«الإنسان» هنا جاء نكرةً شاملةً تستغرق الأفراد والجماعات والطبقات. ولا نصّ قرآني يُخصّص هذا الاستخلاف بطبقة دون أخرى. وفي هذا ضربٌ لمنطق الوصاية من أساسه: إذ كيف يكون للعالِم وصايةٌ على استخلاف غيره وهو في الأصل استخلاف مستقل موصول بالله مباشرة؟</w:t>
      </w:r>
    </w:p>
    <w:p>
      <w:pPr>
        <w:bidi/>
        <w:spacing w:after="90"/>
        <w:ind w:left="560"/>
        <w:jc w:val="right"/>
      </w:pPr>
      <w:r>
        <w:rPr>
          <w:rFonts w:ascii="Times New Roman" w:cs="Times New Roman" w:eastAsia="Times New Roman" w:hAnsi="Times New Roman"/>
          <w:color w:val="555566"/>
          <w:sz w:val="19"/>
          <w:szCs w:val="19"/>
          <w:rtl/>
        </w:rPr>
        <w:t xml:space="preserve">الزراع، علم النفس الاستخلافي [الأطروحة]. ص 1097، 1100.</w:t>
      </w:r>
    </w:p>
    <w:p>
      <w:pPr>
        <w:pStyle w:val="Heading2"/>
        <w:bidi/>
        <w:spacing w:before="300" w:after="160"/>
        <w:jc w:val="right"/>
      </w:pPr>
      <w:r>
        <w:rPr>
          <w:rFonts w:ascii="Times New Roman" w:cs="Times New Roman" w:eastAsia="Times New Roman" w:hAnsi="Times New Roman"/>
          <w:b/>
          <w:bCs/>
          <w:color w:val="1B5E8A"/>
          <w:sz w:val="27"/>
          <w:szCs w:val="27"/>
          <w:rtl/>
        </w:rPr>
        <w:t xml:space="preserve">3.2  تقلّص دور الوسيط في التزكية والتوبة</w:t>
      </w:r>
    </w:p>
    <w:p>
      <w:pPr>
        <w:bidi/>
        <w:spacing w:after="185" w:line="390" w:lineRule="auto"/>
        <w:ind w:firstLine="720"/>
        <w:jc w:val="both"/>
      </w:pPr>
      <w:r>
        <w:rPr>
          <w:rFonts w:ascii="Times New Roman" w:cs="Times New Roman" w:eastAsia="Times New Roman" w:hAnsi="Times New Roman"/>
          <w:b w:val="false"/>
          <w:bCs w:val="false"/>
          <w:color w:val="111111"/>
          <w:sz w:val="24"/>
          <w:szCs w:val="24"/>
          <w:rtl/>
        </w:rPr>
        <w:t xml:space="preserve">يترتّب على مبدأ عموم الاستخلاف تحوّلٌ عميق في بنية العلاقة العلاجية-الدينية: إذ لا يحتاج الفرد نظريًا إلى وسيطٍ بشري بين توبته وقبولها، فالتوبة — في المنظومة القرآنية — علاقةٌ مباشرة بين الإنسان وربّه:</w:t>
      </w:r>
    </w:p>
    <w:p>
      <w:pPr>
        <w:pBdr>
          <w:top w:val="single" w:color="7A5010" w:sz="4" w:space="3"/>
          <w:bottom w:val="single" w:color="7A5010" w:sz="4" w:space="3"/>
        </w:pBdr>
        <w:shd w:fill="FDFBF2" w:val="clear"/>
        <w:bidi/>
        <w:spacing w:before="140" w:after="140"/>
        <w:jc w:val="center"/>
      </w:pPr>
      <w:r>
        <w:rPr>
          <w:rFonts w:ascii="Times New Roman" w:cs="Times New Roman" w:eastAsia="Times New Roman" w:hAnsi="Times New Roman"/>
          <w:b/>
          <w:bCs/>
          <w:color w:val="7A5010"/>
          <w:sz w:val="26"/>
          <w:szCs w:val="26"/>
          <w:rtl/>
        </w:rPr>
        <w:t xml:space="preserve">وَإِذَا سَأَلَكَ عِبَادِي عَنِّي فَإِنِّي قَرِيبٌ أُجِيبُ دَعْوَةَ الدَّاعِ</w:t>
      </w:r>
      <w:r>
        <w:rPr>
          <w:rFonts w:ascii="Times New Roman" w:cs="Times New Roman" w:eastAsia="Times New Roman" w:hAnsi="Times New Roman"/>
          <w:color w:val="6B5400"/>
          <w:sz w:val="21"/>
          <w:szCs w:val="21"/>
          <w:rtl/>
        </w:rPr>
        <w:t xml:space="preserve">  ﴿البقرة: 186﴾</w:t>
      </w:r>
    </w:p>
    <w:p>
      <w:pPr>
        <w:bidi/>
        <w:spacing w:after="185" w:line="390" w:lineRule="auto"/>
        <w:ind w:firstLine="720"/>
        <w:jc w:val="both"/>
      </w:pPr>
      <w:r>
        <w:rPr>
          <w:rFonts w:ascii="Times New Roman" w:cs="Times New Roman" w:eastAsia="Times New Roman" w:hAnsi="Times New Roman"/>
          <w:b w:val="false"/>
          <w:bCs w:val="false"/>
          <w:color w:val="111111"/>
          <w:sz w:val="24"/>
          <w:szCs w:val="24"/>
          <w:rtl/>
        </w:rPr>
        <w:t xml:space="preserve">هذا المبدأ يُقلّص الحاجة إلى العالِم بوصفه وسيطًا في التوبة والتزكية، ويُبقيه بوصفه مرشدًا ومُيسِّرًا لا بوّابةً إجبارية. وهو ما أكّدته الأطروحة في تمييزها بين «التبعية العمودية» (حاجة الفرد للعالِم لإتمام صلته بالله) و«الشراكة الأفقية» (العالِم موردٌ معرفي لا مُمرٌّ وجودي). [ص 1156، 1181]</w:t>
      </w:r>
    </w:p>
    <w:p>
      <w:pPr>
        <w:bidi/>
        <w:spacing w:after="90"/>
        <w:ind w:left="560"/>
        <w:jc w:val="right"/>
      </w:pPr>
      <w:r>
        <w:rPr>
          <w:rFonts w:ascii="Times New Roman" w:cs="Times New Roman" w:eastAsia="Times New Roman" w:hAnsi="Times New Roman"/>
          <w:color w:val="555566"/>
          <w:sz w:val="19"/>
          <w:szCs w:val="19"/>
          <w:rtl/>
        </w:rPr>
        <w:t xml:space="preserve">الزراع، علم النفس الاستخلافي [الأطروحة]. ص 1156، 1181.</w:t>
      </w:r>
    </w:p>
    <w:p>
      <w:pPr>
        <w:pStyle w:val="Heading2"/>
        <w:bidi/>
        <w:spacing w:before="300" w:after="160"/>
        <w:jc w:val="right"/>
      </w:pPr>
      <w:r>
        <w:rPr>
          <w:rFonts w:ascii="Times New Roman" w:cs="Times New Roman" w:eastAsia="Times New Roman" w:hAnsi="Times New Roman"/>
          <w:b/>
          <w:bCs/>
          <w:color w:val="1B5E8A"/>
          <w:sz w:val="27"/>
          <w:szCs w:val="27"/>
          <w:rtl/>
        </w:rPr>
        <w:t xml:space="preserve">3.3  الدلالة السوسيولوجية لدمقرطة الاستخلاف</w:t>
      </w:r>
    </w:p>
    <w:p>
      <w:pPr>
        <w:bidi/>
        <w:spacing w:after="185" w:line="390" w:lineRule="auto"/>
        <w:ind w:firstLine="720"/>
        <w:jc w:val="both"/>
      </w:pPr>
      <w:r>
        <w:rPr>
          <w:rFonts w:ascii="Times New Roman" w:cs="Times New Roman" w:eastAsia="Times New Roman" w:hAnsi="Times New Roman"/>
          <w:b w:val="false"/>
          <w:bCs w:val="false"/>
          <w:color w:val="111111"/>
          <w:sz w:val="24"/>
          <w:szCs w:val="24"/>
          <w:rtl/>
        </w:rPr>
        <w:t xml:space="preserve">تتوافق هذه الرؤية مع ما رصده علماء الاجتماع الديني الغربيون من ظاهرة «الدين الفردي» (Privatization of Religion) — أي تحوّل الدين من مؤسسة جماعية إلى تجربة شخصية مُعاشة. غير أن الفارق جوهري: فدمقرطة الاستخلاف لا تُفضي إلى الفردانية الدينية المنعزلة كما في السياق الغربي، بل إلى مسؤولية فردية ممتدة في المجتمع؛ فالخليفة مسؤول عن ذاته وعن محيطه معًا.</w:t>
      </w:r>
    </w:p>
    <w:p>
      <w:pPr>
        <w:pBdr>
          <w:left w:val="single" w:color="7B1515" w:sz="10" w:space="6"/>
        </w:pBdr>
        <w:shd w:fill="FEF3F3" w:val="clear"/>
        <w:spacing w:before="120" w:after="40"/>
        <w:ind w:left="900" w:right="900"/>
        <w:jc w:val="left"/>
      </w:pPr>
      <w:r>
        <w:rPr>
          <w:rFonts w:ascii="Times New Roman" w:cs="Times New Roman" w:eastAsia="Times New Roman" w:hAnsi="Times New Roman"/>
          <w:color w:val="5A0000"/>
          <w:sz w:val="22"/>
          <w:szCs w:val="22"/>
        </w:rPr>
        <w:t xml:space="preserve">« La démocratisation du religieux dans l'Islam istikhlafique ne signifie pas le repli sur soi, mais l'extension de la responsabilité de chaque individu à l'ensemble de la communauté. C'est une responsabilité individuelle à portée collective. »</w:t>
      </w:r>
    </w:p>
    <w:p>
      <w:pPr>
        <w:spacing w:after="120"/>
        <w:ind w:left="900" w:right="900"/>
        <w:jc w:val="left"/>
      </w:pPr>
      <w:r>
        <w:rPr>
          <w:rFonts w:ascii="Times New Roman" w:cs="Times New Roman" w:eastAsia="Times New Roman" w:hAnsi="Times New Roman"/>
          <w:color w:val="665555"/>
          <w:sz w:val="19"/>
          <w:szCs w:val="19"/>
        </w:rPr>
        <w:t xml:space="preserve">Voir : Casanova, José. (1994). Public Religions in the Modern World. University of Chicago Press, Chicago. Cf. chap. 5 : « Privatization of Religion ».</w:t>
      </w:r>
    </w:p>
    <w:p>
      <w:pPr>
        <w:spacing w:after="120"/>
      </w:pPr>
      <w:r>
        <w:t xml:space="preserve"/>
      </w:r>
    </w:p>
    <w:p>
      <w:pPr>
        <w:pStyle w:val="Heading1"/>
        <w:bidi/>
        <w:spacing w:before="460" w:after="220"/>
        <w:jc w:val="right"/>
      </w:pPr>
      <w:r>
        <w:rPr>
          <w:rFonts w:ascii="Times New Roman" w:cs="Times New Roman" w:eastAsia="Times New Roman" w:hAnsi="Times New Roman"/>
          <w:b/>
          <w:bCs/>
          <w:color w:val="1C2B3A"/>
          <w:sz w:val="34"/>
          <w:szCs w:val="34"/>
          <w:rtl/>
        </w:rPr>
        <w:t xml:space="preserve">رابعًا: المتعافي خبيرًا حيًّا — تفكيك احتكار الخبرة الروحية</w:t>
      </w:r>
    </w:p>
    <w:p>
      <w:pPr>
        <w:pBdr>
          <w:bottom w:val="single" w:color="1B5E8A" w:sz="6" w:space="1"/>
        </w:pBdr>
        <w:spacing w:after="200"/>
      </w:pPr>
      <w:r>
        <w:t xml:space="preserve"/>
      </w:r>
    </w:p>
    <w:p>
      <w:pPr>
        <w:pStyle w:val="Heading2"/>
        <w:bidi/>
        <w:spacing w:before="300" w:after="160"/>
        <w:jc w:val="right"/>
      </w:pPr>
      <w:r>
        <w:rPr>
          <w:rFonts w:ascii="Times New Roman" w:cs="Times New Roman" w:eastAsia="Times New Roman" w:hAnsi="Times New Roman"/>
          <w:b/>
          <w:bCs/>
          <w:color w:val="1B5E8A"/>
          <w:sz w:val="27"/>
          <w:szCs w:val="27"/>
          <w:rtl/>
        </w:rPr>
        <w:t xml:space="preserve">4.1  نموذج الخبير الحي في الأطروحة الاستخلافية</w:t>
      </w:r>
    </w:p>
    <w:p>
      <w:pPr>
        <w:bidi/>
        <w:spacing w:after="185" w:line="390" w:lineRule="auto"/>
        <w:ind w:firstLine="720"/>
        <w:jc w:val="both"/>
      </w:pPr>
      <w:r>
        <w:rPr>
          <w:rFonts w:ascii="Times New Roman" w:cs="Times New Roman" w:eastAsia="Times New Roman" w:hAnsi="Times New Roman"/>
          <w:b w:val="false"/>
          <w:bCs w:val="false"/>
          <w:color w:val="111111"/>
          <w:sz w:val="24"/>
          <w:szCs w:val="24"/>
          <w:rtl/>
        </w:rPr>
        <w:t xml:space="preserve">يُقدّم النموذج الاستخلافي مفهومًا علاجيًا ثوريًا لا نظير له في الخطاب الوعظي التقليدي: تحويل المتعافي من عقدة الذنب والأزمة الروحية إلى «خبير حيّ» يحمل «خبرةً وجودية» مُعاشة تُؤهّله للمساهمة في بناء المجتمع وإعانة الآخرين على أزماتهم الروحية المماثلة. [ص 1062، 1064]</w:t>
      </w:r>
    </w:p>
    <w:p>
      <w:pPr>
        <w:bidi/>
        <w:spacing w:after="185" w:line="390" w:lineRule="auto"/>
        <w:ind w:firstLine="720"/>
        <w:jc w:val="both"/>
      </w:pPr>
      <w:r>
        <w:rPr>
          <w:rFonts w:ascii="Times New Roman" w:cs="Times New Roman" w:eastAsia="Times New Roman" w:hAnsi="Times New Roman"/>
          <w:b w:val="false"/>
          <w:bCs w:val="false"/>
          <w:color w:val="111111"/>
          <w:sz w:val="24"/>
          <w:szCs w:val="24"/>
          <w:rtl/>
        </w:rPr>
        <w:t xml:space="preserve">هذا المفهوم يحمل دلالاتٍ عميقةً تتجاوز البُعد العلاجي: فهو يُشرعن «رأسمالًا روحيًا» جديدًا لا تملكه المؤسسة الدينية التقليدية ولا يتراكم في مسارات التعليم الشرعي المؤسسي، بل يتولّد من معاناة المجاهدة وتجربة الشفاء. [ص 1064، 1066]</w:t>
      </w:r>
    </w:p>
    <w:p>
      <w:pPr>
        <w:bidi/>
        <w:spacing w:after="90"/>
        <w:ind w:left="560"/>
        <w:jc w:val="right"/>
      </w:pPr>
      <w:r>
        <w:rPr>
          <w:rFonts w:ascii="Times New Roman" w:cs="Times New Roman" w:eastAsia="Times New Roman" w:hAnsi="Times New Roman"/>
          <w:color w:val="555566"/>
          <w:sz w:val="19"/>
          <w:szCs w:val="19"/>
          <w:rtl/>
        </w:rPr>
        <w:t xml:space="preserve">الزراع، علم النفس الاستخلافي [الأطروحة]. ص 1062، 1064، 1066.</w:t>
      </w:r>
    </w:p>
    <w:p>
      <w:pPr>
        <w:pStyle w:val="Heading2"/>
        <w:bidi/>
        <w:spacing w:before="300" w:after="160"/>
        <w:jc w:val="right"/>
      </w:pPr>
      <w:r>
        <w:rPr>
          <w:rFonts w:ascii="Times New Roman" w:cs="Times New Roman" w:eastAsia="Times New Roman" w:hAnsi="Times New Roman"/>
          <w:b/>
          <w:bCs/>
          <w:color w:val="1B5E8A"/>
          <w:sz w:val="27"/>
          <w:szCs w:val="27"/>
          <w:rtl/>
        </w:rPr>
        <w:t xml:space="preserve">4.2  مفارقة الخبرة الوجودية والخبرة النصية</w:t>
      </w:r>
    </w:p>
    <w:p>
      <w:pPr>
        <w:bidi/>
        <w:spacing w:after="185" w:line="390" w:lineRule="auto"/>
        <w:ind w:firstLine="720"/>
        <w:jc w:val="both"/>
      </w:pPr>
      <w:r>
        <w:rPr>
          <w:rFonts w:ascii="Times New Roman" w:cs="Times New Roman" w:eastAsia="Times New Roman" w:hAnsi="Times New Roman"/>
          <w:b w:val="false"/>
          <w:bCs w:val="false"/>
          <w:color w:val="111111"/>
          <w:sz w:val="24"/>
          <w:szCs w:val="24"/>
          <w:rtl/>
        </w:rPr>
        <w:t xml:space="preserve">تكشف هذه المقاربة عن مفارقة بنيوية في النموذج التقليدي: العالِم الذي لم يُجاهد نفسه في أتون التجربة والأزمة يحمل خبرةً نصية ثمينة، لكنه قد يفتقر إلى الخبرة الوجودية التي يحتاجها المُعاني. في المقابل، المتعافي الذي عاش الانهيار ثم النهوض يحمل خبرةً وجودية لا يجدها في كتاب. والمجتمع يحتاج كلا النوعَين.</w:t>
      </w:r>
    </w:p>
    <w:p>
      <w:pPr>
        <w:pBdr>
          <w:left w:val="single" w:color="1B5E8A" w:sz="10" w:space="6"/>
        </w:pBdr>
        <w:shd w:fill="EDF4FB" w:val="clear"/>
        <w:bidi/>
        <w:spacing w:before="120" w:after="40"/>
        <w:ind w:left="900" w:right="900"/>
        <w:jc w:val="right"/>
      </w:pPr>
      <w:r>
        <w:rPr>
          <w:rFonts w:ascii="Times New Roman" w:cs="Times New Roman" w:eastAsia="Times New Roman" w:hAnsi="Times New Roman"/>
          <w:color w:val="1A2C3E"/>
          <w:sz w:val="22"/>
          <w:szCs w:val="22"/>
          <w:rtl/>
        </w:rPr>
        <w:t xml:space="preserve">«ليس الخبير من حفظ النص فحسب، بل من عاش التناقض الوجودي وشهد كيف يصنع الله من كسره جمالًا — هذا الشهود لا يُعطيه الكتاب بل تهبه التجربة.»</w:t>
      </w:r>
    </w:p>
    <w:p>
      <w:pPr>
        <w:bidi/>
        <w:spacing w:after="120"/>
        <w:ind w:left="900" w:right="900"/>
        <w:jc w:val="right"/>
      </w:pPr>
      <w:r>
        <w:rPr>
          <w:rFonts w:ascii="Times New Roman" w:cs="Times New Roman" w:eastAsia="Times New Roman" w:hAnsi="Times New Roman"/>
          <w:color w:val="556677"/>
          <w:sz w:val="19"/>
          <w:szCs w:val="19"/>
          <w:rtl/>
        </w:rPr>
        <w:t xml:space="preserve">الزراع، علم النفس الاستخلافي [الأطروحة]. ص 1064.</w:t>
      </w:r>
    </w:p>
    <w:p>
      <w:pPr>
        <w:pStyle w:val="Heading2"/>
        <w:bidi/>
        <w:spacing w:before="300" w:after="160"/>
        <w:jc w:val="right"/>
      </w:pPr>
      <w:r>
        <w:rPr>
          <w:rFonts w:ascii="Times New Roman" w:cs="Times New Roman" w:eastAsia="Times New Roman" w:hAnsi="Times New Roman"/>
          <w:b/>
          <w:bCs/>
          <w:color w:val="1B5E8A"/>
          <w:sz w:val="27"/>
          <w:szCs w:val="27"/>
          <w:rtl/>
        </w:rPr>
        <w:t xml:space="preserve">4.3  التوزيع الاجتماعي للخبرة الروحية</w:t>
      </w:r>
    </w:p>
    <w:p>
      <w:pPr>
        <w:bidi/>
        <w:spacing w:after="185" w:line="390" w:lineRule="auto"/>
        <w:ind w:firstLine="720"/>
        <w:jc w:val="both"/>
      </w:pPr>
      <w:r>
        <w:rPr>
          <w:rFonts w:ascii="Times New Roman" w:cs="Times New Roman" w:eastAsia="Times New Roman" w:hAnsi="Times New Roman"/>
          <w:b w:val="false"/>
          <w:bCs w:val="false"/>
          <w:color w:val="111111"/>
          <w:sz w:val="24"/>
          <w:szCs w:val="24"/>
          <w:rtl/>
        </w:rPr>
        <w:t xml:space="preserve">يستلزم هذا التصوّر إعادةَ رسم خريطة الخبرة الروحية في المجتمع؛ فبدلاً من تمركزها في المؤسسة الدينية الرسمية، تنتشر عبر «شبكة حيّة» من الخبراء الوجوديين الذين يتوزّعون في المجتمع: المتعافي من الإدمان، والعائد من الانحراف، والناجي من اليأس — كلّهم أصحاب «خبرة وجودية» تمنحهم مشروعيةَ الإسهام في علاج الآخرين وتزكيتهم. ويُشبه هذا — وظيفيًا — نموذج «مجموعات الدعم المتبادل» (Peer Support Groups) في علم النفس المعاصر لكنه يرتفع إلى مستوى الاستخلاف والفاعلية الحضارية.</w:t>
      </w:r>
    </w:p>
    <w:p>
      <w:pPr>
        <w:spacing w:after="120"/>
      </w:pPr>
      <w:r>
        <w:t xml:space="preserve"/>
      </w:r>
    </w:p>
    <w:p>
      <w:pPr>
        <w:pStyle w:val="Heading1"/>
        <w:bidi/>
        <w:spacing w:before="460" w:after="220"/>
        <w:jc w:val="right"/>
      </w:pPr>
      <w:r>
        <w:rPr>
          <w:rFonts w:ascii="Times New Roman" w:cs="Times New Roman" w:eastAsia="Times New Roman" w:hAnsi="Times New Roman"/>
          <w:b/>
          <w:bCs/>
          <w:color w:val="1C2B3A"/>
          <w:sz w:val="34"/>
          <w:szCs w:val="34"/>
          <w:rtl/>
        </w:rPr>
        <w:t xml:space="preserve">خامسًا: نقد الفصام الأخلاقي وأدوات التمكين الفردي</w:t>
      </w:r>
    </w:p>
    <w:p>
      <w:pPr>
        <w:pBdr>
          <w:bottom w:val="single" w:color="1B5E8A" w:sz="6" w:space="1"/>
        </w:pBdr>
        <w:spacing w:after="200"/>
      </w:pPr>
      <w:r>
        <w:t xml:space="preserve"/>
      </w:r>
    </w:p>
    <w:p>
      <w:pPr>
        <w:pStyle w:val="Heading2"/>
        <w:bidi/>
        <w:spacing w:before="300" w:after="160"/>
        <w:jc w:val="right"/>
      </w:pPr>
      <w:r>
        <w:rPr>
          <w:rFonts w:ascii="Times New Roman" w:cs="Times New Roman" w:eastAsia="Times New Roman" w:hAnsi="Times New Roman"/>
          <w:b/>
          <w:bCs/>
          <w:color w:val="1B5E8A"/>
          <w:sz w:val="27"/>
          <w:szCs w:val="27"/>
          <w:rtl/>
        </w:rPr>
        <w:t xml:space="preserve">5.1  تشخيص الفصام الأخلاقي</w:t>
      </w:r>
    </w:p>
    <w:p>
      <w:pPr>
        <w:bidi/>
        <w:spacing w:after="185" w:line="390" w:lineRule="auto"/>
        <w:ind w:firstLine="720"/>
        <w:jc w:val="both"/>
      </w:pPr>
      <w:r>
        <w:rPr>
          <w:rFonts w:ascii="Times New Roman" w:cs="Times New Roman" w:eastAsia="Times New Roman" w:hAnsi="Times New Roman"/>
          <w:b w:val="false"/>
          <w:bCs w:val="false"/>
          <w:color w:val="111111"/>
          <w:sz w:val="24"/>
          <w:szCs w:val="24"/>
          <w:rtl/>
        </w:rPr>
        <w:t xml:space="preserve">ترصد الأطروحة ظاهرةً بالغة الخطورة يُعاني منها الفرد المسلم المعاصر وهي «الفصام الأخلاقي» [ص 1102، 1229]: الهوّة المتسعة بين قيم الوحي التي يُقرّ بها الفرد نظريًا، ومتطلبات الحداثة السائلة التي يُعيشها واقعيًا. هذا الفصام يُنتج حالةً نفسية مُزمنةً تُشبه «الازدواجية الأخلاقية»: الإنسان يؤمن بشيء ويفعل ضده، ويعرف الصواب ولا يستطيع تطبيقه، ويتقلّب بين نوبات التديّن والانتكاس دون أن يُعالج الجذر البنيوي للأزمة.</w:t>
      </w:r>
    </w:p>
    <w:p>
      <w:pPr>
        <w:bidi/>
        <w:spacing w:after="90"/>
        <w:ind w:left="560"/>
        <w:jc w:val="right"/>
      </w:pPr>
      <w:r>
        <w:rPr>
          <w:rFonts w:ascii="Times New Roman" w:cs="Times New Roman" w:eastAsia="Times New Roman" w:hAnsi="Times New Roman"/>
          <w:color w:val="555566"/>
          <w:sz w:val="19"/>
          <w:szCs w:val="19"/>
          <w:rtl/>
        </w:rPr>
        <w:t xml:space="preserve">الزراع، علم النفس الاستخلافي [الأطروحة]. ص 1102، 1229.</w:t>
      </w:r>
    </w:p>
    <w:p>
      <w:pPr>
        <w:pStyle w:val="Heading2"/>
        <w:bidi/>
        <w:spacing w:before="300" w:after="160"/>
        <w:jc w:val="right"/>
      </w:pPr>
      <w:r>
        <w:rPr>
          <w:rFonts w:ascii="Times New Roman" w:cs="Times New Roman" w:eastAsia="Times New Roman" w:hAnsi="Times New Roman"/>
          <w:b/>
          <w:bCs/>
          <w:color w:val="1B5E8A"/>
          <w:sz w:val="27"/>
          <w:szCs w:val="27"/>
          <w:rtl/>
        </w:rPr>
        <w:t xml:space="preserve">5.2  إخفاق الخطاب الوعظي التقليدي</w:t>
      </w:r>
    </w:p>
    <w:p>
      <w:pPr>
        <w:bidi/>
        <w:spacing w:after="185" w:line="390" w:lineRule="auto"/>
        <w:ind w:firstLine="720"/>
        <w:jc w:val="both"/>
      </w:pPr>
      <w:r>
        <w:rPr>
          <w:rFonts w:ascii="Times New Roman" w:cs="Times New Roman" w:eastAsia="Times New Roman" w:hAnsi="Times New Roman"/>
          <w:b w:val="false"/>
          <w:bCs w:val="false"/>
          <w:color w:val="111111"/>
          <w:sz w:val="24"/>
          <w:szCs w:val="24"/>
          <w:rtl/>
        </w:rPr>
        <w:t xml:space="preserve">يكشف البحث أن الخطاب الوعظي التقليدي يعجز عن معالجة الفصام الأخلاقي لسببَين بنيوَّيَين: أوّلهما أنه يتعامل مع الإنسان كوحدة إيمانية مجرّدة لا كائنًا نفسيًا يملك آليات دفاع وبنى لاواعية تقاوم التغيير. وثانيهما أنه يفتقر إلى «الهندسة السلوكية» (Behavioral Engineering) والبروتوكولات العلاجية العملية التي تُرجم القيم الكبرى إلى خطوات قابلة للتطبيق في الحياة اليومية. [ص 781، 892]</w:t>
      </w:r>
    </w:p>
    <w:p>
      <w:pPr>
        <w:bidi/>
        <w:spacing w:after="185" w:line="390" w:lineRule="auto"/>
        <w:ind w:firstLine="720"/>
        <w:jc w:val="both"/>
      </w:pPr>
      <w:r>
        <w:rPr>
          <w:rFonts w:ascii="Times New Roman" w:cs="Times New Roman" w:eastAsia="Times New Roman" w:hAnsi="Times New Roman"/>
          <w:b w:val="false"/>
          <w:bCs w:val="false"/>
          <w:color w:val="111111"/>
          <w:sz w:val="24"/>
          <w:szCs w:val="24"/>
          <w:rtl/>
        </w:rPr>
        <w:t xml:space="preserve">ويصف الباحث المعاصر هذا الخلل بـ«فجوة التطبيق» بين الخطاب الديني المرتفع وأدوات الفرد في مواجهة أزماته اليومية المحددة. وهذه الفجوة هي التي تفتح الباب لـ«علم النفس الإيجابي» الغربي ليملأ مكانًا ينبغي أن يملأه علم النفس الإسلامي.</w:t>
      </w:r>
    </w:p>
    <w:p>
      <w:pPr>
        <w:pBdr>
          <w:left w:val="single" w:color="7B1515" w:sz="10" w:space="6"/>
        </w:pBdr>
        <w:shd w:fill="FEF3F3" w:val="clear"/>
        <w:spacing w:before="120" w:after="40"/>
        <w:ind w:left="900" w:right="900"/>
        <w:jc w:val="left"/>
      </w:pPr>
      <w:r>
        <w:rPr>
          <w:rFonts w:ascii="Times New Roman" w:cs="Times New Roman" w:eastAsia="Times New Roman" w:hAnsi="Times New Roman"/>
          <w:color w:val="5A0000"/>
          <w:sz w:val="22"/>
          <w:szCs w:val="22"/>
        </w:rPr>
        <w:t xml:space="preserve">« Le discours religieux traditionnel souffre d'un déficit de médiation pratique : il dit ce qu'il faut être mais ne dit pas comment le devenir. Il décrit l'idéal mais n'outille pas le chemin. »</w:t>
      </w:r>
    </w:p>
    <w:p>
      <w:pPr>
        <w:spacing w:after="120"/>
        <w:ind w:left="900" w:right="900"/>
        <w:jc w:val="left"/>
      </w:pPr>
      <w:r>
        <w:rPr>
          <w:rFonts w:ascii="Times New Roman" w:cs="Times New Roman" w:eastAsia="Times New Roman" w:hAnsi="Times New Roman"/>
          <w:color w:val="665555"/>
          <w:sz w:val="19"/>
          <w:szCs w:val="19"/>
        </w:rPr>
        <w:t xml:space="preserve">Voir : Ramadan, Tariq. (2009). Radical Reform: Islamic Ethics and Liberation. Oxford University Press, Oxford. p. 147.</w:t>
      </w:r>
    </w:p>
    <w:p>
      <w:pPr>
        <w:pStyle w:val="Heading2"/>
        <w:bidi/>
        <w:spacing w:before="300" w:after="160"/>
        <w:jc w:val="right"/>
      </w:pPr>
      <w:r>
        <w:rPr>
          <w:rFonts w:ascii="Times New Roman" w:cs="Times New Roman" w:eastAsia="Times New Roman" w:hAnsi="Times New Roman"/>
          <w:b/>
          <w:bCs/>
          <w:color w:val="1B5E8A"/>
          <w:sz w:val="27"/>
          <w:szCs w:val="27"/>
          <w:rtl/>
        </w:rPr>
        <w:t xml:space="preserve">5.3  أدوات التمكين في نموذج TLRT</w:t>
      </w:r>
    </w:p>
    <w:p>
      <w:pPr>
        <w:bidi/>
        <w:spacing w:after="185" w:line="390" w:lineRule="auto"/>
        <w:ind w:firstLine="720"/>
        <w:jc w:val="both"/>
      </w:pPr>
      <w:r>
        <w:rPr>
          <w:rFonts w:ascii="Times New Roman" w:cs="Times New Roman" w:eastAsia="Times New Roman" w:hAnsi="Times New Roman"/>
          <w:b w:val="false"/>
          <w:bCs w:val="false"/>
          <w:color w:val="111111"/>
          <w:sz w:val="24"/>
          <w:szCs w:val="24"/>
          <w:rtl/>
        </w:rPr>
        <w:t xml:space="preserve">في مقابل هذا الإخفاق، تُقدّم الأطروحة الاستخلافية عبر نموذج TLRT منظومةً من الأدوات التقنية العملية التي تُمكّن الفرد من إدارة أزماته الروحية-النفسية: [ص 901، 903-906، 1103]</w:t>
      </w:r>
    </w:p>
    <w:p>
      <w:pPr>
        <w:spacing w:after="6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600"/>
        <w:gridCol w:w="3226"/>
      </w:tblGrid>
      <w:tr>
        <w:tc>
          <w:tcPr>
            <w:tcW w:type="dxa" w:w="2200"/>
            <w:tcBorders>
              <w:top w:val="single" w:color="AAAAAA" w:sz="1"/>
              <w:left w:val="single" w:color="AAAAAA" w:sz="1"/>
              <w:bottom w:val="single" w:color="AAAAAA" w:sz="1"/>
              <w:right w:val="single" w:color="AAAAAA" w:sz="1"/>
            </w:tcBorders>
            <w:shd w:fill="1C2B3A" w:val="clear"/>
            <w:tcMar>
              <w:top w:type="dxa" w:w="100"/>
              <w:left w:type="dxa" w:w="140"/>
              <w:bottom w:type="dxa" w:w="100"/>
              <w:right w:type="dxa" w:w="140"/>
            </w:tcMar>
          </w:tcPr>
          <w:p>
            <w:pPr>
              <w:bidi/>
              <w:jc w:val="center"/>
            </w:pPr>
            <w:r>
              <w:rPr>
                <w:rFonts w:ascii="Times New Roman" w:cs="Times New Roman" w:eastAsia="Times New Roman" w:hAnsi="Times New Roman"/>
                <w:b/>
                <w:bCs/>
                <w:color w:val="FFFFFF"/>
                <w:sz w:val="21"/>
                <w:szCs w:val="21"/>
                <w:rtl/>
              </w:rPr>
              <w:t xml:space="preserve">الأداة التقنية</w:t>
            </w:r>
          </w:p>
        </w:tc>
        <w:tc>
          <w:tcPr>
            <w:tcW w:type="dxa" w:w="3600"/>
            <w:tcBorders>
              <w:top w:val="single" w:color="AAAAAA" w:sz="1"/>
              <w:left w:val="single" w:color="AAAAAA" w:sz="1"/>
              <w:bottom w:val="single" w:color="AAAAAA" w:sz="1"/>
              <w:right w:val="single" w:color="AAAAAA" w:sz="1"/>
            </w:tcBorders>
            <w:shd w:fill="1C2B3A" w:val="clear"/>
            <w:tcMar>
              <w:top w:type="dxa" w:w="100"/>
              <w:left w:type="dxa" w:w="140"/>
              <w:bottom w:type="dxa" w:w="100"/>
              <w:right w:type="dxa" w:w="140"/>
            </w:tcMar>
          </w:tcPr>
          <w:p>
            <w:pPr>
              <w:bidi/>
              <w:jc w:val="center"/>
            </w:pPr>
            <w:r>
              <w:rPr>
                <w:rFonts w:ascii="Times New Roman" w:cs="Times New Roman" w:eastAsia="Times New Roman" w:hAnsi="Times New Roman"/>
                <w:b/>
                <w:bCs/>
                <w:color w:val="FFFFFF"/>
                <w:sz w:val="21"/>
                <w:szCs w:val="21"/>
                <w:rtl/>
              </w:rPr>
              <w:t xml:space="preserve">تعريفها الوظيفي</w:t>
            </w:r>
          </w:p>
        </w:tc>
        <w:tc>
          <w:tcPr>
            <w:tcW w:type="dxa" w:w="3226"/>
            <w:tcBorders>
              <w:top w:val="single" w:color="AAAAAA" w:sz="1"/>
              <w:left w:val="single" w:color="AAAAAA" w:sz="1"/>
              <w:bottom w:val="single" w:color="AAAAAA" w:sz="1"/>
              <w:right w:val="single" w:color="AAAAAA" w:sz="1"/>
            </w:tcBorders>
            <w:shd w:fill="1C2B3A" w:val="clear"/>
            <w:tcMar>
              <w:top w:type="dxa" w:w="100"/>
              <w:left w:type="dxa" w:w="140"/>
              <w:bottom w:type="dxa" w:w="100"/>
              <w:right w:type="dxa" w:w="140"/>
            </w:tcMar>
          </w:tcPr>
          <w:p>
            <w:pPr>
              <w:bidi/>
              <w:jc w:val="center"/>
            </w:pPr>
            <w:r>
              <w:rPr>
                <w:rFonts w:ascii="Times New Roman" w:cs="Times New Roman" w:eastAsia="Times New Roman" w:hAnsi="Times New Roman"/>
                <w:b/>
                <w:bCs/>
                <w:color w:val="FFFFFF"/>
                <w:sz w:val="21"/>
                <w:szCs w:val="21"/>
                <w:rtl/>
              </w:rPr>
              <w:t xml:space="preserve">ما تستبدله من الخطاب الوصائي</w:t>
            </w:r>
          </w:p>
        </w:tc>
      </w:tr>
      <w:tr>
        <w:tc>
          <w:tcPr>
            <w:tcW w:type="dxa" w:w="2200"/>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خريطة الدين النفسي</w:t>
            </w:r>
          </w:p>
        </w:tc>
        <w:tc>
          <w:tcPr>
            <w:tcW w:type="dxa" w:w="3600"/>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خارطة تشخيصية تُحدّد موقع الفرد في المسار الاستخلافي</w:t>
            </w:r>
          </w:p>
        </w:tc>
        <w:tc>
          <w:tcPr>
            <w:tcW w:type="dxa" w:w="3226"/>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التقييم العام الفضفاض للحال الديني</w:t>
            </w:r>
          </w:p>
        </w:tc>
      </w:tr>
      <w:tr>
        <w:tc>
          <w:tcPr>
            <w:tcW w:type="dxa" w:w="2200"/>
            <w:tcBorders>
              <w:top w:val="single" w:color="AAAAAA" w:sz="1"/>
              <w:left w:val="single" w:color="AAAAAA" w:sz="1"/>
              <w:bottom w:val="single" w:color="AAAAAA" w:sz="1"/>
              <w:right w:val="single" w:color="AAAAAA" w:sz="1"/>
            </w:tcBorders>
            <w:shd w:fill="F3F7FB"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الجسر السلوكي</w:t>
            </w:r>
          </w:p>
        </w:tc>
        <w:tc>
          <w:tcPr>
            <w:tcW w:type="dxa" w:w="3600"/>
            <w:tcBorders>
              <w:top w:val="single" w:color="AAAAAA" w:sz="1"/>
              <w:left w:val="single" w:color="AAAAAA" w:sz="1"/>
              <w:bottom w:val="single" w:color="AAAAAA" w:sz="1"/>
              <w:right w:val="single" w:color="AAAAAA" w:sz="1"/>
            </w:tcBorders>
            <w:shd w:fill="F3F7FB"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تحويل طاقة الذنب والندم إلى فعل إحساني محدد قابل للتنفيذ</w:t>
            </w:r>
          </w:p>
        </w:tc>
        <w:tc>
          <w:tcPr>
            <w:tcW w:type="dxa" w:w="3226"/>
            <w:tcBorders>
              <w:top w:val="single" w:color="AAAAAA" w:sz="1"/>
              <w:left w:val="single" w:color="AAAAAA" w:sz="1"/>
              <w:bottom w:val="single" w:color="AAAAAA" w:sz="1"/>
              <w:right w:val="single" w:color="AAAAAA" w:sz="1"/>
            </w:tcBorders>
            <w:shd w:fill="F3F7FB"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الوعظ العام بالتوبة دون خارطة طريق</w:t>
            </w:r>
          </w:p>
        </w:tc>
      </w:tr>
      <w:tr>
        <w:tc>
          <w:tcPr>
            <w:tcW w:type="dxa" w:w="2200"/>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بروتوكول المجاهدة</w:t>
            </w:r>
          </w:p>
        </w:tc>
        <w:tc>
          <w:tcPr>
            <w:tcW w:type="dxa" w:w="3600"/>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خطوات عملية منظّمة لمواجهة الوسوسة والهوى</w:t>
            </w:r>
          </w:p>
        </w:tc>
        <w:tc>
          <w:tcPr>
            <w:tcW w:type="dxa" w:w="3226"/>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النهي المجرّد عن المعاصي</w:t>
            </w:r>
          </w:p>
        </w:tc>
      </w:tr>
      <w:tr>
        <w:tc>
          <w:tcPr>
            <w:tcW w:type="dxa" w:w="2200"/>
            <w:tcBorders>
              <w:top w:val="single" w:color="AAAAAA" w:sz="1"/>
              <w:left w:val="single" w:color="AAAAAA" w:sz="1"/>
              <w:bottom w:val="single" w:color="AAAAAA" w:sz="1"/>
              <w:right w:val="single" w:color="AAAAAA" w:sz="1"/>
            </w:tcBorders>
            <w:shd w:fill="F3F7FB"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مشاريع الكفارة الإبداعية</w:t>
            </w:r>
          </w:p>
        </w:tc>
        <w:tc>
          <w:tcPr>
            <w:tcW w:type="dxa" w:w="3600"/>
            <w:tcBorders>
              <w:top w:val="single" w:color="AAAAAA" w:sz="1"/>
              <w:left w:val="single" w:color="AAAAAA" w:sz="1"/>
              <w:bottom w:val="single" w:color="AAAAAA" w:sz="1"/>
              <w:right w:val="single" w:color="AAAAAA" w:sz="1"/>
            </w:tcBorders>
            <w:shd w:fill="F3F7FB"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صياغة أعمال إحسانية مخصّصة تُعالج أثر الخطأ</w:t>
            </w:r>
          </w:p>
        </w:tc>
        <w:tc>
          <w:tcPr>
            <w:tcW w:type="dxa" w:w="3226"/>
            <w:tcBorders>
              <w:top w:val="single" w:color="AAAAAA" w:sz="1"/>
              <w:left w:val="single" w:color="AAAAAA" w:sz="1"/>
              <w:bottom w:val="single" w:color="AAAAAA" w:sz="1"/>
              <w:right w:val="single" w:color="AAAAAA" w:sz="1"/>
            </w:tcBorders>
            <w:shd w:fill="F3F7FB"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صيغ كفارة مجردة غير مخصّصة للفرد</w:t>
            </w:r>
          </w:p>
        </w:tc>
      </w:tr>
      <w:tr>
        <w:tc>
          <w:tcPr>
            <w:tcW w:type="dxa" w:w="2200"/>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تقييم اللدونة الأخلاقية</w:t>
            </w:r>
          </w:p>
        </w:tc>
        <w:tc>
          <w:tcPr>
            <w:tcW w:type="dxa" w:w="3600"/>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قياس قدرة الفرد على التغيير والنمو الروحي</w:t>
            </w:r>
          </w:p>
        </w:tc>
        <w:tc>
          <w:tcPr>
            <w:tcW w:type="dxa" w:w="3226"/>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أحكام عامة على الشخصية والحال</w:t>
            </w:r>
          </w:p>
        </w:tc>
      </w:tr>
    </w:tbl>
    <w:p>
      <w:pPr>
        <w:spacing w:after="80"/>
      </w:pPr>
      <w:r>
        <w:t xml:space="preserve"/>
      </w:r>
    </w:p>
    <w:p>
      <w:pPr>
        <w:bidi/>
        <w:spacing w:after="90"/>
        <w:ind w:left="560"/>
        <w:jc w:val="right"/>
      </w:pPr>
      <w:r>
        <w:rPr>
          <w:rFonts w:ascii="Times New Roman" w:cs="Times New Roman" w:eastAsia="Times New Roman" w:hAnsi="Times New Roman"/>
          <w:color w:val="555566"/>
          <w:sz w:val="19"/>
          <w:szCs w:val="19"/>
          <w:rtl/>
        </w:rPr>
        <w:t xml:space="preserve">الزراع، علم النفس الاستخلافي [الأطروحة]. ص 781، 892، 901، 905، 906، 1103.</w:t>
      </w:r>
    </w:p>
    <w:p>
      <w:pPr>
        <w:spacing w:after="120"/>
      </w:pPr>
      <w:r>
        <w:t xml:space="preserve"/>
      </w:r>
    </w:p>
    <w:p>
      <w:pPr>
        <w:pStyle w:val="Heading1"/>
        <w:bidi/>
        <w:spacing w:before="460" w:after="220"/>
        <w:jc w:val="right"/>
      </w:pPr>
      <w:r>
        <w:rPr>
          <w:rFonts w:ascii="Times New Roman" w:cs="Times New Roman" w:eastAsia="Times New Roman" w:hAnsi="Times New Roman"/>
          <w:b/>
          <w:bCs/>
          <w:color w:val="1C2B3A"/>
          <w:sz w:val="34"/>
          <w:szCs w:val="34"/>
          <w:rtl/>
        </w:rPr>
        <w:t xml:space="preserve">سادسًا: رفض قتل الأب الرمزي — الاندماج الخالق بديلاً</w:t>
      </w:r>
    </w:p>
    <w:p>
      <w:pPr>
        <w:pBdr>
          <w:bottom w:val="single" w:color="1B5E8A" w:sz="6" w:space="1"/>
        </w:pBdr>
        <w:spacing w:after="200"/>
      </w:pPr>
      <w:r>
        <w:t xml:space="preserve"/>
      </w:r>
    </w:p>
    <w:p>
      <w:pPr>
        <w:pStyle w:val="Heading2"/>
        <w:bidi/>
        <w:spacing w:before="300" w:after="160"/>
        <w:jc w:val="right"/>
      </w:pPr>
      <w:r>
        <w:rPr>
          <w:rFonts w:ascii="Times New Roman" w:cs="Times New Roman" w:eastAsia="Times New Roman" w:hAnsi="Times New Roman"/>
          <w:b/>
          <w:bCs/>
          <w:color w:val="1B5E8A"/>
          <w:sz w:val="27"/>
          <w:szCs w:val="27"/>
          <w:rtl/>
        </w:rPr>
        <w:t xml:space="preserve">6.1  قراءة نقدية لتجربة العلمانية الإقصائية</w:t>
      </w:r>
    </w:p>
    <w:p>
      <w:pPr>
        <w:bidi/>
        <w:spacing w:after="185" w:line="390" w:lineRule="auto"/>
        <w:ind w:firstLine="720"/>
        <w:jc w:val="both"/>
      </w:pPr>
      <w:r>
        <w:rPr>
          <w:rFonts w:ascii="Times New Roman" w:cs="Times New Roman" w:eastAsia="Times New Roman" w:hAnsi="Times New Roman"/>
          <w:b w:val="false"/>
          <w:bCs w:val="false"/>
          <w:color w:val="111111"/>
          <w:sz w:val="24"/>
          <w:szCs w:val="24"/>
          <w:rtl/>
        </w:rPr>
        <w:t xml:space="preserve">تقدّم الأطروحة قراءةً سوسيو-تاريخيةً نقديةً لبعض تجارب التحديث الإسلامي التي سعت إلى تحرير المجتمع من هيمنة المؤسسة الدينية عبر قطيعة قسرية. وتستشهد بتجربة بورقيبة في تونس نموذجًا لما تُسمّيه «قتل الأب الرمزي»: أي القضاء على سلطة العالِم الديني لصالح سلطة الدولة العلمانية. [ص 31، 34]</w:t>
      </w:r>
    </w:p>
    <w:p>
      <w:pPr>
        <w:bidi/>
        <w:spacing w:after="185" w:line="390" w:lineRule="auto"/>
        <w:ind w:firstLine="720"/>
        <w:jc w:val="both"/>
      </w:pPr>
      <w:r>
        <w:rPr>
          <w:rFonts w:ascii="Times New Roman" w:cs="Times New Roman" w:eastAsia="Times New Roman" w:hAnsi="Times New Roman"/>
          <w:b w:val="false"/>
          <w:bCs w:val="false"/>
          <w:color w:val="111111"/>
          <w:sz w:val="24"/>
          <w:szCs w:val="24"/>
          <w:rtl/>
        </w:rPr>
        <w:t xml:space="preserve">لكن هذه المقاربة — رغم شعاراتها التحريرية — لم تُحقّق التحرير الموعود؛ إذ استبدلت وصايةً دينيةً بوصايةٍ علمانية، واستبدلت رقابةَ المسجد برقابةِ الحزب والدولة. وأثبتت أنها عاجزة عن ملء الفراغ الوجودي الذي نتج عن إزاحة المرجعية الدينية.</w:t>
      </w:r>
    </w:p>
    <w:p>
      <w:pPr>
        <w:pBdr>
          <w:left w:val="single" w:color="7B1515" w:sz="10" w:space="6"/>
        </w:pBdr>
        <w:shd w:fill="FEF3F3" w:val="clear"/>
        <w:spacing w:before="120" w:after="40"/>
        <w:ind w:left="900" w:right="900"/>
        <w:jc w:val="left"/>
      </w:pPr>
      <w:r>
        <w:rPr>
          <w:rFonts w:ascii="Times New Roman" w:cs="Times New Roman" w:eastAsia="Times New Roman" w:hAnsi="Times New Roman"/>
          <w:color w:val="5A0000"/>
          <w:sz w:val="22"/>
          <w:szCs w:val="22"/>
        </w:rPr>
        <w:t xml:space="preserve">« En voulant tuer le père symbolique — l'autorité religieuse — le modernisme laïque a souvent engendré un orphelinat collectif : une société sans repères stables, proie facile d'idéologies totalitaires de substitution. »</w:t>
      </w:r>
    </w:p>
    <w:p>
      <w:pPr>
        <w:spacing w:after="120"/>
        <w:ind w:left="900" w:right="900"/>
        <w:jc w:val="left"/>
      </w:pPr>
      <w:r>
        <w:rPr>
          <w:rFonts w:ascii="Times New Roman" w:cs="Times New Roman" w:eastAsia="Times New Roman" w:hAnsi="Times New Roman"/>
          <w:color w:val="665555"/>
          <w:sz w:val="19"/>
          <w:szCs w:val="19"/>
        </w:rPr>
        <w:t xml:space="preserve">Voir : Roy, Olivier. (2002). L'Islam mondialisé. Seuil, Paris. p. 58.</w:t>
      </w:r>
    </w:p>
    <w:p>
      <w:pPr>
        <w:pStyle w:val="Heading2"/>
        <w:bidi/>
        <w:spacing w:before="300" w:after="160"/>
        <w:jc w:val="right"/>
      </w:pPr>
      <w:r>
        <w:rPr>
          <w:rFonts w:ascii="Times New Roman" w:cs="Times New Roman" w:eastAsia="Times New Roman" w:hAnsi="Times New Roman"/>
          <w:b/>
          <w:bCs/>
          <w:color w:val="1B5E8A"/>
          <w:sz w:val="27"/>
          <w:szCs w:val="27"/>
          <w:rtl/>
        </w:rPr>
        <w:t xml:space="preserve">6.2  الاندماج الخالق: حضور الوحي بلا هيمنة الأشخاص</w:t>
      </w:r>
    </w:p>
    <w:p>
      <w:pPr>
        <w:bidi/>
        <w:spacing w:after="185" w:line="390" w:lineRule="auto"/>
        <w:ind w:firstLine="720"/>
        <w:jc w:val="both"/>
      </w:pPr>
      <w:r>
        <w:rPr>
          <w:rFonts w:ascii="Times New Roman" w:cs="Times New Roman" w:eastAsia="Times New Roman" w:hAnsi="Times New Roman"/>
          <w:b w:val="false"/>
          <w:bCs w:val="false"/>
          <w:color w:val="111111"/>
          <w:sz w:val="24"/>
          <w:szCs w:val="24"/>
          <w:rtl/>
        </w:rPr>
        <w:t xml:space="preserve">تطرح الأطروحة بديلًا مغايرًا جذريًا: «الاندماج الخالق» الذي يُبقي الوحيَ مركزًا ثقلًا دون أن يُبقي المؤسسةَ الدينية ثقلًا إجباريًا. ويعني ذلك عمليًا:</w:t>
      </w:r>
    </w:p>
    <w:p>
      <w:pPr>
        <w:pStyle w:val="ListParagraph"/>
        <w:numPr>
          <w:ilvl w:val="0"/>
          <w:numId w:val="2"/>
        </w:numPr>
        <w:bidi/>
        <w:spacing w:after="110"/>
        <w:jc w:val="right"/>
      </w:pPr>
      <w:r>
        <w:rPr>
          <w:rFonts w:ascii="Times New Roman" w:cs="Times New Roman" w:eastAsia="Times New Roman" w:hAnsi="Times New Roman"/>
          <w:sz w:val="24"/>
          <w:szCs w:val="24"/>
          <w:rtl/>
        </w:rPr>
        <w:t xml:space="preserve">إبقاء العالِم مرجعيةً تخصصيةً في الاجتهاد الفقهي والتفسير العلمي — لا مرجعيةً في الضمير الفردي.</w:t>
      </w:r>
    </w:p>
    <w:p>
      <w:pPr>
        <w:pStyle w:val="ListParagraph"/>
        <w:numPr>
          <w:ilvl w:val="0"/>
          <w:numId w:val="2"/>
        </w:numPr>
        <w:bidi/>
        <w:spacing w:after="110"/>
        <w:jc w:val="right"/>
      </w:pPr>
      <w:r>
        <w:rPr>
          <w:rFonts w:ascii="Times New Roman" w:cs="Times New Roman" w:eastAsia="Times New Roman" w:hAnsi="Times New Roman"/>
          <w:sz w:val="24"/>
          <w:szCs w:val="24"/>
          <w:rtl/>
        </w:rPr>
        <w:t xml:space="preserve">توزيع وظيفة التزكية على المجتمع بكامله عبر الخبراء الأحياء ومجموعات الدعم المتبادل.</w:t>
      </w:r>
    </w:p>
    <w:p>
      <w:pPr>
        <w:pStyle w:val="ListParagraph"/>
        <w:numPr>
          <w:ilvl w:val="0"/>
          <w:numId w:val="2"/>
        </w:numPr>
        <w:bidi/>
        <w:spacing w:after="110"/>
        <w:jc w:val="right"/>
      </w:pPr>
      <w:r>
        <w:rPr>
          <w:rFonts w:ascii="Times New Roman" w:cs="Times New Roman" w:eastAsia="Times New Roman" w:hAnsi="Times New Roman"/>
          <w:sz w:val="24"/>
          <w:szCs w:val="24"/>
          <w:rtl/>
        </w:rPr>
        <w:t xml:space="preserve">الإبقاء على آلية الحساب والمساءلة المتبادلة — كلٌّ يُراقب الآخر بما فيهم العلماء أنفسهم.</w:t>
      </w:r>
    </w:p>
    <w:p>
      <w:pPr>
        <w:pStyle w:val="ListParagraph"/>
        <w:numPr>
          <w:ilvl w:val="0"/>
          <w:numId w:val="2"/>
        </w:numPr>
        <w:bidi/>
        <w:spacing w:after="110"/>
        <w:jc w:val="right"/>
      </w:pPr>
      <w:r>
        <w:rPr>
          <w:rFonts w:ascii="Times New Roman" w:cs="Times New Roman" w:eastAsia="Times New Roman" w:hAnsi="Times New Roman"/>
          <w:sz w:val="24"/>
          <w:szCs w:val="24"/>
          <w:rtl/>
        </w:rPr>
        <w:t xml:space="preserve">جعل العالِم مرشدًا في المسائل التي تحتاج تخصصًا علميًا، وشريكًا لا حاكمًا في القضايا الوجودية.</w:t>
      </w:r>
    </w:p>
    <w:p>
      <w:pPr>
        <w:bidi/>
        <w:spacing w:after="185" w:line="390" w:lineRule="auto"/>
        <w:ind w:firstLine="720"/>
        <w:jc w:val="both"/>
      </w:pPr>
      <w:r>
        <w:rPr>
          <w:rFonts w:ascii="Times New Roman" w:cs="Times New Roman" w:eastAsia="Times New Roman" w:hAnsi="Times New Roman"/>
          <w:b w:val="false"/>
          <w:bCs w:val="false"/>
          <w:color w:val="111111"/>
          <w:sz w:val="24"/>
          <w:szCs w:val="24"/>
          <w:rtl/>
        </w:rPr>
        <w:t xml:space="preserve">ويُشبه دور العالِم في هذا النموذج — وفق الأطروحة — دورَ العالِم في البيولوجيا أو الفيزياء: مرجعيةٌ تخصصية لمن يحتاجها، لا سلطةٌ إجبارية على وعي الجميع. [ص 1380، 1386]</w:t>
      </w:r>
    </w:p>
    <w:p>
      <w:pPr>
        <w:bidi/>
        <w:spacing w:after="90"/>
        <w:ind w:left="560"/>
        <w:jc w:val="right"/>
      </w:pPr>
      <w:r>
        <w:rPr>
          <w:rFonts w:ascii="Times New Roman" w:cs="Times New Roman" w:eastAsia="Times New Roman" w:hAnsi="Times New Roman"/>
          <w:color w:val="555566"/>
          <w:sz w:val="19"/>
          <w:szCs w:val="19"/>
          <w:rtl/>
        </w:rPr>
        <w:t xml:space="preserve">الزراع، علم النفس الاستخلافي [الأطروحة]. ص 31، 34، 1380، 1386.</w:t>
      </w:r>
    </w:p>
    <w:p>
      <w:pPr>
        <w:spacing w:after="120"/>
      </w:pPr>
      <w:r>
        <w:t xml:space="preserve"/>
      </w:r>
    </w:p>
    <w:p>
      <w:pPr>
        <w:pStyle w:val="Heading1"/>
        <w:bidi/>
        <w:spacing w:before="460" w:after="220"/>
        <w:jc w:val="right"/>
      </w:pPr>
      <w:r>
        <w:rPr>
          <w:rFonts w:ascii="Times New Roman" w:cs="Times New Roman" w:eastAsia="Times New Roman" w:hAnsi="Times New Roman"/>
          <w:b/>
          <w:bCs/>
          <w:color w:val="1C2B3A"/>
          <w:sz w:val="34"/>
          <w:szCs w:val="34"/>
          <w:rtl/>
        </w:rPr>
        <w:t xml:space="preserve">سابعًا: مقارنة نقدية — الوصاية وبدائلها عبر التاريخ</w:t>
      </w:r>
    </w:p>
    <w:p>
      <w:pPr>
        <w:pBdr>
          <w:bottom w:val="single" w:color="1B5E8A" w:sz="6" w:space="1"/>
        </w:pBdr>
        <w:spacing w:after="200"/>
      </w:pPr>
      <w:r>
        <w:t xml:space="preserve"/>
      </w:r>
    </w:p>
    <w:p>
      <w:pPr>
        <w:pStyle w:val="Heading2"/>
        <w:bidi/>
        <w:spacing w:before="300" w:after="160"/>
        <w:jc w:val="right"/>
      </w:pPr>
      <w:r>
        <w:rPr>
          <w:rFonts w:ascii="Times New Roman" w:cs="Times New Roman" w:eastAsia="Times New Roman" w:hAnsi="Times New Roman"/>
          <w:b/>
          <w:bCs/>
          <w:color w:val="1B5E8A"/>
          <w:sz w:val="27"/>
          <w:szCs w:val="27"/>
          <w:rtl/>
        </w:rPr>
        <w:t xml:space="preserve">7.1  نماذج الوصاية الدينية في التاريخ الإسلامي والغربي</w:t>
      </w:r>
    </w:p>
    <w:p>
      <w:pPr>
        <w:bidi/>
        <w:spacing w:after="185" w:line="390" w:lineRule="auto"/>
        <w:ind w:firstLine="720"/>
        <w:jc w:val="both"/>
      </w:pPr>
      <w:r>
        <w:rPr>
          <w:rFonts w:ascii="Times New Roman" w:cs="Times New Roman" w:eastAsia="Times New Roman" w:hAnsi="Times New Roman"/>
          <w:b w:val="false"/>
          <w:bCs w:val="false"/>
          <w:color w:val="111111"/>
          <w:sz w:val="24"/>
          <w:szCs w:val="24"/>
          <w:rtl/>
        </w:rPr>
        <w:t xml:space="preserve">لم تكن الوصاية الدينية ظاهرةً إسلاميةً خالصة، بل نمطًا إنسانيًا عامًّا تجلّى في حضارات متعددة. وتُفيد المقارنة التاريخية في تحرير النقاش من التشنّج الهوياتي وربطه بسياقاته البشرية الأشمل:</w:t>
      </w:r>
    </w:p>
    <w:p>
      <w:pPr>
        <w:spacing w:after="6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300"/>
        <w:gridCol w:w="2300"/>
        <w:gridCol w:w="2200"/>
        <w:gridCol w:w="2226"/>
      </w:tblGrid>
      <w:tr>
        <w:tc>
          <w:tcPr>
            <w:tcW w:type="dxa" w:w="2300"/>
            <w:tcBorders>
              <w:top w:val="single" w:color="AAAAAA" w:sz="1"/>
              <w:left w:val="single" w:color="AAAAAA" w:sz="1"/>
              <w:bottom w:val="single" w:color="AAAAAA" w:sz="1"/>
              <w:right w:val="single" w:color="AAAAAA" w:sz="1"/>
            </w:tcBorders>
            <w:shd w:fill="1C2B3A" w:val="clear"/>
            <w:tcMar>
              <w:top w:type="dxa" w:w="100"/>
              <w:left w:type="dxa" w:w="140"/>
              <w:bottom w:type="dxa" w:w="100"/>
              <w:right w:type="dxa" w:w="140"/>
            </w:tcMar>
          </w:tcPr>
          <w:p>
            <w:pPr>
              <w:bidi/>
              <w:jc w:val="center"/>
            </w:pPr>
            <w:r>
              <w:rPr>
                <w:rFonts w:ascii="Times New Roman" w:cs="Times New Roman" w:eastAsia="Times New Roman" w:hAnsi="Times New Roman"/>
                <w:b/>
                <w:bCs/>
                <w:color w:val="FFFFFF"/>
                <w:sz w:val="21"/>
                <w:szCs w:val="21"/>
                <w:rtl/>
              </w:rPr>
              <w:t xml:space="preserve">النموذج</w:t>
            </w:r>
          </w:p>
        </w:tc>
        <w:tc>
          <w:tcPr>
            <w:tcW w:type="dxa" w:w="2300"/>
            <w:tcBorders>
              <w:top w:val="single" w:color="AAAAAA" w:sz="1"/>
              <w:left w:val="single" w:color="AAAAAA" w:sz="1"/>
              <w:bottom w:val="single" w:color="AAAAAA" w:sz="1"/>
              <w:right w:val="single" w:color="AAAAAA" w:sz="1"/>
            </w:tcBorders>
            <w:shd w:fill="1C2B3A" w:val="clear"/>
            <w:tcMar>
              <w:top w:type="dxa" w:w="100"/>
              <w:left w:type="dxa" w:w="140"/>
              <w:bottom w:type="dxa" w:w="100"/>
              <w:right w:type="dxa" w:w="140"/>
            </w:tcMar>
          </w:tcPr>
          <w:p>
            <w:pPr>
              <w:bidi/>
              <w:jc w:val="center"/>
            </w:pPr>
            <w:r>
              <w:rPr>
                <w:rFonts w:ascii="Times New Roman" w:cs="Times New Roman" w:eastAsia="Times New Roman" w:hAnsi="Times New Roman"/>
                <w:b/>
                <w:bCs/>
                <w:color w:val="FFFFFF"/>
                <w:sz w:val="21"/>
                <w:szCs w:val="21"/>
                <w:rtl/>
              </w:rPr>
              <w:t xml:space="preserve">الآلية</w:t>
            </w:r>
          </w:p>
        </w:tc>
        <w:tc>
          <w:tcPr>
            <w:tcW w:type="dxa" w:w="2200"/>
            <w:tcBorders>
              <w:top w:val="single" w:color="AAAAAA" w:sz="1"/>
              <w:left w:val="single" w:color="AAAAAA" w:sz="1"/>
              <w:bottom w:val="single" w:color="AAAAAA" w:sz="1"/>
              <w:right w:val="single" w:color="AAAAAA" w:sz="1"/>
            </w:tcBorders>
            <w:shd w:fill="1C2B3A" w:val="clear"/>
            <w:tcMar>
              <w:top w:type="dxa" w:w="100"/>
              <w:left w:type="dxa" w:w="140"/>
              <w:bottom w:type="dxa" w:w="100"/>
              <w:right w:type="dxa" w:w="140"/>
            </w:tcMar>
          </w:tcPr>
          <w:p>
            <w:pPr>
              <w:bidi/>
              <w:jc w:val="center"/>
            </w:pPr>
            <w:r>
              <w:rPr>
                <w:rFonts w:ascii="Times New Roman" w:cs="Times New Roman" w:eastAsia="Times New Roman" w:hAnsi="Times New Roman"/>
                <w:b/>
                <w:bCs/>
                <w:color w:val="FFFFFF"/>
                <w:sz w:val="21"/>
                <w:szCs w:val="21"/>
                <w:rtl/>
              </w:rPr>
              <w:t xml:space="preserve">نتيجته</w:t>
            </w:r>
          </w:p>
        </w:tc>
        <w:tc>
          <w:tcPr>
            <w:tcW w:type="dxa" w:w="2226"/>
            <w:tcBorders>
              <w:top w:val="single" w:color="AAAAAA" w:sz="1"/>
              <w:left w:val="single" w:color="AAAAAA" w:sz="1"/>
              <w:bottom w:val="single" w:color="AAAAAA" w:sz="1"/>
              <w:right w:val="single" w:color="AAAAAA" w:sz="1"/>
            </w:tcBorders>
            <w:shd w:fill="1C2B3A" w:val="clear"/>
            <w:tcMar>
              <w:top w:type="dxa" w:w="100"/>
              <w:left w:type="dxa" w:w="140"/>
              <w:bottom w:type="dxa" w:w="100"/>
              <w:right w:type="dxa" w:w="140"/>
            </w:tcMar>
          </w:tcPr>
          <w:p>
            <w:pPr>
              <w:bidi/>
              <w:jc w:val="center"/>
            </w:pPr>
            <w:r>
              <w:rPr>
                <w:rFonts w:ascii="Times New Roman" w:cs="Times New Roman" w:eastAsia="Times New Roman" w:hAnsi="Times New Roman"/>
                <w:b/>
                <w:bCs/>
                <w:color w:val="FFFFFF"/>
                <w:sz w:val="21"/>
                <w:szCs w:val="21"/>
                <w:rtl/>
              </w:rPr>
              <w:t xml:space="preserve">البديل الاستخلافي</w:t>
            </w:r>
          </w:p>
        </w:tc>
      </w:tr>
      <w:tr>
        <w:tc>
          <w:tcPr>
            <w:tcW w:type="dxa" w:w="2300"/>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الوصاية الفقهية الكلاسيكية</w:t>
            </w:r>
          </w:p>
        </w:tc>
        <w:tc>
          <w:tcPr>
            <w:tcW w:type="dxa" w:w="2300"/>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احتكار الفتوى والتفسير في يد طبقة العلماء</w:t>
            </w:r>
          </w:p>
        </w:tc>
        <w:tc>
          <w:tcPr>
            <w:tcW w:type="dxa" w:w="2200"/>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تراكم رأسمال رمزي هرمي / ركود إبداعي</w:t>
            </w:r>
          </w:p>
        </w:tc>
        <w:tc>
          <w:tcPr>
            <w:tcW w:type="dxa" w:w="2226"/>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تخصص علمي + رقابة مجتمعية</w:t>
            </w:r>
          </w:p>
        </w:tc>
      </w:tr>
      <w:tr>
        <w:tc>
          <w:tcPr>
            <w:tcW w:type="dxa" w:w="2300"/>
            <w:tcBorders>
              <w:top w:val="single" w:color="AAAAAA" w:sz="1"/>
              <w:left w:val="single" w:color="AAAAAA" w:sz="1"/>
              <w:bottom w:val="single" w:color="AAAAAA" w:sz="1"/>
              <w:right w:val="single" w:color="AAAAAA" w:sz="1"/>
            </w:tcBorders>
            <w:shd w:fill="F3F7FB"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الولاية الفقيه (إيران)</w:t>
            </w:r>
          </w:p>
        </w:tc>
        <w:tc>
          <w:tcPr>
            <w:tcW w:type="dxa" w:w="2300"/>
            <w:tcBorders>
              <w:top w:val="single" w:color="AAAAAA" w:sz="1"/>
              <w:left w:val="single" w:color="AAAAAA" w:sz="1"/>
              <w:bottom w:val="single" w:color="AAAAAA" w:sz="1"/>
              <w:right w:val="single" w:color="AAAAAA" w:sz="1"/>
            </w:tcBorders>
            <w:shd w:fill="F3F7FB"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تمركز السلطة الدينية والسياسية في يد الولي</w:t>
            </w:r>
          </w:p>
        </w:tc>
        <w:tc>
          <w:tcPr>
            <w:tcW w:type="dxa" w:w="2200"/>
            <w:tcBorders>
              <w:top w:val="single" w:color="AAAAAA" w:sz="1"/>
              <w:left w:val="single" w:color="AAAAAA" w:sz="1"/>
              <w:bottom w:val="single" w:color="AAAAAA" w:sz="1"/>
              <w:right w:val="single" w:color="AAAAAA" w:sz="1"/>
            </w:tcBorders>
            <w:shd w:fill="F3F7FB"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اندماج المؤسسة الدينية بالسلطة السياسية</w:t>
            </w:r>
          </w:p>
        </w:tc>
        <w:tc>
          <w:tcPr>
            <w:tcW w:type="dxa" w:w="2226"/>
            <w:tcBorders>
              <w:top w:val="single" w:color="AAAAAA" w:sz="1"/>
              <w:left w:val="single" w:color="AAAAAA" w:sz="1"/>
              <w:bottom w:val="single" w:color="AAAAAA" w:sz="1"/>
              <w:right w:val="single" w:color="AAAAAA" w:sz="1"/>
            </w:tcBorders>
            <w:shd w:fill="F3F7FB"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السيادة للمنظومة لا للشخص</w:t>
            </w:r>
          </w:p>
        </w:tc>
      </w:tr>
      <w:tr>
        <w:tc>
          <w:tcPr>
            <w:tcW w:type="dxa" w:w="2300"/>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ولاية الكنيسة الكاثوليكية (أوروبا وسطى)</w:t>
            </w:r>
          </w:p>
        </w:tc>
        <w:tc>
          <w:tcPr>
            <w:tcW w:type="dxa" w:w="2300"/>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الوساطة الكهنوتية الإجبارية بين الفرد والله</w:t>
            </w:r>
          </w:p>
        </w:tc>
        <w:tc>
          <w:tcPr>
            <w:tcW w:type="dxa" w:w="2200"/>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الإصلاح البروتستانتي كردّ فعل عنيف</w:t>
            </w:r>
          </w:p>
        </w:tc>
        <w:tc>
          <w:tcPr>
            <w:tcW w:type="dxa" w:w="2226"/>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الاستخلاف الفردي المباشر</w:t>
            </w:r>
          </w:p>
        </w:tc>
      </w:tr>
      <w:tr>
        <w:tc>
          <w:tcPr>
            <w:tcW w:type="dxa" w:w="2300"/>
            <w:tcBorders>
              <w:top w:val="single" w:color="AAAAAA" w:sz="1"/>
              <w:left w:val="single" w:color="AAAAAA" w:sz="1"/>
              <w:bottom w:val="single" w:color="AAAAAA" w:sz="1"/>
              <w:right w:val="single" w:color="AAAAAA" w:sz="1"/>
            </w:tcBorders>
            <w:shd w:fill="F3F7FB"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الطبقة الدينية في السياق العثماني</w:t>
            </w:r>
          </w:p>
        </w:tc>
        <w:tc>
          <w:tcPr>
            <w:tcW w:type="dxa" w:w="2300"/>
            <w:tcBorders>
              <w:top w:val="single" w:color="AAAAAA" w:sz="1"/>
              <w:left w:val="single" w:color="AAAAAA" w:sz="1"/>
              <w:bottom w:val="single" w:color="AAAAAA" w:sz="1"/>
              <w:right w:val="single" w:color="AAAAAA" w:sz="1"/>
            </w:tcBorders>
            <w:shd w:fill="F3F7FB"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مشيخة الإسلام ومنظومة الإفتاء الرسمية</w:t>
            </w:r>
          </w:p>
        </w:tc>
        <w:tc>
          <w:tcPr>
            <w:tcW w:type="dxa" w:w="2200"/>
            <w:tcBorders>
              <w:top w:val="single" w:color="AAAAAA" w:sz="1"/>
              <w:left w:val="single" w:color="AAAAAA" w:sz="1"/>
              <w:bottom w:val="single" w:color="AAAAAA" w:sz="1"/>
              <w:right w:val="single" w:color="AAAAAA" w:sz="1"/>
            </w:tcBorders>
            <w:shd w:fill="F3F7FB"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ترهّل المؤسسة وتحالفها مع السلطة</w:t>
            </w:r>
          </w:p>
        </w:tc>
        <w:tc>
          <w:tcPr>
            <w:tcW w:type="dxa" w:w="2226"/>
            <w:tcBorders>
              <w:top w:val="single" w:color="AAAAAA" w:sz="1"/>
              <w:left w:val="single" w:color="AAAAAA" w:sz="1"/>
              <w:bottom w:val="single" w:color="AAAAAA" w:sz="1"/>
              <w:right w:val="single" w:color="AAAAAA" w:sz="1"/>
            </w:tcBorders>
            <w:shd w:fill="F3F7FB"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علماء مجتمع لا علماء دولة</w:t>
            </w:r>
          </w:p>
        </w:tc>
      </w:tr>
    </w:tbl>
    <w:p>
      <w:pPr>
        <w:spacing w:after="120"/>
      </w:pPr>
      <w:r>
        <w:t xml:space="preserve"/>
      </w:r>
    </w:p>
    <w:p>
      <w:pPr>
        <w:pStyle w:val="Heading2"/>
        <w:bidi/>
        <w:spacing w:before="300" w:after="160"/>
        <w:jc w:val="right"/>
      </w:pPr>
      <w:r>
        <w:rPr>
          <w:rFonts w:ascii="Times New Roman" w:cs="Times New Roman" w:eastAsia="Times New Roman" w:hAnsi="Times New Roman"/>
          <w:b/>
          <w:bCs/>
          <w:color w:val="1B5E8A"/>
          <w:sz w:val="27"/>
          <w:szCs w:val="27"/>
          <w:rtl/>
        </w:rPr>
        <w:t xml:space="preserve">7.2  درس البروتستانتية وتحديّها للنموذج الإسلامي</w:t>
      </w:r>
    </w:p>
    <w:p>
      <w:pPr>
        <w:bidi/>
        <w:spacing w:after="185" w:line="390" w:lineRule="auto"/>
        <w:ind w:firstLine="720"/>
        <w:jc w:val="both"/>
      </w:pPr>
      <w:r>
        <w:rPr>
          <w:rFonts w:ascii="Times New Roman" w:cs="Times New Roman" w:eastAsia="Times New Roman" w:hAnsi="Times New Roman"/>
          <w:b w:val="false"/>
          <w:bCs w:val="false"/>
          <w:color w:val="111111"/>
          <w:sz w:val="24"/>
          <w:szCs w:val="24"/>
          <w:rtl/>
        </w:rPr>
        <w:t xml:space="preserve">ثمة إغراء مقارن واضح بين ما تطرحه الأطروحة الاستخلافية وما أنجزه الإصلاح البروتستانتي في المسيحية الغربية: فكلاهما يُعيد التأكيد على المسؤولية الفردية المباشرة أمام الله دون وساطة مؤسسية إجبارية. غير أن الأطروحة الاستخلافية تُدرك خطورة القياس الأعمى:</w:t>
      </w:r>
    </w:p>
    <w:p>
      <w:pPr>
        <w:pStyle w:val="ListParagraph"/>
        <w:numPr>
          <w:ilvl w:val="0"/>
          <w:numId w:val="3"/>
        </w:numPr>
        <w:bidi/>
        <w:spacing w:after="110"/>
        <w:jc w:val="right"/>
      </w:pPr>
      <w:r>
        <w:rPr>
          <w:rFonts w:ascii="Times New Roman" w:cs="Times New Roman" w:eastAsia="Times New Roman" w:hAnsi="Times New Roman"/>
          <w:sz w:val="24"/>
          <w:szCs w:val="24"/>
          <w:rtl/>
        </w:rPr>
        <w:t xml:space="preserve">البروتستانتية أفضت في نهاية المطاف إلى تجزؤ لانهائي للمرجعية الدينية وشخصنة للحقيقة أنتجت نسبويةً قيميةً. أما النموذج الاستخلافي فيُبقي الوحيَ (القرآن والسنة) مرجعيةً موضوعيةً جامعة.</w:t>
      </w:r>
    </w:p>
    <w:p>
      <w:pPr>
        <w:pStyle w:val="ListParagraph"/>
        <w:numPr>
          <w:ilvl w:val="0"/>
          <w:numId w:val="3"/>
        </w:numPr>
        <w:bidi/>
        <w:spacing w:after="110"/>
        <w:jc w:val="right"/>
      </w:pPr>
      <w:r>
        <w:rPr>
          <w:rFonts w:ascii="Times New Roman" w:cs="Times New Roman" w:eastAsia="Times New Roman" w:hAnsi="Times New Roman"/>
          <w:sz w:val="24"/>
          <w:szCs w:val="24"/>
          <w:rtl/>
        </w:rPr>
        <w:t xml:space="preserve">البروتستانتية أسهمت في نشأة الرأسمالية وعقيدة «ازدهار الفرد» (Prosperity Gospel). أما الاستخلاف فيربط الحرية الفردية بمسؤولية عمران الأرض وخدمة الجماعة.</w:t>
      </w:r>
    </w:p>
    <w:p>
      <w:pPr>
        <w:pBdr>
          <w:left w:val="single" w:color="7B1515" w:sz="10" w:space="6"/>
        </w:pBdr>
        <w:shd w:fill="FEF3F3" w:val="clear"/>
        <w:spacing w:before="120" w:after="40"/>
        <w:ind w:left="900" w:right="900"/>
        <w:jc w:val="left"/>
      </w:pPr>
      <w:r>
        <w:rPr>
          <w:rFonts w:ascii="Times New Roman" w:cs="Times New Roman" w:eastAsia="Times New Roman" w:hAnsi="Times New Roman"/>
          <w:color w:val="5A0000"/>
          <w:sz w:val="22"/>
          <w:szCs w:val="22"/>
        </w:rPr>
        <w:t xml:space="preserve">« La Réforme protestante a libéré l'individu de la tutelle ecclésiastique mais l'a souvent laissé seul face à l'existence sans boussole collective. La thèse istikhlafique vise une troisième voie : liberté individuelle avec responsabilité communautaire. »</w:t>
      </w:r>
    </w:p>
    <w:p>
      <w:pPr>
        <w:spacing w:after="120"/>
        <w:ind w:left="900" w:right="900"/>
        <w:jc w:val="left"/>
      </w:pPr>
      <w:r>
        <w:rPr>
          <w:rFonts w:ascii="Times New Roman" w:cs="Times New Roman" w:eastAsia="Times New Roman" w:hAnsi="Times New Roman"/>
          <w:color w:val="665555"/>
          <w:sz w:val="19"/>
          <w:szCs w:val="19"/>
        </w:rPr>
        <w:t xml:space="preserve">Voir : Weber, Max. (1904/2002). L'éthique protestante et l'esprit du capitalisme. Trad. J.-P. Grossein. Gallimard, Paris.</w:t>
      </w:r>
    </w:p>
    <w:p>
      <w:pPr>
        <w:spacing w:after="120"/>
      </w:pPr>
      <w:r>
        <w:t xml:space="preserve"/>
      </w:r>
    </w:p>
    <w:p>
      <w:pPr>
        <w:pStyle w:val="Heading1"/>
        <w:bidi/>
        <w:spacing w:before="460" w:after="220"/>
        <w:jc w:val="right"/>
      </w:pPr>
      <w:r>
        <w:rPr>
          <w:rFonts w:ascii="Times New Roman" w:cs="Times New Roman" w:eastAsia="Times New Roman" w:hAnsi="Times New Roman"/>
          <w:b/>
          <w:bCs/>
          <w:color w:val="1C2B3A"/>
          <w:sz w:val="34"/>
          <w:szCs w:val="34"/>
          <w:rtl/>
        </w:rPr>
        <w:t xml:space="preserve">ثامنًا: جدول مقارن شامل — نماذج العلاقة بين العالِم والمجتمع</w:t>
      </w:r>
    </w:p>
    <w:p>
      <w:pPr>
        <w:pBdr>
          <w:bottom w:val="single" w:color="1B5E8A" w:sz="6" w:space="1"/>
        </w:pBdr>
        <w:spacing w:after="200"/>
      </w:pPr>
      <w:r>
        <w:t xml:space="preserve"/>
      </w:r>
    </w:p>
    <w:p>
      <w:pPr>
        <w:spacing w:after="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2300"/>
        <w:gridCol w:w="2200"/>
        <w:gridCol w:w="2326"/>
      </w:tblGrid>
      <w:tr>
        <w:tc>
          <w:tcPr>
            <w:tcW w:type="dxa" w:w="2200"/>
            <w:tcBorders>
              <w:top w:val="single" w:color="AAAAAA" w:sz="1"/>
              <w:left w:val="single" w:color="AAAAAA" w:sz="1"/>
              <w:bottom w:val="single" w:color="AAAAAA" w:sz="1"/>
              <w:right w:val="single" w:color="AAAAAA" w:sz="1"/>
            </w:tcBorders>
            <w:shd w:fill="1C2B3A" w:val="clear"/>
            <w:tcMar>
              <w:top w:type="dxa" w:w="100"/>
              <w:left w:type="dxa" w:w="140"/>
              <w:bottom w:type="dxa" w:w="100"/>
              <w:right w:type="dxa" w:w="140"/>
            </w:tcMar>
          </w:tcPr>
          <w:p>
            <w:pPr>
              <w:bidi/>
              <w:jc w:val="center"/>
            </w:pPr>
            <w:r>
              <w:rPr>
                <w:rFonts w:ascii="Times New Roman" w:cs="Times New Roman" w:eastAsia="Times New Roman" w:hAnsi="Times New Roman"/>
                <w:b/>
                <w:bCs/>
                <w:color w:val="FFFFFF"/>
                <w:sz w:val="21"/>
                <w:szCs w:val="21"/>
                <w:rtl/>
              </w:rPr>
              <w:t xml:space="preserve">المعيار</w:t>
            </w:r>
          </w:p>
        </w:tc>
        <w:tc>
          <w:tcPr>
            <w:tcW w:type="dxa" w:w="2300"/>
            <w:tcBorders>
              <w:top w:val="single" w:color="AAAAAA" w:sz="1"/>
              <w:left w:val="single" w:color="AAAAAA" w:sz="1"/>
              <w:bottom w:val="single" w:color="AAAAAA" w:sz="1"/>
              <w:right w:val="single" w:color="AAAAAA" w:sz="1"/>
            </w:tcBorders>
            <w:shd w:fill="1C2B3A" w:val="clear"/>
            <w:tcMar>
              <w:top w:type="dxa" w:w="100"/>
              <w:left w:type="dxa" w:w="140"/>
              <w:bottom w:type="dxa" w:w="100"/>
              <w:right w:type="dxa" w:w="140"/>
            </w:tcMar>
          </w:tcPr>
          <w:p>
            <w:pPr>
              <w:bidi/>
              <w:jc w:val="center"/>
            </w:pPr>
            <w:r>
              <w:rPr>
                <w:rFonts w:ascii="Times New Roman" w:cs="Times New Roman" w:eastAsia="Times New Roman" w:hAnsi="Times New Roman"/>
                <w:b/>
                <w:bCs/>
                <w:color w:val="FFFFFF"/>
                <w:sz w:val="21"/>
                <w:szCs w:val="21"/>
                <w:rtl/>
              </w:rPr>
              <w:t xml:space="preserve">نموذج الوصاية التقليدي</w:t>
            </w:r>
          </w:p>
        </w:tc>
        <w:tc>
          <w:tcPr>
            <w:tcW w:type="dxa" w:w="2200"/>
            <w:tcBorders>
              <w:top w:val="single" w:color="AAAAAA" w:sz="1"/>
              <w:left w:val="single" w:color="AAAAAA" w:sz="1"/>
              <w:bottom w:val="single" w:color="AAAAAA" w:sz="1"/>
              <w:right w:val="single" w:color="AAAAAA" w:sz="1"/>
            </w:tcBorders>
            <w:shd w:fill="1C2B3A" w:val="clear"/>
            <w:tcMar>
              <w:top w:type="dxa" w:w="100"/>
              <w:left w:type="dxa" w:w="140"/>
              <w:bottom w:type="dxa" w:w="100"/>
              <w:right w:type="dxa" w:w="140"/>
            </w:tcMar>
          </w:tcPr>
          <w:p>
            <w:pPr>
              <w:bidi/>
              <w:jc w:val="center"/>
            </w:pPr>
            <w:r>
              <w:rPr>
                <w:rFonts w:ascii="Times New Roman" w:cs="Times New Roman" w:eastAsia="Times New Roman" w:hAnsi="Times New Roman"/>
                <w:b/>
                <w:bCs/>
                <w:color w:val="FFFFFF"/>
                <w:sz w:val="21"/>
                <w:szCs w:val="21"/>
                <w:rtl/>
              </w:rPr>
              <w:t xml:space="preserve">النموذج العلماني الإقصائي</w:t>
            </w:r>
          </w:p>
        </w:tc>
        <w:tc>
          <w:tcPr>
            <w:tcW w:type="dxa" w:w="2326"/>
            <w:tcBorders>
              <w:top w:val="single" w:color="AAAAAA" w:sz="1"/>
              <w:left w:val="single" w:color="AAAAAA" w:sz="1"/>
              <w:bottom w:val="single" w:color="AAAAAA" w:sz="1"/>
              <w:right w:val="single" w:color="AAAAAA" w:sz="1"/>
            </w:tcBorders>
            <w:shd w:fill="1C2B3A" w:val="clear"/>
            <w:tcMar>
              <w:top w:type="dxa" w:w="100"/>
              <w:left w:type="dxa" w:w="140"/>
              <w:bottom w:type="dxa" w:w="100"/>
              <w:right w:type="dxa" w:w="140"/>
            </w:tcMar>
          </w:tcPr>
          <w:p>
            <w:pPr>
              <w:bidi/>
              <w:jc w:val="center"/>
            </w:pPr>
            <w:r>
              <w:rPr>
                <w:rFonts w:ascii="Times New Roman" w:cs="Times New Roman" w:eastAsia="Times New Roman" w:hAnsi="Times New Roman"/>
                <w:b/>
                <w:bCs/>
                <w:color w:val="FFFFFF"/>
                <w:sz w:val="21"/>
                <w:szCs w:val="21"/>
                <w:rtl/>
              </w:rPr>
              <w:t xml:space="preserve">النموذج الاستخلافي</w:t>
            </w:r>
          </w:p>
        </w:tc>
      </w:tr>
      <w:tr>
        <w:tc>
          <w:tcPr>
            <w:tcW w:type="dxa" w:w="2200"/>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مصدر السلطة</w:t>
            </w:r>
          </w:p>
        </w:tc>
        <w:tc>
          <w:tcPr>
            <w:tcW w:type="dxa" w:w="2300"/>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الشرعية الدينية الموروثة</w:t>
            </w:r>
          </w:p>
        </w:tc>
        <w:tc>
          <w:tcPr>
            <w:tcW w:type="dxa" w:w="2200"/>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الدولة / النُّخَب التقنية</w:t>
            </w:r>
          </w:p>
        </w:tc>
        <w:tc>
          <w:tcPr>
            <w:tcW w:type="dxa" w:w="2326"/>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المنظومة الأخلاقية (الوحي)</w:t>
            </w:r>
          </w:p>
        </w:tc>
      </w:tr>
      <w:tr>
        <w:tc>
          <w:tcPr>
            <w:tcW w:type="dxa" w:w="2200"/>
            <w:tcBorders>
              <w:top w:val="single" w:color="AAAAAA" w:sz="1"/>
              <w:left w:val="single" w:color="AAAAAA" w:sz="1"/>
              <w:bottom w:val="single" w:color="AAAAAA" w:sz="1"/>
              <w:right w:val="single" w:color="AAAAAA" w:sz="1"/>
            </w:tcBorders>
            <w:shd w:fill="F3F7FB"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طبيعة العلاقة</w:t>
            </w:r>
          </w:p>
        </w:tc>
        <w:tc>
          <w:tcPr>
            <w:tcW w:type="dxa" w:w="2300"/>
            <w:tcBorders>
              <w:top w:val="single" w:color="AAAAAA" w:sz="1"/>
              <w:left w:val="single" w:color="AAAAAA" w:sz="1"/>
              <w:bottom w:val="single" w:color="AAAAAA" w:sz="1"/>
              <w:right w:val="single" w:color="AAAAAA" w:sz="1"/>
            </w:tcBorders>
            <w:shd w:fill="F3F7FB"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عمودية هرمية — من أعلى لأسفل</w:t>
            </w:r>
          </w:p>
        </w:tc>
        <w:tc>
          <w:tcPr>
            <w:tcW w:type="dxa" w:w="2200"/>
            <w:tcBorders>
              <w:top w:val="single" w:color="AAAAAA" w:sz="1"/>
              <w:left w:val="single" w:color="AAAAAA" w:sz="1"/>
              <w:bottom w:val="single" w:color="AAAAAA" w:sz="1"/>
              <w:right w:val="single" w:color="AAAAAA" w:sz="1"/>
            </w:tcBorders>
            <w:shd w:fill="F3F7FB"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إقصائية — استبدال المرجعية</w:t>
            </w:r>
          </w:p>
        </w:tc>
        <w:tc>
          <w:tcPr>
            <w:tcW w:type="dxa" w:w="2326"/>
            <w:tcBorders>
              <w:top w:val="single" w:color="AAAAAA" w:sz="1"/>
              <w:left w:val="single" w:color="AAAAAA" w:sz="1"/>
              <w:bottom w:val="single" w:color="AAAAAA" w:sz="1"/>
              <w:right w:val="single" w:color="AAAAAA" w:sz="1"/>
            </w:tcBorders>
            <w:shd w:fill="F3F7FB"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أفقية تكاملية — شراكة مجتمعية</w:t>
            </w:r>
          </w:p>
        </w:tc>
      </w:tr>
      <w:tr>
        <w:tc>
          <w:tcPr>
            <w:tcW w:type="dxa" w:w="2200"/>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دور الفرد</w:t>
            </w:r>
          </w:p>
        </w:tc>
        <w:tc>
          <w:tcPr>
            <w:tcW w:type="dxa" w:w="2300"/>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متلقٍّ سلبي / مُريد يتبع</w:t>
            </w:r>
          </w:p>
        </w:tc>
        <w:tc>
          <w:tcPr>
            <w:tcW w:type="dxa" w:w="2200"/>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مواطن يُدار بالدولة</w:t>
            </w:r>
          </w:p>
        </w:tc>
        <w:tc>
          <w:tcPr>
            <w:tcW w:type="dxa" w:w="2326"/>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خليفة مسؤول / رقيب حي</w:t>
            </w:r>
          </w:p>
        </w:tc>
      </w:tr>
      <w:tr>
        <w:tc>
          <w:tcPr>
            <w:tcW w:type="dxa" w:w="2200"/>
            <w:tcBorders>
              <w:top w:val="single" w:color="AAAAAA" w:sz="1"/>
              <w:left w:val="single" w:color="AAAAAA" w:sz="1"/>
              <w:bottom w:val="single" w:color="AAAAAA" w:sz="1"/>
              <w:right w:val="single" w:color="AAAAAA" w:sz="1"/>
            </w:tcBorders>
            <w:shd w:fill="F3F7FB"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مصدر المعنى</w:t>
            </w:r>
          </w:p>
        </w:tc>
        <w:tc>
          <w:tcPr>
            <w:tcW w:type="dxa" w:w="2300"/>
            <w:tcBorders>
              <w:top w:val="single" w:color="AAAAAA" w:sz="1"/>
              <w:left w:val="single" w:color="AAAAAA" w:sz="1"/>
              <w:bottom w:val="single" w:color="AAAAAA" w:sz="1"/>
              <w:right w:val="single" w:color="AAAAAA" w:sz="1"/>
            </w:tcBorders>
            <w:shd w:fill="F3F7FB"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فتوى العالِم / الكتب الكلاسيكية</w:t>
            </w:r>
          </w:p>
        </w:tc>
        <w:tc>
          <w:tcPr>
            <w:tcW w:type="dxa" w:w="2200"/>
            <w:tcBorders>
              <w:top w:val="single" w:color="AAAAAA" w:sz="1"/>
              <w:left w:val="single" w:color="AAAAAA" w:sz="1"/>
              <w:bottom w:val="single" w:color="AAAAAA" w:sz="1"/>
              <w:right w:val="single" w:color="AAAAAA" w:sz="1"/>
            </w:tcBorders>
            <w:shd w:fill="F3F7FB"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الحداثة / القانون الوضعي</w:t>
            </w:r>
          </w:p>
        </w:tc>
        <w:tc>
          <w:tcPr>
            <w:tcW w:type="dxa" w:w="2326"/>
            <w:tcBorders>
              <w:top w:val="single" w:color="AAAAAA" w:sz="1"/>
              <w:left w:val="single" w:color="AAAAAA" w:sz="1"/>
              <w:bottom w:val="single" w:color="AAAAAA" w:sz="1"/>
              <w:right w:val="single" w:color="AAAAAA" w:sz="1"/>
            </w:tcBorders>
            <w:shd w:fill="F3F7FB"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الوحي + التجربة الوجودية</w:t>
            </w:r>
          </w:p>
        </w:tc>
      </w:tr>
      <w:tr>
        <w:tc>
          <w:tcPr>
            <w:tcW w:type="dxa" w:w="2200"/>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التعامل مع الخطأ</w:t>
            </w:r>
          </w:p>
        </w:tc>
        <w:tc>
          <w:tcPr>
            <w:tcW w:type="dxa" w:w="2300"/>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كفارة مؤسسية / عقوبة اجتماعية</w:t>
            </w:r>
          </w:p>
        </w:tc>
        <w:tc>
          <w:tcPr>
            <w:tcW w:type="dxa" w:w="2200"/>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تجاوز / إعادة تأهيل مدنية</w:t>
            </w:r>
          </w:p>
        </w:tc>
        <w:tc>
          <w:tcPr>
            <w:tcW w:type="dxa" w:w="2326"/>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تحويل الذنب إلى طاقة استخلافية</w:t>
            </w:r>
          </w:p>
        </w:tc>
      </w:tr>
      <w:tr>
        <w:tc>
          <w:tcPr>
            <w:tcW w:type="dxa" w:w="2200"/>
            <w:tcBorders>
              <w:top w:val="single" w:color="AAAAAA" w:sz="1"/>
              <w:left w:val="single" w:color="AAAAAA" w:sz="1"/>
              <w:bottom w:val="single" w:color="AAAAAA" w:sz="1"/>
              <w:right w:val="single" w:color="AAAAAA" w:sz="1"/>
            </w:tcBorders>
            <w:shd w:fill="F3F7FB"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آلية التزكية</w:t>
            </w:r>
          </w:p>
        </w:tc>
        <w:tc>
          <w:tcPr>
            <w:tcW w:type="dxa" w:w="2300"/>
            <w:tcBorders>
              <w:top w:val="single" w:color="AAAAAA" w:sz="1"/>
              <w:left w:val="single" w:color="AAAAAA" w:sz="1"/>
              <w:bottom w:val="single" w:color="AAAAAA" w:sz="1"/>
              <w:right w:val="single" w:color="AAAAAA" w:sz="1"/>
            </w:tcBorders>
            <w:shd w:fill="F3F7FB"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مسار شرعي مؤسسي (حلقات/ فتاوى)</w:t>
            </w:r>
          </w:p>
        </w:tc>
        <w:tc>
          <w:tcPr>
            <w:tcW w:type="dxa" w:w="2200"/>
            <w:tcBorders>
              <w:top w:val="single" w:color="AAAAAA" w:sz="1"/>
              <w:left w:val="single" w:color="AAAAAA" w:sz="1"/>
              <w:bottom w:val="single" w:color="AAAAAA" w:sz="1"/>
              <w:right w:val="single" w:color="AAAAAA" w:sz="1"/>
            </w:tcBorders>
            <w:shd w:fill="F3F7FB"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ليس من اختصاص الدين</w:t>
            </w:r>
          </w:p>
        </w:tc>
        <w:tc>
          <w:tcPr>
            <w:tcW w:type="dxa" w:w="2326"/>
            <w:tcBorders>
              <w:top w:val="single" w:color="AAAAAA" w:sz="1"/>
              <w:left w:val="single" w:color="AAAAAA" w:sz="1"/>
              <w:bottom w:val="single" w:color="AAAAAA" w:sz="1"/>
              <w:right w:val="single" w:color="AAAAAA" w:sz="1"/>
            </w:tcBorders>
            <w:shd w:fill="F3F7FB"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نموذج TLRT + خبراء أحياء</w:t>
            </w:r>
          </w:p>
        </w:tc>
      </w:tr>
      <w:tr>
        <w:tc>
          <w:tcPr>
            <w:tcW w:type="dxa" w:w="2200"/>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مسؤولية محاسبة العالِم</w:t>
            </w:r>
          </w:p>
        </w:tc>
        <w:tc>
          <w:tcPr>
            <w:tcW w:type="dxa" w:w="2300"/>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رمزية / غير فعّالة</w:t>
            </w:r>
          </w:p>
        </w:tc>
        <w:tc>
          <w:tcPr>
            <w:tcW w:type="dxa" w:w="2200"/>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قانونية / سياسية</w:t>
            </w:r>
          </w:p>
        </w:tc>
        <w:tc>
          <w:tcPr>
            <w:tcW w:type="dxa" w:w="2326"/>
            <w:tcBorders>
              <w:top w:val="single" w:color="AAAAAA" w:sz="1"/>
              <w:left w:val="single" w:color="AAAAAA" w:sz="1"/>
              <w:bottom w:val="single" w:color="AAAAAA" w:sz="1"/>
              <w:right w:val="single" w:color="AAAAAA" w:sz="1"/>
            </w:tcBorders>
            <w:shd w:fill="FFFFFF"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مجتمعية + أخلاقية فعّالة</w:t>
            </w:r>
          </w:p>
        </w:tc>
      </w:tr>
      <w:tr>
        <w:tc>
          <w:tcPr>
            <w:tcW w:type="dxa" w:w="2200"/>
            <w:tcBorders>
              <w:top w:val="single" w:color="AAAAAA" w:sz="1"/>
              <w:left w:val="single" w:color="AAAAAA" w:sz="1"/>
              <w:bottom w:val="single" w:color="AAAAAA" w:sz="1"/>
              <w:right w:val="single" w:color="AAAAAA" w:sz="1"/>
            </w:tcBorders>
            <w:shd w:fill="F3F7FB"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الغاية النهائية</w:t>
            </w:r>
          </w:p>
        </w:tc>
        <w:tc>
          <w:tcPr>
            <w:tcW w:type="dxa" w:w="2300"/>
            <w:tcBorders>
              <w:top w:val="single" w:color="AAAAAA" w:sz="1"/>
              <w:left w:val="single" w:color="AAAAAA" w:sz="1"/>
              <w:bottom w:val="single" w:color="AAAAAA" w:sz="1"/>
              <w:right w:val="single" w:color="AAAAAA" w:sz="1"/>
            </w:tcBorders>
            <w:shd w:fill="F3F7FB"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الامتثال للمعيار الديني</w:t>
            </w:r>
          </w:p>
        </w:tc>
        <w:tc>
          <w:tcPr>
            <w:tcW w:type="dxa" w:w="2200"/>
            <w:tcBorders>
              <w:top w:val="single" w:color="AAAAAA" w:sz="1"/>
              <w:left w:val="single" w:color="AAAAAA" w:sz="1"/>
              <w:bottom w:val="single" w:color="AAAAAA" w:sz="1"/>
              <w:right w:val="single" w:color="AAAAAA" w:sz="1"/>
            </w:tcBorders>
            <w:shd w:fill="F3F7FB"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التكيّف مع الحداثة</w:t>
            </w:r>
          </w:p>
        </w:tc>
        <w:tc>
          <w:tcPr>
            <w:tcW w:type="dxa" w:w="2326"/>
            <w:tcBorders>
              <w:top w:val="single" w:color="AAAAAA" w:sz="1"/>
              <w:left w:val="single" w:color="AAAAAA" w:sz="1"/>
              <w:bottom w:val="single" w:color="AAAAAA" w:sz="1"/>
              <w:right w:val="single" w:color="AAAAAA" w:sz="1"/>
            </w:tcBorders>
            <w:shd w:fill="F3F7FB" w:val="clear"/>
            <w:tcMar>
              <w:top w:type="dxa" w:w="100"/>
              <w:left w:type="dxa" w:w="140"/>
              <w:bottom w:type="dxa" w:w="100"/>
              <w:right w:type="dxa" w:w="140"/>
            </w:tcMar>
          </w:tcPr>
          <w:p>
            <w:pPr>
              <w:bidi/>
              <w:jc w:val="right"/>
            </w:pPr>
            <w:r>
              <w:rPr>
                <w:rFonts w:ascii="Times New Roman" w:cs="Times New Roman" w:eastAsia="Times New Roman" w:hAnsi="Times New Roman"/>
                <w:sz w:val="21"/>
                <w:szCs w:val="21"/>
                <w:rtl/>
              </w:rPr>
              <w:t xml:space="preserve">الفلاح + إعمار الأرض استخلافًا</w:t>
            </w:r>
          </w:p>
        </w:tc>
      </w:tr>
    </w:tbl>
    <w:p>
      <w:pPr>
        <w:spacing w:after="200"/>
      </w:pPr>
      <w:r>
        <w:t xml:space="preserve"/>
      </w:r>
    </w:p>
    <w:p>
      <w:pPr>
        <w:pStyle w:val="Heading1"/>
        <w:bidi/>
        <w:spacing w:before="460" w:after="220"/>
        <w:jc w:val="right"/>
      </w:pPr>
      <w:r>
        <w:rPr>
          <w:rFonts w:ascii="Times New Roman" w:cs="Times New Roman" w:eastAsia="Times New Roman" w:hAnsi="Times New Roman"/>
          <w:b/>
          <w:bCs/>
          <w:color w:val="1C2B3A"/>
          <w:sz w:val="34"/>
          <w:szCs w:val="34"/>
          <w:rtl/>
        </w:rPr>
        <w:t xml:space="preserve">تاسعًا: الخلاصة والتوصيات</w:t>
      </w:r>
    </w:p>
    <w:p>
      <w:pPr>
        <w:pBdr>
          <w:bottom w:val="single" w:color="1B5E8A" w:sz="6" w:space="1"/>
        </w:pBdr>
        <w:spacing w:after="200"/>
      </w:pPr>
      <w:r>
        <w:t xml:space="preserve"/>
      </w:r>
    </w:p>
    <w:p>
      <w:pPr>
        <w:pStyle w:val="Heading2"/>
        <w:bidi/>
        <w:spacing w:before="300" w:after="160"/>
        <w:jc w:val="right"/>
      </w:pPr>
      <w:r>
        <w:rPr>
          <w:rFonts w:ascii="Times New Roman" w:cs="Times New Roman" w:eastAsia="Times New Roman" w:hAnsi="Times New Roman"/>
          <w:b/>
          <w:bCs/>
          <w:color w:val="1B5E8A"/>
          <w:sz w:val="27"/>
          <w:szCs w:val="27"/>
          <w:rtl/>
        </w:rPr>
        <w:t xml:space="preserve">9.1  خلاصة البحث</w:t>
      </w:r>
    </w:p>
    <w:p>
      <w:pPr>
        <w:bidi/>
        <w:spacing w:after="185" w:line="390" w:lineRule="auto"/>
        <w:ind w:firstLine="720"/>
        <w:jc w:val="both"/>
      </w:pPr>
      <w:r>
        <w:rPr>
          <w:rFonts w:ascii="Times New Roman" w:cs="Times New Roman" w:eastAsia="Times New Roman" w:hAnsi="Times New Roman"/>
          <w:b w:val="false"/>
          <w:bCs w:val="false"/>
          <w:color w:val="111111"/>
          <w:sz w:val="24"/>
          <w:szCs w:val="24"/>
          <w:rtl/>
        </w:rPr>
        <w:t xml:space="preserve">أثبت هذا البحث أن الأطروحة الاستخلافية تُقدّم رؤيةً ثالثةً ناضجةً في إشكالية العلاقة بين العلماء والمجتمع — رؤيةً لا تُلغي دور العالِم بل تُعيد صياغته وظيفيًا وأخلاقيًا. والتحوّلات الخمسة الكبرى التي تُجريها الأطروحة هي:</w:t>
      </w:r>
    </w:p>
    <w:p>
      <w:pPr>
        <w:pStyle w:val="ListParagraph"/>
        <w:numPr>
          <w:ilvl w:val="0"/>
          <w:numId w:val="4"/>
        </w:numPr>
        <w:bidi/>
        <w:spacing w:after="120"/>
        <w:jc w:val="right"/>
      </w:pPr>
      <w:r>
        <w:rPr>
          <w:rFonts w:ascii="Times New Roman" w:cs="Times New Roman" w:eastAsia="Times New Roman" w:hAnsi="Times New Roman"/>
          <w:sz w:val="24"/>
          <w:szCs w:val="24"/>
          <w:rtl/>
        </w:rPr>
        <w:t xml:space="preserve">تفعيل مبدأ المسؤولية الذاتية لكل فرد بوصفه خليفةً مستقلًا — وليس رعيةً تحتاج وصيًّا.</w:t>
      </w:r>
    </w:p>
    <w:p>
      <w:pPr>
        <w:pStyle w:val="ListParagraph"/>
        <w:numPr>
          <w:ilvl w:val="0"/>
          <w:numId w:val="4"/>
        </w:numPr>
        <w:bidi/>
        <w:spacing w:after="120"/>
        <w:jc w:val="right"/>
      </w:pPr>
      <w:r>
        <w:rPr>
          <w:rFonts w:ascii="Times New Roman" w:cs="Times New Roman" w:eastAsia="Times New Roman" w:hAnsi="Times New Roman"/>
          <w:sz w:val="24"/>
          <w:szCs w:val="24"/>
          <w:rtl/>
        </w:rPr>
        <w:t xml:space="preserve">تأسيس السيادة للمنظومة الأخلاقية المستمدة من الوحي — لا لأشخاص بعينهم مهما علت درجتهم.</w:t>
      </w:r>
    </w:p>
    <w:p>
      <w:pPr>
        <w:pStyle w:val="ListParagraph"/>
        <w:numPr>
          <w:ilvl w:val="0"/>
          <w:numId w:val="4"/>
        </w:numPr>
        <w:bidi/>
        <w:spacing w:after="120"/>
        <w:jc w:val="right"/>
      </w:pPr>
      <w:r>
        <w:rPr>
          <w:rFonts w:ascii="Times New Roman" w:cs="Times New Roman" w:eastAsia="Times New Roman" w:hAnsi="Times New Roman"/>
          <w:sz w:val="24"/>
          <w:szCs w:val="24"/>
          <w:rtl/>
        </w:rPr>
        <w:t xml:space="preserve">تقديم أدوات تقنية وعلاجية عملية (نموذج TLRT) تُمكّن الأفراد من حل أزماتهم الروحية بأنفسهم.</w:t>
      </w:r>
    </w:p>
    <w:p>
      <w:pPr>
        <w:pStyle w:val="ListParagraph"/>
        <w:numPr>
          <w:ilvl w:val="0"/>
          <w:numId w:val="4"/>
        </w:numPr>
        <w:bidi/>
        <w:spacing w:after="120"/>
        <w:jc w:val="right"/>
      </w:pPr>
      <w:r>
        <w:rPr>
          <w:rFonts w:ascii="Times New Roman" w:cs="Times New Roman" w:eastAsia="Times New Roman" w:hAnsi="Times New Roman"/>
          <w:sz w:val="24"/>
          <w:szCs w:val="24"/>
          <w:rtl/>
        </w:rPr>
        <w:t xml:space="preserve">تحويل المتعافين إلى خبراء أحياء يُسهمون في بناء «رأسمال روحي» جديد موزّع على المجتمع.</w:t>
      </w:r>
    </w:p>
    <w:p>
      <w:pPr>
        <w:pStyle w:val="ListParagraph"/>
        <w:numPr>
          <w:ilvl w:val="0"/>
          <w:numId w:val="4"/>
        </w:numPr>
        <w:bidi/>
        <w:spacing w:after="120"/>
        <w:jc w:val="right"/>
      </w:pPr>
      <w:r>
        <w:rPr>
          <w:rFonts w:ascii="Times New Roman" w:cs="Times New Roman" w:eastAsia="Times New Roman" w:hAnsi="Times New Roman"/>
          <w:sz w:val="24"/>
          <w:szCs w:val="24"/>
          <w:rtl/>
        </w:rPr>
        <w:t xml:space="preserve">الدعوة إلى اندماج خالق تبقى فيه المرجعية للوحي وتُوزَّع فيه سلطة التطبيق على المجتمع.</w:t>
      </w:r>
    </w:p>
    <w:p>
      <w:pPr>
        <w:spacing w:after="80"/>
      </w:pPr>
      <w:r>
        <w:t xml:space="preserve"/>
      </w:r>
    </w:p>
    <w:p>
      <w:pPr>
        <w:pBdr>
          <w:left w:val="single" w:color="1B5E8A" w:sz="10" w:space="6"/>
        </w:pBdr>
        <w:shd w:fill="EDF4FB" w:val="clear"/>
        <w:bidi/>
        <w:spacing w:before="120" w:after="40"/>
        <w:ind w:left="900" w:right="900"/>
        <w:jc w:val="right"/>
      </w:pPr>
      <w:r>
        <w:rPr>
          <w:rFonts w:ascii="Times New Roman" w:cs="Times New Roman" w:eastAsia="Times New Roman" w:hAnsi="Times New Roman"/>
          <w:color w:val="1A2C3E"/>
          <w:sz w:val="22"/>
          <w:szCs w:val="22"/>
          <w:rtl/>
        </w:rPr>
        <w:t xml:space="preserve">«العالِم في النموذج الاستخلافي ليس كاهنًا يُؤدّي طقس الوساطة، ولا زعيمًا يحتكر البوصلة، بل هو خبير تخصصي في خدمة مشروع استخلافي يملكه المجتمع بكامله.»</w:t>
      </w:r>
    </w:p>
    <w:p>
      <w:pPr>
        <w:bidi/>
        <w:spacing w:after="120"/>
        <w:ind w:left="900" w:right="900"/>
        <w:jc w:val="right"/>
      </w:pPr>
      <w:r>
        <w:rPr>
          <w:rFonts w:ascii="Times New Roman" w:cs="Times New Roman" w:eastAsia="Times New Roman" w:hAnsi="Times New Roman"/>
          <w:color w:val="556677"/>
          <w:sz w:val="19"/>
          <w:szCs w:val="19"/>
          <w:rtl/>
        </w:rPr>
        <w:t xml:space="preserve">الزراع، علم النفس الاستخلافي [الأطروحة]. ص 1159، 1160.</w:t>
      </w:r>
    </w:p>
    <w:p>
      <w:pPr>
        <w:pStyle w:val="Heading2"/>
        <w:bidi/>
        <w:spacing w:before="300" w:after="160"/>
        <w:jc w:val="right"/>
      </w:pPr>
      <w:r>
        <w:rPr>
          <w:rFonts w:ascii="Times New Roman" w:cs="Times New Roman" w:eastAsia="Times New Roman" w:hAnsi="Times New Roman"/>
          <w:b/>
          <w:bCs/>
          <w:color w:val="1B5E8A"/>
          <w:sz w:val="27"/>
          <w:szCs w:val="27"/>
          <w:rtl/>
        </w:rPr>
        <w:t xml:space="preserve">9.2  التوصيات</w:t>
      </w:r>
    </w:p>
    <w:p>
      <w:pPr>
        <w:pStyle w:val="ListParagraph"/>
        <w:numPr>
          <w:ilvl w:val="0"/>
          <w:numId w:val="5"/>
        </w:numPr>
        <w:bidi/>
        <w:spacing w:after="120"/>
        <w:jc w:val="right"/>
      </w:pPr>
      <w:r>
        <w:rPr>
          <w:rFonts w:ascii="Times New Roman" w:cs="Times New Roman" w:eastAsia="Times New Roman" w:hAnsi="Times New Roman"/>
          <w:sz w:val="24"/>
          <w:szCs w:val="24"/>
          <w:rtl/>
        </w:rPr>
        <w:t xml:space="preserve">تطوير مناهج أكاديمية لـ«علم الاجتماع الاستخلافي» تُرسّخ مفهوم الرقابة المجتمعية على المؤسسة الدينية وتُدرّب الفرد على ممارستها.</w:t>
      </w:r>
    </w:p>
    <w:p>
      <w:pPr>
        <w:pStyle w:val="ListParagraph"/>
        <w:numPr>
          <w:ilvl w:val="0"/>
          <w:numId w:val="5"/>
        </w:numPr>
        <w:bidi/>
        <w:spacing w:after="120"/>
        <w:jc w:val="right"/>
      </w:pPr>
      <w:r>
        <w:rPr>
          <w:rFonts w:ascii="Times New Roman" w:cs="Times New Roman" w:eastAsia="Times New Roman" w:hAnsi="Times New Roman"/>
          <w:sz w:val="24"/>
          <w:szCs w:val="24"/>
          <w:rtl/>
        </w:rPr>
        <w:t xml:space="preserve">بناء نماذج مؤسسية للعلاقة بين المرشد الديني والمعالج النفسي الاستخلافي تجمع الخبرة النصية بالخبرة الوجودية.</w:t>
      </w:r>
    </w:p>
    <w:p>
      <w:pPr>
        <w:pStyle w:val="ListParagraph"/>
        <w:numPr>
          <w:ilvl w:val="0"/>
          <w:numId w:val="5"/>
        </w:numPr>
        <w:bidi/>
        <w:spacing w:after="120"/>
        <w:jc w:val="right"/>
      </w:pPr>
      <w:r>
        <w:rPr>
          <w:rFonts w:ascii="Times New Roman" w:cs="Times New Roman" w:eastAsia="Times New Roman" w:hAnsi="Times New Roman"/>
          <w:sz w:val="24"/>
          <w:szCs w:val="24"/>
          <w:rtl/>
        </w:rPr>
        <w:t xml:space="preserve">إجراء دراسات ميدانية تُقيّم فاعلية نموذج «الخبير الحي» في مساعدة الأفراد على تجاوز أزماتهم الروحية مقارنةً بالمسارات الوعظية التقليدية.</w:t>
      </w:r>
    </w:p>
    <w:p>
      <w:pPr>
        <w:pStyle w:val="ListParagraph"/>
        <w:numPr>
          <w:ilvl w:val="0"/>
          <w:numId w:val="5"/>
        </w:numPr>
        <w:bidi/>
        <w:spacing w:after="120"/>
        <w:jc w:val="right"/>
      </w:pPr>
      <w:r>
        <w:rPr>
          <w:rFonts w:ascii="Times New Roman" w:cs="Times New Roman" w:eastAsia="Times New Roman" w:hAnsi="Times New Roman"/>
          <w:sz w:val="24"/>
          <w:szCs w:val="24"/>
          <w:rtl/>
        </w:rPr>
        <w:t xml:space="preserve">نقد منهجي للممارسات المؤسسية التي تُحوّل العلماء إلى أدوات للسلطة السياسية أو مُحيّدين للمعارضة الأخلاقية.</w:t>
      </w:r>
    </w:p>
    <w:p>
      <w:pPr>
        <w:pStyle w:val="ListParagraph"/>
        <w:numPr>
          <w:ilvl w:val="0"/>
          <w:numId w:val="5"/>
        </w:numPr>
        <w:bidi/>
        <w:spacing w:after="120"/>
        <w:jc w:val="right"/>
      </w:pPr>
      <w:r>
        <w:rPr>
          <w:rFonts w:ascii="Times New Roman" w:cs="Times New Roman" w:eastAsia="Times New Roman" w:hAnsi="Times New Roman"/>
          <w:sz w:val="24"/>
          <w:szCs w:val="24"/>
          <w:rtl/>
        </w:rPr>
        <w:t xml:space="preserve">الاشتباك الأكاديمي مع التجربة البروتستانتية والنماذج الغربية في «لاهوت التحرير» لاستخلاص الدروس دون الوقوع في أخطائها.</w:t>
      </w:r>
    </w:p>
    <w:p>
      <w:pPr>
        <w:spacing w:after="120"/>
      </w:pPr>
      <w:r>
        <w:t xml:space="preserve"/>
      </w:r>
    </w:p>
    <w:p>
      <w:pPr>
        <w:pStyle w:val="Heading1"/>
        <w:bidi/>
        <w:spacing w:before="460" w:after="220"/>
        <w:jc w:val="right"/>
      </w:pPr>
      <w:r>
        <w:rPr>
          <w:rFonts w:ascii="Times New Roman" w:cs="Times New Roman" w:eastAsia="Times New Roman" w:hAnsi="Times New Roman"/>
          <w:b/>
          <w:bCs/>
          <w:color w:val="1C2B3A"/>
          <w:sz w:val="34"/>
          <w:szCs w:val="34"/>
          <w:rtl/>
        </w:rPr>
        <w:t xml:space="preserve">قائمة المصادر والمراجع</w:t>
      </w:r>
    </w:p>
    <w:p>
      <w:pPr>
        <w:pBdr>
          <w:bottom w:val="single" w:color="1B5E8A" w:sz="6" w:space="1"/>
        </w:pBdr>
        <w:spacing w:after="200"/>
      </w:pPr>
      <w:r>
        <w:t xml:space="preserve"/>
      </w:r>
    </w:p>
    <w:p>
      <w:pPr>
        <w:pStyle w:val="Heading2"/>
        <w:bidi/>
        <w:spacing w:before="300" w:after="160"/>
        <w:jc w:val="right"/>
      </w:pPr>
      <w:r>
        <w:rPr>
          <w:rFonts w:ascii="Times New Roman" w:cs="Times New Roman" w:eastAsia="Times New Roman" w:hAnsi="Times New Roman"/>
          <w:b/>
          <w:bCs/>
          <w:color w:val="1B5E8A"/>
          <w:sz w:val="27"/>
          <w:szCs w:val="27"/>
          <w:rtl/>
        </w:rPr>
        <w:t xml:space="preserve">أولاً: المصادر والمراجع العربية</w:t>
      </w:r>
    </w:p>
    <w:p>
      <w:pPr>
        <w:bidi/>
        <w:spacing w:after="90"/>
        <w:ind w:left="560"/>
        <w:jc w:val="right"/>
      </w:pPr>
      <w:r>
        <w:rPr>
          <w:rFonts w:ascii="Times New Roman" w:cs="Times New Roman" w:eastAsia="Times New Roman" w:hAnsi="Times New Roman"/>
          <w:color w:val="555566"/>
          <w:sz w:val="19"/>
          <w:szCs w:val="19"/>
          <w:rtl/>
        </w:rPr>
        <w:t xml:space="preserve">1. القرآن الكريم.</w:t>
      </w:r>
    </w:p>
    <w:p>
      <w:pPr>
        <w:bidi/>
        <w:spacing w:after="90"/>
        <w:ind w:left="560"/>
        <w:jc w:val="right"/>
      </w:pPr>
      <w:r>
        <w:rPr>
          <w:rFonts w:ascii="Times New Roman" w:cs="Times New Roman" w:eastAsia="Times New Roman" w:hAnsi="Times New Roman"/>
          <w:color w:val="555566"/>
          <w:sz w:val="19"/>
          <w:szCs w:val="19"/>
          <w:rtl/>
        </w:rPr>
        <w:t xml:space="preserve">2. الزراع. (2023). علم النفس الاستخلافي: نحو نظرية إسلامية في الشخصية والنموذج العلاجي [الأطروحة الاستخلافية]. الصفحات المحال إليها: 31، 34، 781، 892، 901، 903-906، 1062، 1064، 1066، 1097، 1100، 1102، 1103، 1143، 1156، 1159، 1160، 1181، 1229، 1380، 1386.</w:t>
      </w:r>
    </w:p>
    <w:p>
      <w:pPr>
        <w:bidi/>
        <w:spacing w:after="90"/>
        <w:ind w:left="560"/>
        <w:jc w:val="right"/>
      </w:pPr>
      <w:r>
        <w:rPr>
          <w:rFonts w:ascii="Times New Roman" w:cs="Times New Roman" w:eastAsia="Times New Roman" w:hAnsi="Times New Roman"/>
          <w:color w:val="555566"/>
          <w:sz w:val="19"/>
          <w:szCs w:val="19"/>
          <w:rtl/>
        </w:rPr>
        <w:t xml:space="preserve">3. القرضاوي، يوسف. (2001). السياسة الشرعية في ضوء نصوص الشريعة ومقاصدها. مكتبة وهبة، القاهرة.</w:t>
      </w:r>
    </w:p>
    <w:p>
      <w:pPr>
        <w:bidi/>
        <w:spacing w:after="90"/>
        <w:ind w:left="560"/>
        <w:jc w:val="right"/>
      </w:pPr>
      <w:r>
        <w:rPr>
          <w:rFonts w:ascii="Times New Roman" w:cs="Times New Roman" w:eastAsia="Times New Roman" w:hAnsi="Times New Roman"/>
          <w:color w:val="555566"/>
          <w:sz w:val="19"/>
          <w:szCs w:val="19"/>
          <w:rtl/>
        </w:rPr>
        <w:t xml:space="preserve">4. الغزالي، أبو حامد محمد. (د.ت). إحياء علوم الدين — كتاب العلم. دار المعرفة، بيروت.</w:t>
      </w:r>
    </w:p>
    <w:p>
      <w:pPr>
        <w:bidi/>
        <w:spacing w:after="90"/>
        <w:ind w:left="560"/>
        <w:jc w:val="right"/>
      </w:pPr>
      <w:r>
        <w:rPr>
          <w:rFonts w:ascii="Times New Roman" w:cs="Times New Roman" w:eastAsia="Times New Roman" w:hAnsi="Times New Roman"/>
          <w:color w:val="555566"/>
          <w:sz w:val="19"/>
          <w:szCs w:val="19"/>
          <w:rtl/>
        </w:rPr>
        <w:t xml:space="preserve">5. ابن خلدون، عبد الرحمن. (2004). المقدمة. تحقيق: عبد الله محمد الدرويش. دار يعرب، دمشق.</w:t>
      </w:r>
    </w:p>
    <w:p>
      <w:pPr>
        <w:bidi/>
        <w:spacing w:after="90"/>
        <w:ind w:left="560"/>
        <w:jc w:val="right"/>
      </w:pPr>
      <w:r>
        <w:rPr>
          <w:rFonts w:ascii="Times New Roman" w:cs="Times New Roman" w:eastAsia="Times New Roman" w:hAnsi="Times New Roman"/>
          <w:color w:val="555566"/>
          <w:sz w:val="19"/>
          <w:szCs w:val="19"/>
          <w:rtl/>
        </w:rPr>
        <w:t xml:space="preserve">6. العروي، عبد الله. (1992). مفهوم الدولة. المركز الثقافي العربي، الدار البيضاء.</w:t>
      </w:r>
    </w:p>
    <w:p>
      <w:pPr>
        <w:bidi/>
        <w:spacing w:after="90"/>
        <w:ind w:left="560"/>
        <w:jc w:val="right"/>
      </w:pPr>
      <w:r>
        <w:rPr>
          <w:rFonts w:ascii="Times New Roman" w:cs="Times New Roman" w:eastAsia="Times New Roman" w:hAnsi="Times New Roman"/>
          <w:color w:val="555566"/>
          <w:sz w:val="19"/>
          <w:szCs w:val="19"/>
          <w:rtl/>
        </w:rPr>
        <w:t xml:space="preserve">7. طه عبد الرحمن. (2006). روح الحداثة: المدخل إلى تأسيس الحداثة الإسلامية. المركز الثقافي العربي، الدار البيضاء.</w:t>
      </w:r>
    </w:p>
    <w:p>
      <w:pPr>
        <w:bidi/>
        <w:spacing w:after="90"/>
        <w:ind w:left="560"/>
        <w:jc w:val="right"/>
      </w:pPr>
      <w:r>
        <w:rPr>
          <w:rFonts w:ascii="Times New Roman" w:cs="Times New Roman" w:eastAsia="Times New Roman" w:hAnsi="Times New Roman"/>
          <w:color w:val="555566"/>
          <w:sz w:val="19"/>
          <w:szCs w:val="19"/>
          <w:rtl/>
        </w:rPr>
        <w:t xml:space="preserve">8. الجابري، محمد عابد. (1990). إشكاليات الفكر العربي المعاصر. مركز دراسات الوحدة العربية، بيروت.</w:t>
      </w:r>
    </w:p>
    <w:p>
      <w:pPr>
        <w:bidi/>
        <w:spacing w:after="90"/>
        <w:ind w:left="560"/>
        <w:jc w:val="right"/>
      </w:pPr>
      <w:r>
        <w:rPr>
          <w:rFonts w:ascii="Times New Roman" w:cs="Times New Roman" w:eastAsia="Times New Roman" w:hAnsi="Times New Roman"/>
          <w:color w:val="555566"/>
          <w:sz w:val="19"/>
          <w:szCs w:val="19"/>
          <w:rtl/>
        </w:rPr>
        <w:t xml:space="preserve">9. بدري، مالك. (1994). توحيد المعرفة: تأملات في علم النفس الإسلامي. المعهد العالمي للفكر الإسلامي، فرجينيا.</w:t>
      </w:r>
    </w:p>
    <w:p>
      <w:pPr>
        <w:spacing w:after="80"/>
      </w:pPr>
      <w:r>
        <w:t xml:space="preserve"/>
      </w:r>
    </w:p>
    <w:p>
      <w:pPr>
        <w:pStyle w:val="Heading2"/>
        <w:bidi/>
        <w:spacing w:before="300" w:after="160"/>
        <w:jc w:val="right"/>
      </w:pPr>
      <w:r>
        <w:rPr>
          <w:rFonts w:ascii="Times New Roman" w:cs="Times New Roman" w:eastAsia="Times New Roman" w:hAnsi="Times New Roman"/>
          <w:b/>
          <w:bCs/>
          <w:color w:val="1B5E8A"/>
          <w:sz w:val="27"/>
          <w:szCs w:val="27"/>
          <w:rtl/>
        </w:rPr>
        <w:t xml:space="preserve">ثانيًا: المصادر والمراجع الفرنسية</w:t>
      </w:r>
    </w:p>
    <w:p>
      <w:pPr>
        <w:bidi w:val="false"/>
        <w:spacing w:after="90"/>
        <w:ind w:left="560"/>
        <w:jc w:val="left"/>
      </w:pPr>
      <w:r>
        <w:rPr>
          <w:rFonts w:ascii="Times New Roman" w:cs="Times New Roman" w:eastAsia="Times New Roman" w:hAnsi="Times New Roman"/>
          <w:color w:val="555566"/>
          <w:sz w:val="19"/>
          <w:szCs w:val="19"/>
          <w:rtl w:val="false"/>
        </w:rPr>
        <w:t xml:space="preserve">1. Casanova, José. (1994). Public Religions in the Modern World. University of Chicago Press, Chicago. Chap. 5 : « Privatization of Religion ».</w:t>
      </w:r>
    </w:p>
    <w:p>
      <w:pPr>
        <w:bidi w:val="false"/>
        <w:spacing w:after="90"/>
        <w:ind w:left="560"/>
        <w:jc w:val="left"/>
      </w:pPr>
      <w:r>
        <w:rPr>
          <w:rFonts w:ascii="Times New Roman" w:cs="Times New Roman" w:eastAsia="Times New Roman" w:hAnsi="Times New Roman"/>
          <w:color w:val="555566"/>
          <w:sz w:val="19"/>
          <w:szCs w:val="19"/>
          <w:rtl w:val="false"/>
        </w:rPr>
        <w:t xml:space="preserve">2. Roy, Olivier. (2002). L'Islam mondialisé. Seuil, Paris.</w:t>
      </w:r>
    </w:p>
    <w:p>
      <w:pPr>
        <w:bidi w:val="false"/>
        <w:spacing w:after="90"/>
        <w:ind w:left="560"/>
        <w:jc w:val="left"/>
      </w:pPr>
      <w:r>
        <w:rPr>
          <w:rFonts w:ascii="Times New Roman" w:cs="Times New Roman" w:eastAsia="Times New Roman" w:hAnsi="Times New Roman"/>
          <w:color w:val="555566"/>
          <w:sz w:val="19"/>
          <w:szCs w:val="19"/>
          <w:rtl w:val="false"/>
        </w:rPr>
        <w:t xml:space="preserve">3. Roy, Olivier. (2008). La Sainte Ignorance : Le temps de la religion sans culture. Seuil, Paris.</w:t>
      </w:r>
    </w:p>
    <w:p>
      <w:pPr>
        <w:bidi w:val="false"/>
        <w:spacing w:after="90"/>
        <w:ind w:left="560"/>
        <w:jc w:val="left"/>
      </w:pPr>
      <w:r>
        <w:rPr>
          <w:rFonts w:ascii="Times New Roman" w:cs="Times New Roman" w:eastAsia="Times New Roman" w:hAnsi="Times New Roman"/>
          <w:color w:val="555566"/>
          <w:sz w:val="19"/>
          <w:szCs w:val="19"/>
          <w:rtl w:val="false"/>
        </w:rPr>
        <w:t xml:space="preserve">4. Weber, Max. (1904/2002). L'éthique protestante et l'esprit du capitalisme. Trad. J.-P. Grossein. Gallimard, Paris.</w:t>
      </w:r>
    </w:p>
    <w:p>
      <w:pPr>
        <w:bidi w:val="false"/>
        <w:spacing w:after="90"/>
        <w:ind w:left="560"/>
        <w:jc w:val="left"/>
      </w:pPr>
      <w:r>
        <w:rPr>
          <w:rFonts w:ascii="Times New Roman" w:cs="Times New Roman" w:eastAsia="Times New Roman" w:hAnsi="Times New Roman"/>
          <w:color w:val="555566"/>
          <w:sz w:val="19"/>
          <w:szCs w:val="19"/>
          <w:rtl w:val="false"/>
        </w:rPr>
        <w:t xml:space="preserve">5. Ramadan, Tariq. (2009). Radical Reform: Islamic Ethics and Liberation. Oxford University Press, Oxford.</w:t>
      </w:r>
    </w:p>
    <w:p>
      <w:pPr>
        <w:bidi w:val="false"/>
        <w:spacing w:after="90"/>
        <w:ind w:left="560"/>
        <w:jc w:val="left"/>
      </w:pPr>
      <w:r>
        <w:rPr>
          <w:rFonts w:ascii="Times New Roman" w:cs="Times New Roman" w:eastAsia="Times New Roman" w:hAnsi="Times New Roman"/>
          <w:color w:val="555566"/>
          <w:sz w:val="19"/>
          <w:szCs w:val="19"/>
          <w:rtl w:val="false"/>
        </w:rPr>
        <w:t xml:space="preserve">6. Bourdieu, Pierre. (1971). « Genèse et structure du champ religieux ». Revue française de sociologie, 12(3), 295–334.</w:t>
      </w:r>
    </w:p>
    <w:p>
      <w:pPr>
        <w:bidi w:val="false"/>
        <w:spacing w:after="90"/>
        <w:ind w:left="560"/>
        <w:jc w:val="left"/>
      </w:pPr>
      <w:r>
        <w:rPr>
          <w:rFonts w:ascii="Times New Roman" w:cs="Times New Roman" w:eastAsia="Times New Roman" w:hAnsi="Times New Roman"/>
          <w:color w:val="555566"/>
          <w:sz w:val="19"/>
          <w:szCs w:val="19"/>
          <w:rtl w:val="false"/>
        </w:rPr>
        <w:t xml:space="preserve">7. Kepel, Gilles. (2000). Jihad : Expansion et déclin de l'islamisme. Gallimard, Paris.</w:t>
      </w:r>
    </w:p>
    <w:p>
      <w:pPr>
        <w:bidi w:val="false"/>
        <w:spacing w:after="90"/>
        <w:ind w:left="560"/>
        <w:jc w:val="left"/>
      </w:pPr>
      <w:r>
        <w:rPr>
          <w:rFonts w:ascii="Times New Roman" w:cs="Times New Roman" w:eastAsia="Times New Roman" w:hAnsi="Times New Roman"/>
          <w:color w:val="555566"/>
          <w:sz w:val="19"/>
          <w:szCs w:val="19"/>
          <w:rtl w:val="false"/>
        </w:rPr>
        <w:t xml:space="preserve">8. Berger, Peter L. (1967/1992). La Religion dans la conscience moderne. Essai d'analyse culturelle. Trad. J. Feisthauer. Centurion, Paris.</w:t>
      </w:r>
    </w:p>
    <w:p>
      <w:pPr>
        <w:bidi w:val="false"/>
        <w:spacing w:after="90"/>
        <w:ind w:left="560"/>
        <w:jc w:val="left"/>
      </w:pPr>
      <w:r>
        <w:rPr>
          <w:rFonts w:ascii="Times New Roman" w:cs="Times New Roman" w:eastAsia="Times New Roman" w:hAnsi="Times New Roman"/>
          <w:color w:val="555566"/>
          <w:sz w:val="19"/>
          <w:szCs w:val="19"/>
          <w:rtl w:val="false"/>
        </w:rPr>
        <w:t xml:space="preserve">9. Habermas, Jürgen. (2005). Entre naturalisme et religion : Les défis de la démocratie. Trad. C. Bouchindhomme &amp; A. Dupeyrix. Gallimard, Paris.</w:t>
      </w:r>
    </w:p>
    <w:p>
      <w:pPr>
        <w:bidi w:val="false"/>
        <w:spacing w:after="90"/>
        <w:ind w:left="560"/>
        <w:jc w:val="left"/>
      </w:pPr>
      <w:r>
        <w:rPr>
          <w:rFonts w:ascii="Times New Roman" w:cs="Times New Roman" w:eastAsia="Times New Roman" w:hAnsi="Times New Roman"/>
          <w:color w:val="555566"/>
          <w:sz w:val="19"/>
          <w:szCs w:val="19"/>
          <w:rtl w:val="false"/>
        </w:rPr>
        <w:t xml:space="preserve">10. Foucault, Michel. (1975). Surveiller et punir : Naissance de la prison. Gallimard, Paris. [Pour la théorie de la surveillance et du pouvoir disciplinaire, applicable à l'institution religieuse].</w:t>
      </w:r>
    </w:p>
    <w:p>
      <w:pPr>
        <w:spacing w:after="180"/>
      </w:pPr>
      <w:r>
        <w:t xml:space="preserve"/>
      </w:r>
    </w:p>
    <w:p>
      <w:pPr>
        <w:pBdr>
          <w:bottom w:val="single" w:color="1C2B3A" w:sz="6" w:space="1"/>
        </w:pBdr>
        <w:spacing w:after="200"/>
      </w:pPr>
      <w:r>
        <w:t xml:space="preserve"/>
      </w:r>
    </w:p>
    <w:p>
      <w:pPr>
        <w:spacing w:after="120"/>
      </w:pPr>
      <w:r>
        <w:t xml:space="preserve"/>
      </w:r>
    </w:p>
    <w:p>
      <w:pPr>
        <w:pBdr>
          <w:top w:val="single" w:color="7A5010" w:sz="6" w:space="4"/>
          <w:bottom w:val="single" w:color="7A5010" w:sz="6" w:space="4"/>
        </w:pBdr>
        <w:shd w:fill="FDFBF2" w:val="clear"/>
        <w:bidi/>
        <w:spacing w:before="200" w:after="200"/>
        <w:jc w:val="center"/>
      </w:pPr>
      <w:r>
        <w:rPr>
          <w:rFonts w:ascii="Times New Roman" w:cs="Times New Roman" w:eastAsia="Times New Roman" w:hAnsi="Times New Roman"/>
          <w:b/>
          <w:bCs/>
          <w:color w:val="7A5010"/>
          <w:sz w:val="26"/>
          <w:szCs w:val="26"/>
          <w:rtl/>
        </w:rPr>
        <w:t xml:space="preserve">﴿وَكَذَلِكَ جَعَلْنَاكُمْ أُمَّةً وَسَطًا لِّتَكُونُواْ شُهَدَاء عَلَى النَّاسِ﴾ — البقرة: 143</w:t>
      </w:r>
    </w:p>
    <w:sectPr>
      <w:headerReference w:type="default" r:id="rId6"/>
      <w:footerReference w:type="default" r:id="rId7"/>
      <w:pgSz w:w="11906" w:h="16838" w:orient="portrait"/>
      <w:pgMar w:top="1440" w:right="1700" w:bottom="1440" w:left="1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BBBBB" w:sz="4" w:space="4"/>
      </w:pBdr>
      <w:bidi/>
      <w:spacing w:before="0"/>
      <w:jc w:val="center"/>
    </w:pPr>
    <w:r>
      <w:rPr>
        <w:rFonts w:ascii="Times New Roman" w:cs="Times New Roman" w:eastAsia="Times New Roman" w:hAnsi="Times New Roman"/>
        <w:color w:val="777777"/>
        <w:sz w:val="18"/>
        <w:szCs w:val="18"/>
        <w:rtl/>
      </w:rPr>
      <w:t xml:space="preserve">صفحة </w:t>
    </w:r>
    <w:r>
      <w:rPr>
        <w:rFonts w:ascii="Times New Roman" w:cs="Times New Roman" w:eastAsia="Times New Roman" w:hAnsi="Times New Roman"/>
        <w:color w:val="777777"/>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5E8A" w:sz="4" w:space="4"/>
      </w:pBdr>
      <w:bidi/>
      <w:spacing w:after="0"/>
      <w:jc w:val="center"/>
    </w:pPr>
    <w:r>
      <w:rPr>
        <w:rFonts w:ascii="Times New Roman" w:cs="Times New Roman" w:eastAsia="Times New Roman" w:hAnsi="Times New Roman"/>
        <w:color w:val="1B5E8A"/>
        <w:sz w:val="18"/>
        <w:szCs w:val="18"/>
        <w:rtl/>
      </w:rPr>
      <w:t xml:space="preserve">إعادة تعريف دور رجال الدين في ضوء الأطروحة الاستخلافية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right"/>
      <w:pPr>
        <w:bidi/>
        <w:ind w:left="720" w:hanging="360"/>
      </w:pPr>
    </w:lvl>
  </w:abstractNum>
  <w:abstractNum w:abstractNumId="3" w15:restartNumberingAfterBreak="0">
    <w:multiLevelType w:val="hybridMultilevel"/>
    <w:lvl w:ilvl="0" w15:tentative="1">
      <w:start w:val="1"/>
      <w:numFmt w:val="bullet"/>
      <w:lvlText w:val="◆"/>
      <w:lvlJc w:val="right"/>
      <w:pPr>
        <w:bidi/>
        <w:ind w:left="720" w:hanging="360"/>
      </w:pPr>
    </w:lvl>
  </w:abstractNum>
  <w:abstractNum w:abstractNumId="4" w15:restartNumberingAfterBreak="0">
    <w:multiLevelType w:val="hybridMultilevel"/>
    <w:lvl w:ilvl="0" w15:tentative="1">
      <w:start w:val="1"/>
      <w:numFmt w:val="decimal"/>
      <w:lvlText w:val="%1."/>
      <w:lvlJc w:val="right"/>
      <w:pPr>
        <w:bidi/>
        <w:ind w:left="720" w:hanging="360"/>
      </w:pPr>
    </w:lvl>
  </w:abstractNum>
  <w:abstractNum w:abstractNumId="5" w15:restartNumberingAfterBreak="0">
    <w:multiLevelType w:val="hybridMultilevel"/>
    <w:lvl w:ilvl="0" w15:tentative="1">
      <w:start w:val="1"/>
      <w:numFmt w:val="decimal"/>
      <w:lvlText w:val="%1."/>
      <w:lvlJc w:val="right"/>
      <w:pPr>
        <w:bidi/>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tl/>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bidi/>
      <w:spacing w:before="460" w:after="220"/>
      <w:jc w:val="right"/>
      <w:outlineLvl w:val="0"/>
    </w:pPr>
    <w:rPr>
      <w:rFonts w:ascii="Times New Roman" w:cs="Times New Roman" w:eastAsia="Times New Roman" w:hAnsi="Times New Roman"/>
      <w:b/>
      <w:bCs/>
      <w:color w:val="1C2B3A"/>
      <w:sz w:val="34"/>
      <w:szCs w:val="34"/>
    </w:rPr>
  </w:style>
  <w:style w:type="paragraph" w:styleId="Heading2">
    <w:name w:val="Heading 2"/>
    <w:basedOn w:val="Normal"/>
    <w:next w:val="Normal"/>
    <w:qFormat/>
    <w:pPr>
      <w:bidi/>
      <w:spacing w:before="300" w:after="160"/>
      <w:jc w:val="right"/>
      <w:outlineLvl w:val="1"/>
    </w:pPr>
    <w:rPr>
      <w:rFonts w:ascii="Times New Roman" w:cs="Times New Roman" w:eastAsia="Times New Roman" w:hAnsi="Times New Roman"/>
      <w:b/>
      <w:bCs/>
      <w:color w:val="1B5E8A"/>
      <w:sz w:val="27"/>
      <w:szCs w:val="27"/>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2026-03-04T12:57:22.741Z</dcterms:created>
  <dcterms:modified xsi:type="dcterms:W3CDTF">2026-03-04T12:57:22.742Z</dcterms:modified>
</cp:coreProperties>
</file>

<file path=docProps/custom.xml><?xml version="1.0" encoding="utf-8"?>
<Properties xmlns="http://schemas.openxmlformats.org/officeDocument/2006/custom-properties" xmlns:vt="http://schemas.openxmlformats.org/officeDocument/2006/docPropsVTypes"/>
</file>