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0DE2" w14:textId="77777777" w:rsidR="00E67DF0" w:rsidRDefault="00000000">
      <w:pPr>
        <w:spacing w:before="300" w:after="100"/>
        <w:jc w:val="center"/>
      </w:pPr>
      <w:r>
        <w:rPr>
          <w:rFonts w:ascii="Traditional Arabic" w:eastAsia="Traditional Arabic" w:hAnsi="Traditional Arabic" w:cs="Traditional Arabic"/>
          <w:b/>
          <w:bCs/>
          <w:color w:val="0F6B6B"/>
          <w:sz w:val="22"/>
          <w:szCs w:val="22"/>
          <w:rtl/>
        </w:rPr>
        <w:t>دراسة استخلافية موسّعة</w:t>
      </w:r>
    </w:p>
    <w:p w14:paraId="7A3C949A" w14:textId="77777777" w:rsidR="00E67DF0" w:rsidRDefault="00000000">
      <w:pPr>
        <w:spacing w:after="80"/>
        <w:jc w:val="center"/>
      </w:pPr>
      <w:r>
        <w:rPr>
          <w:rFonts w:ascii="Traditional Arabic" w:eastAsia="Traditional Arabic" w:hAnsi="Traditional Arabic" w:cs="Traditional Arabic"/>
          <w:b/>
          <w:bCs/>
          <w:color w:val="1B2A4A"/>
          <w:sz w:val="42"/>
          <w:szCs w:val="42"/>
          <w:rtl/>
        </w:rPr>
        <w:t>من «الرنين العصبي» إلى «السكينة الاستخلافية»</w:t>
      </w:r>
    </w:p>
    <w:p w14:paraId="011DE1AB" w14:textId="77777777" w:rsidR="00E67DF0" w:rsidRDefault="00000000">
      <w:pPr>
        <w:spacing w:after="300"/>
        <w:jc w:val="center"/>
      </w:pPr>
      <w:r>
        <w:rPr>
          <w:rFonts w:ascii="Traditional Arabic" w:eastAsia="Traditional Arabic" w:hAnsi="Traditional Arabic" w:cs="Traditional Arabic"/>
          <w:i/>
          <w:iCs/>
          <w:color w:val="0F6B6B"/>
          <w:sz w:val="26"/>
          <w:szCs w:val="26"/>
          <w:rtl/>
        </w:rPr>
        <w:t>قراءة تأصيلية موسّعة في فيزيولوجيا الترتيل من منظور علم النفس الاستخلافي</w:t>
      </w:r>
    </w:p>
    <w:tbl>
      <w:tblPr>
        <w:tblW w:w="5000" w:type="pct"/>
        <w:tblInd w:w="1" w:type="dxa"/>
        <w:tblBorders>
          <w:top w:val="single" w:sz="18" w:space="0" w:color="B8860B"/>
          <w:left w:val="single" w:sz="18" w:space="0" w:color="B8860B"/>
          <w:bottom w:val="single" w:sz="18" w:space="0" w:color="B8860B"/>
          <w:right w:val="single" w:sz="18"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14"/>
      </w:tblGrid>
      <w:tr w:rsidR="00E67DF0" w14:paraId="3ECDF9A2" w14:textId="77777777">
        <w:tblPrEx>
          <w:tblCellMar>
            <w:top w:w="0" w:type="dxa"/>
            <w:bottom w:w="0" w:type="dxa"/>
          </w:tblCellMar>
        </w:tblPrEx>
        <w:tc>
          <w:tcPr>
            <w:tcW w:w="0" w:type="auto"/>
            <w:shd w:val="clear" w:color="auto" w:fill="F5E6C8"/>
            <w:tcMar>
              <w:top w:w="220" w:type="dxa"/>
              <w:left w:w="300" w:type="dxa"/>
              <w:bottom w:w="220" w:type="dxa"/>
              <w:right w:w="300" w:type="dxa"/>
            </w:tcMar>
          </w:tcPr>
          <w:p w14:paraId="72670B0D" w14:textId="77777777" w:rsidR="00E67DF0" w:rsidRDefault="00000000">
            <w:pPr>
              <w:spacing w:after="120"/>
              <w:jc w:val="center"/>
            </w:pPr>
            <w:r>
              <w:rPr>
                <w:rFonts w:ascii="Traditional Arabic" w:eastAsia="Traditional Arabic" w:hAnsi="Traditional Arabic" w:cs="Traditional Arabic"/>
                <w:b/>
                <w:bCs/>
                <w:color w:val="1B2A4A"/>
                <w:sz w:val="30"/>
                <w:szCs w:val="30"/>
                <w:rtl/>
              </w:rPr>
              <w:t>﴿ الَّذِينَ آمَنُوا وَتَطْمَئِنُّ قُلُوبُهُم بِذِكْرِ اللَّهِ أَلَا بِذِكْرِ اللَّهِ تَطْمَئِنُّ الْقُلُوبُ ﴾</w:t>
            </w:r>
          </w:p>
          <w:p w14:paraId="761FD8D2" w14:textId="77777777" w:rsidR="00E67DF0" w:rsidRDefault="00000000">
            <w:pPr>
              <w:jc w:val="center"/>
            </w:pPr>
            <w:r>
              <w:rPr>
                <w:rFonts w:ascii="Traditional Arabic" w:eastAsia="Traditional Arabic" w:hAnsi="Traditional Arabic" w:cs="Traditional Arabic"/>
                <w:i/>
                <w:iCs/>
                <w:color w:val="0F6B6B"/>
                <w:sz w:val="22"/>
                <w:szCs w:val="22"/>
                <w:rtl/>
              </w:rPr>
              <w:t>سورة الرعد: ٢٨</w:t>
            </w:r>
          </w:p>
        </w:tc>
      </w:tr>
    </w:tbl>
    <w:p w14:paraId="7EEE93BD" w14:textId="77777777" w:rsidR="00E67DF0" w:rsidRDefault="00E67DF0">
      <w:pPr>
        <w:spacing w:after="400"/>
      </w:pPr>
    </w:p>
    <w:p w14:paraId="21A6BC56" w14:textId="77777777" w:rsidR="00E67DF0" w:rsidRDefault="00000000">
      <w:pPr>
        <w:pStyle w:val="1"/>
        <w:pBdr>
          <w:bottom w:val="single" w:sz="8" w:space="6" w:color="B8860B"/>
        </w:pBdr>
        <w:bidi/>
        <w:spacing w:before="480" w:after="260"/>
        <w:jc w:val="right"/>
      </w:pPr>
      <w:r>
        <w:rPr>
          <w:rFonts w:ascii="Traditional Arabic" w:eastAsia="Traditional Arabic" w:hAnsi="Traditional Arabic" w:cs="Traditional Arabic"/>
          <w:b/>
          <w:bCs/>
          <w:color w:val="1B2A4A"/>
          <w:sz w:val="34"/>
          <w:szCs w:val="34"/>
          <w:rtl/>
        </w:rPr>
        <w:t>مدخل: لماذا نقرأ العلم بلغة الاستخلاف؟</w:t>
      </w:r>
    </w:p>
    <w:p w14:paraId="149400B1"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في خضم التراكم المعرفي الهائل الذي تقدمه العلوم العصبية المعاصرة، يبرز سؤال </w:t>
      </w:r>
      <w:proofErr w:type="spellStart"/>
      <w:r>
        <w:rPr>
          <w:rFonts w:ascii="Traditional Arabic" w:eastAsia="Traditional Arabic" w:hAnsi="Traditional Arabic" w:cs="Traditional Arabic"/>
          <w:color w:val="1A1A1A"/>
          <w:sz w:val="26"/>
          <w:szCs w:val="26"/>
          <w:rtl/>
        </w:rPr>
        <w:t>إبستيمولوجي</w:t>
      </w:r>
      <w:proofErr w:type="spellEnd"/>
      <w:r>
        <w:rPr>
          <w:rFonts w:ascii="Traditional Arabic" w:eastAsia="Traditional Arabic" w:hAnsi="Traditional Arabic" w:cs="Traditional Arabic"/>
          <w:color w:val="1A1A1A"/>
          <w:sz w:val="26"/>
          <w:szCs w:val="26"/>
          <w:rtl/>
        </w:rPr>
        <w:t xml:space="preserve"> جوهري يسبق أي انشغال بالنتائج التجريبية ذاتها: ما المعنى الذي نُسقطه على البيانات المختبرية؟ فحين يخبرنا جهاز تخطيط الدماغ الكهربائي (EEG) أن الاستماع إلى القرآن الكريم يزيد من قدرة موجات ألفا، فإننا أمام حقيقة قياسية موضوعية لا جدال فيها، لكن هذه الحقيقة تظل عارية من دلالتها الإنسانية العميقة ما لم تُؤوَّل ضمن إطار وجودي يمنحها معناها ويربطها بغائية الوجود الإنساني ذاته. وهذا بالضبط هو موضع الفارق الحاسم بين قراءة وضعية مغلقة تكتفي بتسجيل الترابط الإحصائي بين متغيرين، وقراءة استخلافية تسعى إلى فهم ما تكشفه هذه الترابطات عن حقيقة الإنسان بوصفه كائناً مستخلَفاً مؤتمناً.</w:t>
      </w:r>
    </w:p>
    <w:p w14:paraId="0CEB4ACA" w14:textId="24385F4D" w:rsidR="00E67DF0" w:rsidRDefault="00000000">
      <w:pPr>
        <w:spacing w:after="200" w:line="340" w:lineRule="auto"/>
        <w:jc w:val="both"/>
      </w:pPr>
      <w:r>
        <w:rPr>
          <w:rFonts w:ascii="Traditional Arabic" w:eastAsia="Traditional Arabic" w:hAnsi="Traditional Arabic" w:cs="Traditional Arabic"/>
          <w:color w:val="1A1A1A"/>
          <w:sz w:val="26"/>
          <w:szCs w:val="26"/>
          <w:rtl/>
        </w:rPr>
        <w:t>وهنا تحديداً يأتي دور علم النفس الاستخلافي  لا بوصفه رفضاً للعلم التجريبي أو تشكيكاً في منهجه، بل بوصفه مشروعاً لتعميق فهم نتائجه ووصلها بغايات الوجود الإنساني التي يقرّرها الوحي. فالمنهج الاستخلافي لا يقف عند حدود السؤال «ماذا يحدث فيزيولوجياً؟»، بل يتجاوزه إلى سؤال أعمق: «ما الذي يكشفه هذا الحدوث الفيزيولوجي عن موقع الإنسان في سلّم القرب من خالقه؟»</w:t>
      </w:r>
    </w:p>
    <w:p w14:paraId="39A0DB9C"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إن البحث الذي نُعمّقه في هذه الدراسة، وهو مراجعة علمية موسّعة لأثر الترتيل على النشاط الكهربائي للدماغ، يمثل مادة خاماً غنية بالدلالة، يمكن قراءتها على مستويين متكاملين لا متنافيين: المستوى الفيزيولوجي البحت، وهو ما أبدع الباحثون التجريبيون في رصده من تغيرات دقيقة في موجات ألفا وبيتا وثيتا وغاما؛ والمستوى الاستخلافي التأويلي، وهو ما نتصدى لتعميقه في هذه الدراسة، حيث نُترجم هذه التغيرات الفيزيولوجية إلى لغة النموذج الهرمي القرآني والأضلاع الثمانية، ونُبيّن كيف أن الترتيل ليس مجرد محفز صوتي عصبي، بل هو تقنية وجودية متكاملة تُسهم في إعادة ضبط ما يسميه هذا الإطار «نظام التشغيل الفطري» (</w:t>
      </w:r>
      <w:proofErr w:type="spellStart"/>
      <w:r>
        <w:rPr>
          <w:rFonts w:ascii="Traditional Arabic" w:eastAsia="Traditional Arabic" w:hAnsi="Traditional Arabic" w:cs="Traditional Arabic"/>
          <w:color w:val="1A1A1A"/>
          <w:sz w:val="26"/>
          <w:szCs w:val="26"/>
          <w:rtl/>
        </w:rPr>
        <w:t>Moral</w:t>
      </w:r>
      <w:proofErr w:type="spellEnd"/>
      <w:r>
        <w:rPr>
          <w:rFonts w:ascii="Traditional Arabic" w:eastAsia="Traditional Arabic" w:hAnsi="Traditional Arabic" w:cs="Traditional Arabic"/>
          <w:color w:val="1A1A1A"/>
          <w:sz w:val="26"/>
          <w:szCs w:val="26"/>
          <w:rtl/>
        </w:rPr>
        <w:t xml:space="preserve"> OS)، وتفعيل أضلاع الصعود نحو مقام النفس المطمئنة.</w:t>
      </w:r>
    </w:p>
    <w:tbl>
      <w:tblPr>
        <w:tblW w:w="5000" w:type="pct"/>
        <w:tblInd w:w="1" w:type="dxa"/>
        <w:tblBorders>
          <w:top w:val="single" w:sz="6" w:space="0" w:color="0F6B6B"/>
          <w:left w:val="single" w:sz="6" w:space="0" w:color="0F6B6B"/>
          <w:bottom w:val="single" w:sz="6" w:space="0" w:color="0F6B6B"/>
          <w:right w:val="single" w:sz="6" w:space="0" w:color="0F6B6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44"/>
      </w:tblGrid>
      <w:tr w:rsidR="00E67DF0" w14:paraId="759C83FF" w14:textId="77777777">
        <w:tblPrEx>
          <w:tblCellMar>
            <w:top w:w="0" w:type="dxa"/>
            <w:bottom w:w="0" w:type="dxa"/>
          </w:tblCellMar>
        </w:tblPrEx>
        <w:tc>
          <w:tcPr>
            <w:tcW w:w="0" w:type="auto"/>
            <w:shd w:val="clear" w:color="auto" w:fill="EAF3F2"/>
            <w:tcMar>
              <w:top w:w="180" w:type="dxa"/>
              <w:left w:w="260" w:type="dxa"/>
              <w:bottom w:w="180" w:type="dxa"/>
              <w:right w:w="260" w:type="dxa"/>
            </w:tcMar>
          </w:tcPr>
          <w:p w14:paraId="6B15BA4C" w14:textId="77777777" w:rsidR="00E67DF0" w:rsidRDefault="00000000">
            <w:pPr>
              <w:spacing w:after="100"/>
              <w:jc w:val="right"/>
            </w:pPr>
            <w:r>
              <w:rPr>
                <w:rFonts w:ascii="Traditional Arabic" w:eastAsia="Traditional Arabic" w:hAnsi="Traditional Arabic" w:cs="Traditional Arabic"/>
                <w:b/>
                <w:bCs/>
                <w:color w:val="0F6B6B"/>
                <w:sz w:val="25"/>
                <w:szCs w:val="25"/>
                <w:rtl/>
              </w:rPr>
              <w:t>مصطلح: نظام التشغيل الفطري (</w:t>
            </w:r>
            <w:proofErr w:type="spellStart"/>
            <w:r>
              <w:rPr>
                <w:rFonts w:ascii="Traditional Arabic" w:eastAsia="Traditional Arabic" w:hAnsi="Traditional Arabic" w:cs="Traditional Arabic"/>
                <w:b/>
                <w:bCs/>
                <w:color w:val="0F6B6B"/>
                <w:sz w:val="25"/>
                <w:szCs w:val="25"/>
                <w:rtl/>
              </w:rPr>
              <w:t>Moral</w:t>
            </w:r>
            <w:proofErr w:type="spellEnd"/>
            <w:r>
              <w:rPr>
                <w:rFonts w:ascii="Traditional Arabic" w:eastAsia="Traditional Arabic" w:hAnsi="Traditional Arabic" w:cs="Traditional Arabic"/>
                <w:b/>
                <w:bCs/>
                <w:color w:val="0F6B6B"/>
                <w:sz w:val="25"/>
                <w:szCs w:val="25"/>
                <w:rtl/>
              </w:rPr>
              <w:t xml:space="preserve"> OS)</w:t>
            </w:r>
          </w:p>
          <w:p w14:paraId="3B98F284" w14:textId="77777777" w:rsidR="00E67DF0" w:rsidRDefault="00000000">
            <w:pPr>
              <w:jc w:val="both"/>
            </w:pPr>
            <w:r>
              <w:rPr>
                <w:rFonts w:ascii="Traditional Arabic" w:eastAsia="Traditional Arabic" w:hAnsi="Traditional Arabic" w:cs="Traditional Arabic"/>
                <w:color w:val="1A1A1A"/>
                <w:sz w:val="23"/>
                <w:szCs w:val="23"/>
                <w:rtl/>
              </w:rPr>
              <w:t>استعارة معرفية يوظفها علم النفس الاستخلافي للإشارة إلى الفطرة بوصفها بنية أخلاقية-إدراكية مزروعة أصلاً في الإنسان، تعمل بصورة تلقائية حين لا تُعطَّل بالران والغفلة والانحراف التربوي، وتحتاج — كأي نظام — إلى «إعادة ضبط» دورية تعيدها إلى إعداداتها الأصلية، وهي الوظيفة التي يؤديها الذكر والترتيل والصلاة.</w:t>
            </w:r>
          </w:p>
        </w:tc>
      </w:tr>
    </w:tbl>
    <w:p w14:paraId="1080C9DF" w14:textId="77777777" w:rsidR="00E67DF0" w:rsidRDefault="00000000">
      <w:pPr>
        <w:pStyle w:val="1"/>
        <w:pBdr>
          <w:bottom w:val="single" w:sz="8" w:space="6" w:color="B8860B"/>
        </w:pBdr>
        <w:bidi/>
        <w:spacing w:before="480" w:after="260"/>
        <w:jc w:val="right"/>
      </w:pPr>
      <w:r>
        <w:rPr>
          <w:rFonts w:ascii="Traditional Arabic" w:eastAsia="Traditional Arabic" w:hAnsi="Traditional Arabic" w:cs="Traditional Arabic"/>
          <w:b/>
          <w:bCs/>
          <w:color w:val="1B2A4A"/>
          <w:sz w:val="34"/>
          <w:szCs w:val="34"/>
          <w:rtl/>
        </w:rPr>
        <w:t>الفصل الأول: موجات الدماغ والأضلاع الثمانية — تشريح استخلافي للحظة الترتيل</w:t>
      </w:r>
    </w:p>
    <w:p w14:paraId="37CD29A2"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يقوم هذا الفصل على مقدمة منهجية لا بد من تقريرها قبل الشروع في التحليل: إن النموذج الهرمي القرآني الذي يوظفه علم النفس الاستخلافي ليس استعادة حرفية لمدارج ابن القيم، بل إعادة بناء تصاعدي لحركة النفس بين مراتبها الثلاث القرآنية (الأمّارة، اللوّامة، المطمئنة) عبر ثمانية أضلاع انتقالية، كل ضلع منها يمثل آلية محددة — معرفية أو انفعالية أو فيزيولوجية — تدفع النفس من مرتبة إلى أخرى. وما يميز هذا البناء عن التصورات الصوفية الكلاسيكية أنه لا يكتفي بالوصف الأخلاقي المجرد، بل يجعل كل ضلع قابلاً، من حيث المبدأ، للتشغيل والقياس، وهو ما يفتح الباب أمام محاورته المباشرة مع معطيات علم الأعصاب.</w:t>
      </w:r>
    </w:p>
    <w:p w14:paraId="54C2F97A"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١.١ موجات ألفا وتفعيل الضلع الثامن (رحمة إلهية ← مطمئنة)</w:t>
      </w:r>
    </w:p>
    <w:p w14:paraId="56E99E0D"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تُجمع الدراسات المستعرضة — عبدالله وعمر (٢٠١١)، والجلال وآخرون (٢٠١٢)، وزين الدين وآخرون (٢٠١٣) — على نتيجة مركزية ثابتة عبر عينات وبروتوكولات قياس مختلفة: الاستماع إلى القرآن الكريم يُحدث زيادة معنوية إحصائياً في قدرة موجات ألفا، وهي الموجات التي تتراوح ترددها بين ٨ و١٣ هرتز، وتظهر بوضوح في الفصوص </w:t>
      </w:r>
      <w:proofErr w:type="spellStart"/>
      <w:r>
        <w:rPr>
          <w:rFonts w:ascii="Traditional Arabic" w:eastAsia="Traditional Arabic" w:hAnsi="Traditional Arabic" w:cs="Traditional Arabic"/>
          <w:color w:val="1A1A1A"/>
          <w:sz w:val="26"/>
          <w:szCs w:val="26"/>
          <w:rtl/>
        </w:rPr>
        <w:t>القذالية</w:t>
      </w:r>
      <w:proofErr w:type="spellEnd"/>
      <w:r>
        <w:rPr>
          <w:rFonts w:ascii="Traditional Arabic" w:eastAsia="Traditional Arabic" w:hAnsi="Traditional Arabic" w:cs="Traditional Arabic"/>
          <w:color w:val="1A1A1A"/>
          <w:sz w:val="26"/>
          <w:szCs w:val="26"/>
          <w:rtl/>
        </w:rPr>
        <w:t xml:space="preserve"> والجدارية حين يكون الدماغ في حالة من الاسترخاء اليقظ، بعيداً عن ضوضاء المعالجة الحسية المفرطة التي تميز حالة اليقظة النشطة العادية.</w:t>
      </w:r>
    </w:p>
    <w:p w14:paraId="5B6145AB"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وفي علم النفس الاستخلافي، لا تُقرأ هذه الحالة الفيزيولوجية بوصفها مجرد «استرخاء» بالمعنى الفسيولوجي المحايد الذي تستخدمه أدبيات إدارة التوتر العلمانية، بل تُقرأ — في جوهرها الوجودي — بوصفها تفعيلاً لـ«الضلع الثامن» (من مقام الرحمة الإلهية إلى مقام النفس المطمئنة). وهذا الضلع، كما يصفه الزراع، هو مسار النعمة والسكينة المنزّلة، وهو تاج الرحلة الذي يصل فيه الإنسان إلى مقام النفس المطمئنة المذكورة في قوله تعالى:</w:t>
      </w:r>
    </w:p>
    <w:tbl>
      <w:tblPr>
        <w:tblW w:w="5000" w:type="pct"/>
        <w:tblInd w:w="1" w:type="dxa"/>
        <w:tblBorders>
          <w:top w:val="single" w:sz="18" w:space="0" w:color="B8860B"/>
          <w:left w:val="single" w:sz="18" w:space="0" w:color="B8860B"/>
          <w:bottom w:val="single" w:sz="18" w:space="0" w:color="B8860B"/>
          <w:right w:val="single" w:sz="18"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14"/>
      </w:tblGrid>
      <w:tr w:rsidR="00E67DF0" w14:paraId="44479C1E" w14:textId="77777777">
        <w:tblPrEx>
          <w:tblCellMar>
            <w:top w:w="0" w:type="dxa"/>
            <w:bottom w:w="0" w:type="dxa"/>
          </w:tblCellMar>
        </w:tblPrEx>
        <w:tc>
          <w:tcPr>
            <w:tcW w:w="0" w:type="auto"/>
            <w:shd w:val="clear" w:color="auto" w:fill="F5E6C8"/>
            <w:tcMar>
              <w:top w:w="220" w:type="dxa"/>
              <w:left w:w="300" w:type="dxa"/>
              <w:bottom w:w="220" w:type="dxa"/>
              <w:right w:w="300" w:type="dxa"/>
            </w:tcMar>
          </w:tcPr>
          <w:p w14:paraId="3DBA8F02" w14:textId="77777777" w:rsidR="00E67DF0" w:rsidRDefault="00000000">
            <w:pPr>
              <w:spacing w:after="120"/>
              <w:jc w:val="center"/>
            </w:pPr>
            <w:r>
              <w:rPr>
                <w:rFonts w:ascii="Traditional Arabic" w:eastAsia="Traditional Arabic" w:hAnsi="Traditional Arabic" w:cs="Traditional Arabic"/>
                <w:b/>
                <w:bCs/>
                <w:color w:val="1B2A4A"/>
                <w:sz w:val="30"/>
                <w:szCs w:val="30"/>
                <w:rtl/>
              </w:rPr>
              <w:t xml:space="preserve">﴿ يَا أَيَّتُهَا النَّفْسُ الْمُطْمَئِنَّةُ ﴾ ﴿ ارْجِعِي </w:t>
            </w:r>
            <w:proofErr w:type="spellStart"/>
            <w:r>
              <w:rPr>
                <w:rFonts w:ascii="Traditional Arabic" w:eastAsia="Traditional Arabic" w:hAnsi="Traditional Arabic" w:cs="Traditional Arabic"/>
                <w:b/>
                <w:bCs/>
                <w:color w:val="1B2A4A"/>
                <w:sz w:val="30"/>
                <w:szCs w:val="30"/>
                <w:rtl/>
              </w:rPr>
              <w:t>إِلَىٰ</w:t>
            </w:r>
            <w:proofErr w:type="spellEnd"/>
            <w:r>
              <w:rPr>
                <w:rFonts w:ascii="Traditional Arabic" w:eastAsia="Traditional Arabic" w:hAnsi="Traditional Arabic" w:cs="Traditional Arabic"/>
                <w:b/>
                <w:bCs/>
                <w:color w:val="1B2A4A"/>
                <w:sz w:val="30"/>
                <w:szCs w:val="30"/>
                <w:rtl/>
              </w:rPr>
              <w:t xml:space="preserve"> رَبِّكِ رَاضِيَةً مَّرْضِيَّةً ﴾</w:t>
            </w:r>
          </w:p>
          <w:p w14:paraId="390D0A0E" w14:textId="77777777" w:rsidR="00E67DF0" w:rsidRDefault="00000000">
            <w:pPr>
              <w:jc w:val="center"/>
            </w:pPr>
            <w:r>
              <w:rPr>
                <w:rFonts w:ascii="Traditional Arabic" w:eastAsia="Traditional Arabic" w:hAnsi="Traditional Arabic" w:cs="Traditional Arabic"/>
                <w:i/>
                <w:iCs/>
                <w:color w:val="0F6B6B"/>
                <w:sz w:val="22"/>
                <w:szCs w:val="22"/>
                <w:rtl/>
              </w:rPr>
              <w:t>سورة الفجر: ٢٧–٢٨</w:t>
            </w:r>
          </w:p>
        </w:tc>
      </w:tr>
    </w:tbl>
    <w:p w14:paraId="0A3D0D5C"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وحين يخبرنا جهاز تخطيط الدماغ أن القرآن يزيد من موجات ألفا، فهو في الحقيقة يقيس، بموضوعية إحصائية، معطى فيزيولوجياً موازياً لما وصفه القرآن بانشراح الصدر في قوله: ﴿فَمَن يُرِدِ اللَّهُ أَن يَهْدِيَهُ يَشْرَحْ صَدْرَهُ لِلْإِسْلَامِ﴾ [الأنعام: ١٢٥]. إنها اللحظة التي تنزل فيها السكينة على القلب، فيهدأ الجهاز </w:t>
      </w:r>
      <w:proofErr w:type="spellStart"/>
      <w:r>
        <w:rPr>
          <w:rFonts w:ascii="Traditional Arabic" w:eastAsia="Traditional Arabic" w:hAnsi="Traditional Arabic" w:cs="Traditional Arabic"/>
          <w:color w:val="1A1A1A"/>
          <w:sz w:val="26"/>
          <w:szCs w:val="26"/>
          <w:rtl/>
        </w:rPr>
        <w:t>السمبثاوي</w:t>
      </w:r>
      <w:proofErr w:type="spellEnd"/>
      <w:r>
        <w:rPr>
          <w:rFonts w:ascii="Traditional Arabic" w:eastAsia="Traditional Arabic" w:hAnsi="Traditional Arabic" w:cs="Traditional Arabic"/>
          <w:color w:val="1A1A1A"/>
          <w:sz w:val="26"/>
          <w:szCs w:val="26"/>
          <w:rtl/>
        </w:rPr>
        <w:t xml:space="preserve"> المسؤول عن استجابة القلق والتوتر، ويسود الجهاز </w:t>
      </w:r>
      <w:proofErr w:type="spellStart"/>
      <w:r>
        <w:rPr>
          <w:rFonts w:ascii="Traditional Arabic" w:eastAsia="Traditional Arabic" w:hAnsi="Traditional Arabic" w:cs="Traditional Arabic"/>
          <w:color w:val="1A1A1A"/>
          <w:sz w:val="26"/>
          <w:szCs w:val="26"/>
          <w:rtl/>
        </w:rPr>
        <w:t>الباراسمبثاوي</w:t>
      </w:r>
      <w:proofErr w:type="spellEnd"/>
      <w:r>
        <w:rPr>
          <w:rFonts w:ascii="Traditional Arabic" w:eastAsia="Traditional Arabic" w:hAnsi="Traditional Arabic" w:cs="Traditional Arabic"/>
          <w:color w:val="1A1A1A"/>
          <w:sz w:val="26"/>
          <w:szCs w:val="26"/>
          <w:rtl/>
        </w:rPr>
        <w:t xml:space="preserve"> المسؤول عن الراحة والترميم الخلوي، في تناغم فيزيولوجي دقيق بين ما يُقاس مخبرياً وما يُوصف قرآنياً.</w:t>
      </w:r>
    </w:p>
    <w:p w14:paraId="63362975"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ومن زاوية تشريحية أدق، تجدر الإشارة إلى أن ارتفاع ألفا في هذا السياق لا يقتصر على الفصوص </w:t>
      </w:r>
      <w:proofErr w:type="spellStart"/>
      <w:r>
        <w:rPr>
          <w:rFonts w:ascii="Traditional Arabic" w:eastAsia="Traditional Arabic" w:hAnsi="Traditional Arabic" w:cs="Traditional Arabic"/>
          <w:color w:val="1A1A1A"/>
          <w:sz w:val="26"/>
          <w:szCs w:val="26"/>
          <w:rtl/>
        </w:rPr>
        <w:t>القذالية</w:t>
      </w:r>
      <w:proofErr w:type="spellEnd"/>
      <w:r>
        <w:rPr>
          <w:rFonts w:ascii="Traditional Arabic" w:eastAsia="Traditional Arabic" w:hAnsi="Traditional Arabic" w:cs="Traditional Arabic"/>
          <w:color w:val="1A1A1A"/>
          <w:sz w:val="26"/>
          <w:szCs w:val="26"/>
          <w:rtl/>
        </w:rPr>
        <w:t xml:space="preserve"> وحدها، بل يمتد — بحسب بعض القراءات التخطيطية — إلى القشرة </w:t>
      </w:r>
      <w:proofErr w:type="spellStart"/>
      <w:r>
        <w:rPr>
          <w:rFonts w:ascii="Traditional Arabic" w:eastAsia="Traditional Arabic" w:hAnsi="Traditional Arabic" w:cs="Traditional Arabic"/>
          <w:color w:val="1A1A1A"/>
          <w:sz w:val="26"/>
          <w:szCs w:val="26"/>
          <w:rtl/>
        </w:rPr>
        <w:t>الجبهية</w:t>
      </w:r>
      <w:proofErr w:type="spellEnd"/>
      <w:r>
        <w:rPr>
          <w:rFonts w:ascii="Traditional Arabic" w:eastAsia="Traditional Arabic" w:hAnsi="Traditional Arabic" w:cs="Traditional Arabic"/>
          <w:color w:val="1A1A1A"/>
          <w:sz w:val="26"/>
          <w:szCs w:val="26"/>
          <w:rtl/>
        </w:rPr>
        <w:t xml:space="preserve"> الأمامية، وهي منطقة ترتبط وظيفياً بالتنظيم الانفعالي العلوي (</w:t>
      </w:r>
      <w:proofErr w:type="spellStart"/>
      <w:r>
        <w:rPr>
          <w:rFonts w:ascii="Traditional Arabic" w:eastAsia="Traditional Arabic" w:hAnsi="Traditional Arabic" w:cs="Traditional Arabic"/>
          <w:color w:val="1A1A1A"/>
          <w:sz w:val="26"/>
          <w:szCs w:val="26"/>
          <w:rtl/>
        </w:rPr>
        <w:t>Top-down</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Emotional</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Regulation</w:t>
      </w:r>
      <w:proofErr w:type="spellEnd"/>
      <w:r>
        <w:rPr>
          <w:rFonts w:ascii="Traditional Arabic" w:eastAsia="Traditional Arabic" w:hAnsi="Traditional Arabic" w:cs="Traditional Arabic"/>
          <w:color w:val="1A1A1A"/>
          <w:sz w:val="26"/>
          <w:szCs w:val="26"/>
          <w:rtl/>
        </w:rPr>
        <w:t>)؛ وهذا الامتداد يمنح تفعيل «الضلع الثامن» بعداً إضافياً: فالسكينة المستجلبة بالترتيل ليست تخديراً حسياً سلبياً، بل حالة تنظيمية نشطة تعيد للعقل الواعي قدرته على ضبط الانفعال، لا أن تُغيّبه عنه.</w:t>
      </w:r>
    </w:p>
    <w:p w14:paraId="2FE15FB2"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١.٢ موجات بيتا وتثبيط الضلع السابع (شيطان ← أمّارة)</w:t>
      </w:r>
    </w:p>
    <w:p w14:paraId="7421029B"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في المقابل، تشير الدراسات إلى أن الترتيل يُقلل من موجات بيتا، وهي الموجات ذات التردد الأعلى (١٣–٣٠ هرتز) المرتبطة باليقظة النشطة والتفكير المنطقي التحليلي، والتي تصاحب — في مستوياتها المرتفعة بصفة خاصة — حالات القلق والتوتر والخوف والاجترار الفكري القهري. وهذا الانخفاض في بيتا يُقرأ، من منظور علم النفس الاستخلافي، بوصفه تثبيطاً وظيفياً لـ«الضلع السابع» (من مسار الوسوسة الشيطانية إلى تضخم النفس الأمّارة).</w:t>
      </w:r>
    </w:p>
    <w:p w14:paraId="316DF76F"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و«الضلع السابع»، كما يُعرَّف في هذا الإطار، هو مسار تضخيم الخوف والقلق وجلد الذات، وهو المحرك الأساسي — من الناحية الإكلينيكية — لاضطرابات الوسواس القهري والقلق المعمم. وحين يُخفض الترتيل من موجات بيتا، فهو حرفياً يُسكت ما يمكن تسميته بـ«الأنا الأعلى القاسية» (</w:t>
      </w:r>
      <w:proofErr w:type="spellStart"/>
      <w:r>
        <w:rPr>
          <w:rFonts w:ascii="Traditional Arabic" w:eastAsia="Traditional Arabic" w:hAnsi="Traditional Arabic" w:cs="Traditional Arabic"/>
          <w:color w:val="1A1A1A"/>
          <w:sz w:val="26"/>
          <w:szCs w:val="26"/>
          <w:rtl/>
        </w:rPr>
        <w:t>Harsh</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Superego</w:t>
      </w:r>
      <w:proofErr w:type="spellEnd"/>
      <w:r>
        <w:rPr>
          <w:rFonts w:ascii="Traditional Arabic" w:eastAsia="Traditional Arabic" w:hAnsi="Traditional Arabic" w:cs="Traditional Arabic"/>
          <w:color w:val="1A1A1A"/>
          <w:sz w:val="26"/>
          <w:szCs w:val="26"/>
          <w:rtl/>
        </w:rPr>
        <w:t>)، ويفك دوامة الندم المحتجز، ويحرر النفس — ولو مؤقتاً — من سجن الخوف المرَضي.</w:t>
      </w:r>
    </w:p>
    <w:p w14:paraId="62BA3237"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وتتقاطع هذه القراءة بعمق مع تحليل ابن القيم الجوزية الدقيق للخوف المرضي المعطِّل في كتابه إغاثة اللهفان من مصايد الشيطان، حيث ميّز تمييزاً بالغ الدقة بين خوف واقٍ (خوف الرجاء) يحفظ العبد ويردعه عن المعصية دون أن يُقعده عن العمل، وخوف مرَضي (خوف اليأس) يُقعد صاحبه ويُغرقه في دوامة الاجترار والندم العقيم دون طريق للخروج منها. وهذا التمييز الكلاسيكي الدقيق، الذي سبق التمييز السريري المعاصر بين القلق التكيّفي والقلق </w:t>
      </w:r>
      <w:proofErr w:type="spellStart"/>
      <w:r>
        <w:rPr>
          <w:rFonts w:ascii="Traditional Arabic" w:eastAsia="Traditional Arabic" w:hAnsi="Traditional Arabic" w:cs="Traditional Arabic"/>
          <w:color w:val="1A1A1A"/>
          <w:sz w:val="26"/>
          <w:szCs w:val="26"/>
          <w:rtl/>
        </w:rPr>
        <w:t>الاضطرابي</w:t>
      </w:r>
      <w:proofErr w:type="spellEnd"/>
      <w:r>
        <w:rPr>
          <w:rFonts w:ascii="Traditional Arabic" w:eastAsia="Traditional Arabic" w:hAnsi="Traditional Arabic" w:cs="Traditional Arabic"/>
          <w:color w:val="1A1A1A"/>
          <w:sz w:val="26"/>
          <w:szCs w:val="26"/>
          <w:rtl/>
        </w:rPr>
        <w:t xml:space="preserve"> بقرون، يكتسب اليوم إمكانية رصد فيزيولوجي مباشر عبر موجات بيتا، بما يفتح الباب أمام تطوير مؤشرات كمية موضوعية تُميّز الخوف الوقائي عن الخوف </w:t>
      </w:r>
      <w:proofErr w:type="spellStart"/>
      <w:r>
        <w:rPr>
          <w:rFonts w:ascii="Traditional Arabic" w:eastAsia="Traditional Arabic" w:hAnsi="Traditional Arabic" w:cs="Traditional Arabic"/>
          <w:color w:val="1A1A1A"/>
          <w:sz w:val="26"/>
          <w:szCs w:val="26"/>
          <w:rtl/>
        </w:rPr>
        <w:t>الاضطرابي</w:t>
      </w:r>
      <w:proofErr w:type="spellEnd"/>
      <w:r>
        <w:rPr>
          <w:rFonts w:ascii="Traditional Arabic" w:eastAsia="Traditional Arabic" w:hAnsi="Traditional Arabic" w:cs="Traditional Arabic"/>
          <w:color w:val="1A1A1A"/>
          <w:sz w:val="26"/>
          <w:szCs w:val="26"/>
          <w:rtl/>
        </w:rPr>
        <w:t xml:space="preserve"> ضمن السلم التشخيصي لبروتوكول العلاج بحرث المصالحة التحويلية (TLRT).</w:t>
      </w:r>
    </w:p>
    <w:p w14:paraId="1C256078"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 xml:space="preserve">١.٣ موجات </w:t>
      </w:r>
      <w:proofErr w:type="spellStart"/>
      <w:r>
        <w:rPr>
          <w:rFonts w:ascii="Traditional Arabic" w:eastAsia="Traditional Arabic" w:hAnsi="Traditional Arabic" w:cs="Traditional Arabic"/>
          <w:b/>
          <w:bCs/>
          <w:color w:val="0F6B6B"/>
          <w:sz w:val="29"/>
          <w:szCs w:val="29"/>
          <w:rtl/>
        </w:rPr>
        <w:t>ثيتا</w:t>
      </w:r>
      <w:proofErr w:type="spellEnd"/>
      <w:r>
        <w:rPr>
          <w:rFonts w:ascii="Traditional Arabic" w:eastAsia="Traditional Arabic" w:hAnsi="Traditional Arabic" w:cs="Traditional Arabic"/>
          <w:b/>
          <w:bCs/>
          <w:color w:val="0F6B6B"/>
          <w:sz w:val="29"/>
          <w:szCs w:val="29"/>
          <w:rtl/>
        </w:rPr>
        <w:t xml:space="preserve"> وغاما والتكامل العصبي: تفعيل الضلعين الخامس والرابع</w:t>
      </w:r>
    </w:p>
    <w:p w14:paraId="60F29211"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أما زيادة موجات </w:t>
      </w:r>
      <w:proofErr w:type="spellStart"/>
      <w:r>
        <w:rPr>
          <w:rFonts w:ascii="Traditional Arabic" w:eastAsia="Traditional Arabic" w:hAnsi="Traditional Arabic" w:cs="Traditional Arabic"/>
          <w:color w:val="1A1A1A"/>
          <w:sz w:val="26"/>
          <w:szCs w:val="26"/>
          <w:rtl/>
        </w:rPr>
        <w:t>ثيتا</w:t>
      </w:r>
      <w:proofErr w:type="spellEnd"/>
      <w:r>
        <w:rPr>
          <w:rFonts w:ascii="Traditional Arabic" w:eastAsia="Traditional Arabic" w:hAnsi="Traditional Arabic" w:cs="Traditional Arabic"/>
          <w:color w:val="1A1A1A"/>
          <w:sz w:val="26"/>
          <w:szCs w:val="26"/>
          <w:rtl/>
        </w:rPr>
        <w:t xml:space="preserve"> (٤–٨ هرتز)، خاصة أثناء الترتيل النشط، وظهور موجات غاما المنخفضة (٣٠ هرتز فأعلى)، خاصة أثناء الاستماع المتدبّر، فتُفسَّران في علم النفس الاستخلافي بوصفهما تعبيراً عن «التكامل العصبي» (</w:t>
      </w:r>
      <w:proofErr w:type="spellStart"/>
      <w:r>
        <w:rPr>
          <w:rFonts w:ascii="Traditional Arabic" w:eastAsia="Traditional Arabic" w:hAnsi="Traditional Arabic" w:cs="Traditional Arabic"/>
          <w:color w:val="1A1A1A"/>
          <w:sz w:val="26"/>
          <w:szCs w:val="26"/>
          <w:rtl/>
        </w:rPr>
        <w:t>Neural</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Integration</w:t>
      </w:r>
      <w:proofErr w:type="spellEnd"/>
      <w:r>
        <w:rPr>
          <w:rFonts w:ascii="Traditional Arabic" w:eastAsia="Traditional Arabic" w:hAnsi="Traditional Arabic" w:cs="Traditional Arabic"/>
          <w:color w:val="1A1A1A"/>
          <w:sz w:val="26"/>
          <w:szCs w:val="26"/>
          <w:rtl/>
        </w:rPr>
        <w:t>) الذي يتحقق عبر تفعيل «الضلع الخامس» (أمّارة ← لوّامة) و«الضلع الرابع» (لوّامة ← مطمئنة) معاً.</w:t>
      </w:r>
    </w:p>
    <w:p w14:paraId="54DA7209" w14:textId="77777777" w:rsidR="00E67DF0" w:rsidRDefault="00000000">
      <w:pPr>
        <w:spacing w:before="240" w:after="140"/>
        <w:jc w:val="right"/>
      </w:pPr>
      <w:r>
        <w:rPr>
          <w:rFonts w:ascii="Traditional Arabic" w:eastAsia="Traditional Arabic" w:hAnsi="Traditional Arabic" w:cs="Traditional Arabic"/>
          <w:b/>
          <w:bCs/>
          <w:color w:val="B8860B"/>
          <w:sz w:val="27"/>
          <w:szCs w:val="27"/>
          <w:rtl/>
        </w:rPr>
        <w:t xml:space="preserve">أ. موجات </w:t>
      </w:r>
      <w:proofErr w:type="spellStart"/>
      <w:r>
        <w:rPr>
          <w:rFonts w:ascii="Traditional Arabic" w:eastAsia="Traditional Arabic" w:hAnsi="Traditional Arabic" w:cs="Traditional Arabic"/>
          <w:b/>
          <w:bCs/>
          <w:color w:val="B8860B"/>
          <w:sz w:val="27"/>
          <w:szCs w:val="27"/>
          <w:rtl/>
        </w:rPr>
        <w:t>ثيتا</w:t>
      </w:r>
      <w:proofErr w:type="spellEnd"/>
      <w:r>
        <w:rPr>
          <w:rFonts w:ascii="Traditional Arabic" w:eastAsia="Traditional Arabic" w:hAnsi="Traditional Arabic" w:cs="Traditional Arabic"/>
          <w:b/>
          <w:bCs/>
          <w:color w:val="B8860B"/>
          <w:sz w:val="27"/>
          <w:szCs w:val="27"/>
          <w:rtl/>
        </w:rPr>
        <w:t xml:space="preserve"> والضلع الخامس (أمّارة ← لوّامة)</w:t>
      </w:r>
    </w:p>
    <w:p w14:paraId="5B55B7A2"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الترتيل النشط، الذي يتطلب تحكماً تنفسياً دقيقاً وحركات نطقية معقدة واستحضاراً واعياً للمعنى، يزيد من موجات </w:t>
      </w:r>
      <w:proofErr w:type="spellStart"/>
      <w:r>
        <w:rPr>
          <w:rFonts w:ascii="Traditional Arabic" w:eastAsia="Traditional Arabic" w:hAnsi="Traditional Arabic" w:cs="Traditional Arabic"/>
          <w:color w:val="1A1A1A"/>
          <w:sz w:val="26"/>
          <w:szCs w:val="26"/>
          <w:rtl/>
        </w:rPr>
        <w:t>ثيتا</w:t>
      </w:r>
      <w:proofErr w:type="spellEnd"/>
      <w:r>
        <w:rPr>
          <w:rFonts w:ascii="Traditional Arabic" w:eastAsia="Traditional Arabic" w:hAnsi="Traditional Arabic" w:cs="Traditional Arabic"/>
          <w:color w:val="1A1A1A"/>
          <w:sz w:val="26"/>
          <w:szCs w:val="26"/>
          <w:rtl/>
        </w:rPr>
        <w:t xml:space="preserve"> في الفص الجبهي، كما وثّقته دراسة جليل وغزالي وإبراهيم وزين الدين (٢٠١٦). وثيتا، في علم الأعصاب، ترتبط بالتأمل العميق والإبداع والحالة الوسيطة بين اليقظة التامة والنوم الخفيف. وفي النموذج الاستخلافي، هذه هي بعينها حالة «النفس اللوّامة» اليقظة: حارس داخلي، ومركز محاسبة، وتأمل في الذات وأفعالها؛ إنها صحوة الضمير التي تبدأ بالندم والتوبة، وتنتهي بالعزم والإصلاح — وهي الحالة الوظيفية التي أسّس لها المحاسبي منهجاً كاملاً في «الرعاية لحقوق الله» قبل اثني عشر قرناً من اختراع أجهزة تخطيط الدماغ.</w:t>
      </w:r>
    </w:p>
    <w:p w14:paraId="02729F11" w14:textId="77777777" w:rsidR="00E67DF0" w:rsidRDefault="00000000">
      <w:pPr>
        <w:spacing w:before="240" w:after="140"/>
        <w:jc w:val="right"/>
      </w:pPr>
      <w:r>
        <w:rPr>
          <w:rFonts w:ascii="Traditional Arabic" w:eastAsia="Traditional Arabic" w:hAnsi="Traditional Arabic" w:cs="Traditional Arabic"/>
          <w:b/>
          <w:bCs/>
          <w:color w:val="B8860B"/>
          <w:sz w:val="27"/>
          <w:szCs w:val="27"/>
          <w:rtl/>
        </w:rPr>
        <w:t>ب. موجات غاما والضلع الرابع (لوّامة ← مطمئنة)</w:t>
      </w:r>
    </w:p>
    <w:p w14:paraId="024D0128"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أما ظهور غاما المنخفضة في التلفيف الجبهي الأوسط، فيشير إلى عمليات انتباه وتركيز عالي على المعنى. وهذا، في النموذج الاستخلافي، هو تفعيل «الضلع الرابع»: التزكية والمجاهدة والرسوخ الوجودي. إنها لحظة التكامل التي يجتمع فيها الانتباه المركّز (غاما) مع السكينة </w:t>
      </w:r>
      <w:proofErr w:type="spellStart"/>
      <w:r>
        <w:rPr>
          <w:rFonts w:ascii="Traditional Arabic" w:eastAsia="Traditional Arabic" w:hAnsi="Traditional Arabic" w:cs="Traditional Arabic"/>
          <w:color w:val="1A1A1A"/>
          <w:sz w:val="26"/>
          <w:szCs w:val="26"/>
          <w:rtl/>
        </w:rPr>
        <w:t>الاسترخائية</w:t>
      </w:r>
      <w:proofErr w:type="spellEnd"/>
      <w:r>
        <w:rPr>
          <w:rFonts w:ascii="Traditional Arabic" w:eastAsia="Traditional Arabic" w:hAnsi="Traditional Arabic" w:cs="Traditional Arabic"/>
          <w:color w:val="1A1A1A"/>
          <w:sz w:val="26"/>
          <w:szCs w:val="26"/>
          <w:rtl/>
        </w:rPr>
        <w:t xml:space="preserve"> (ألفا)، فتتحقق حالة مركّبة يسميها علم الأعصاب المعاصر «اليقظة الهادئة» (</w:t>
      </w:r>
      <w:proofErr w:type="spellStart"/>
      <w:r>
        <w:rPr>
          <w:rFonts w:ascii="Traditional Arabic" w:eastAsia="Traditional Arabic" w:hAnsi="Traditional Arabic" w:cs="Traditional Arabic"/>
          <w:color w:val="1A1A1A"/>
          <w:sz w:val="26"/>
          <w:szCs w:val="26"/>
          <w:rtl/>
        </w:rPr>
        <w:t>Calm</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Alertness</w:t>
      </w:r>
      <w:proofErr w:type="spellEnd"/>
      <w:r>
        <w:rPr>
          <w:rFonts w:ascii="Traditional Arabic" w:eastAsia="Traditional Arabic" w:hAnsi="Traditional Arabic" w:cs="Traditional Arabic"/>
          <w:color w:val="1A1A1A"/>
          <w:sz w:val="26"/>
          <w:szCs w:val="26"/>
          <w:rtl/>
        </w:rPr>
        <w:t>)، وهي بعينها الحالة التي وصفها الغزالي في «الإحياء» بأنها ذروة استواء القلب، حين تجتمع فيه اليقظة التامة مع الطمأنينة التامة دون أن يطغى أحدهما على الآخر.</w:t>
      </w:r>
    </w:p>
    <w:p w14:paraId="5F3214ED" w14:textId="77777777" w:rsidR="00E67DF0" w:rsidRDefault="00000000">
      <w:pPr>
        <w:spacing w:before="240" w:after="140"/>
        <w:jc w:val="right"/>
      </w:pPr>
      <w:r>
        <w:rPr>
          <w:rFonts w:ascii="Traditional Arabic" w:eastAsia="Traditional Arabic" w:hAnsi="Traditional Arabic" w:cs="Traditional Arabic"/>
          <w:b/>
          <w:bCs/>
          <w:color w:val="B8860B"/>
          <w:sz w:val="27"/>
          <w:szCs w:val="27"/>
          <w:rtl/>
        </w:rPr>
        <w:t>ج. خلاصة تركيبية للفصل الأول</w:t>
      </w:r>
    </w:p>
    <w:p w14:paraId="1F59BE2F"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يمكن تلخيص العلاقة التي يقيمها هذا الفصل بين الأضلاع الأربعة المرصودة عصبياً (الرابع والخامس والسابع والثامن) والموجات الدماغية المقابلة لها بوصفها خريطة تكاملية واحدة: فبينما يعمل الضلعان السابع والثامن على محور «التهدئة والتحرير» (تثبيط بيتا وتفعيل ألفا)، يعمل الضلعان الخامس والرابع على محور «اليقظة والتكامل» (تفعيل </w:t>
      </w:r>
      <w:proofErr w:type="spellStart"/>
      <w:r>
        <w:rPr>
          <w:rFonts w:ascii="Traditional Arabic" w:eastAsia="Traditional Arabic" w:hAnsi="Traditional Arabic" w:cs="Traditional Arabic"/>
          <w:color w:val="1A1A1A"/>
          <w:sz w:val="26"/>
          <w:szCs w:val="26"/>
          <w:rtl/>
        </w:rPr>
        <w:t>ثيتا</w:t>
      </w:r>
      <w:proofErr w:type="spellEnd"/>
      <w:r>
        <w:rPr>
          <w:rFonts w:ascii="Traditional Arabic" w:eastAsia="Traditional Arabic" w:hAnsi="Traditional Arabic" w:cs="Traditional Arabic"/>
          <w:color w:val="1A1A1A"/>
          <w:sz w:val="26"/>
          <w:szCs w:val="26"/>
          <w:rtl/>
        </w:rPr>
        <w:t xml:space="preserve"> وغاما)، ليجتمع المحوران معاً في حالة نهائية واحدة هي مقام النفس المطمئنة: نفس متيقظة غير غافلة، ومطمئنة غير قلقة، في آن واحد — وهو تناغم لا يبدو متاحاً بسهولة لأطر علاجية تفصل بين تقنيات «التهدئة» وتقنيات «اليقظة الذهنية» كمسارين منفصلين، بينما يقدمهما الترتيل، من منظور استخلافي، فعلاً واحداً متكاملاً.</w:t>
      </w:r>
    </w:p>
    <w:p w14:paraId="50E1C719" w14:textId="77777777" w:rsidR="00E67DF0" w:rsidRDefault="00000000">
      <w:pPr>
        <w:pStyle w:val="1"/>
        <w:pBdr>
          <w:bottom w:val="single" w:sz="8" w:space="6" w:color="B8860B"/>
        </w:pBdr>
        <w:bidi/>
        <w:spacing w:before="480" w:after="260"/>
        <w:jc w:val="right"/>
      </w:pPr>
      <w:r>
        <w:rPr>
          <w:rFonts w:ascii="Traditional Arabic" w:eastAsia="Traditional Arabic" w:hAnsi="Traditional Arabic" w:cs="Traditional Arabic"/>
          <w:b/>
          <w:bCs/>
          <w:color w:val="1B2A4A"/>
          <w:sz w:val="34"/>
          <w:szCs w:val="34"/>
          <w:rtl/>
        </w:rPr>
        <w:t>الفصل الثاني: الترتيل والعصب المبهم — تفعيل الضلع الثامن عبر تقنية التنفس</w:t>
      </w:r>
    </w:p>
    <w:p w14:paraId="009FE280"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 xml:space="preserve">٢.١ نظرية </w:t>
      </w:r>
      <w:proofErr w:type="spellStart"/>
      <w:r>
        <w:rPr>
          <w:rFonts w:ascii="Traditional Arabic" w:eastAsia="Traditional Arabic" w:hAnsi="Traditional Arabic" w:cs="Traditional Arabic"/>
          <w:b/>
          <w:bCs/>
          <w:color w:val="0F6B6B"/>
          <w:sz w:val="29"/>
          <w:szCs w:val="29"/>
          <w:rtl/>
        </w:rPr>
        <w:t>بوليفاغال</w:t>
      </w:r>
      <w:proofErr w:type="spellEnd"/>
      <w:r>
        <w:rPr>
          <w:rFonts w:ascii="Traditional Arabic" w:eastAsia="Traditional Arabic" w:hAnsi="Traditional Arabic" w:cs="Traditional Arabic"/>
          <w:b/>
          <w:bCs/>
          <w:color w:val="0F6B6B"/>
          <w:sz w:val="29"/>
          <w:szCs w:val="29"/>
          <w:rtl/>
        </w:rPr>
        <w:t xml:space="preserve"> </w:t>
      </w:r>
      <w:proofErr w:type="spellStart"/>
      <w:r>
        <w:rPr>
          <w:rFonts w:ascii="Traditional Arabic" w:eastAsia="Traditional Arabic" w:hAnsi="Traditional Arabic" w:cs="Traditional Arabic"/>
          <w:b/>
          <w:bCs/>
          <w:color w:val="0F6B6B"/>
          <w:sz w:val="29"/>
          <w:szCs w:val="29"/>
          <w:rtl/>
        </w:rPr>
        <w:t>والاستخلاف</w:t>
      </w:r>
      <w:proofErr w:type="spellEnd"/>
      <w:r>
        <w:rPr>
          <w:rFonts w:ascii="Traditional Arabic" w:eastAsia="Traditional Arabic" w:hAnsi="Traditional Arabic" w:cs="Traditional Arabic"/>
          <w:b/>
          <w:bCs/>
          <w:color w:val="0F6B6B"/>
          <w:sz w:val="29"/>
          <w:szCs w:val="29"/>
          <w:rtl/>
        </w:rPr>
        <w:t>: من التهدئة إلى السكينة</w:t>
      </w:r>
    </w:p>
    <w:p w14:paraId="10C108DE"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توظف الدراسة الأصلية نظرية </w:t>
      </w:r>
      <w:proofErr w:type="spellStart"/>
      <w:r>
        <w:rPr>
          <w:rFonts w:ascii="Traditional Arabic" w:eastAsia="Traditional Arabic" w:hAnsi="Traditional Arabic" w:cs="Traditional Arabic"/>
          <w:color w:val="1A1A1A"/>
          <w:sz w:val="26"/>
          <w:szCs w:val="26"/>
          <w:rtl/>
        </w:rPr>
        <w:t>بوليفاغال</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Polyvagal</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Theory</w:t>
      </w:r>
      <w:proofErr w:type="spellEnd"/>
      <w:r>
        <w:rPr>
          <w:rFonts w:ascii="Traditional Arabic" w:eastAsia="Traditional Arabic" w:hAnsi="Traditional Arabic" w:cs="Traditional Arabic"/>
          <w:color w:val="1A1A1A"/>
          <w:sz w:val="26"/>
          <w:szCs w:val="26"/>
          <w:rtl/>
        </w:rPr>
        <w:t xml:space="preserve">) التي طوّرها عالم الأعصاب ستيفن </w:t>
      </w:r>
      <w:proofErr w:type="spellStart"/>
      <w:r>
        <w:rPr>
          <w:rFonts w:ascii="Traditional Arabic" w:eastAsia="Traditional Arabic" w:hAnsi="Traditional Arabic" w:cs="Traditional Arabic"/>
          <w:color w:val="1A1A1A"/>
          <w:sz w:val="26"/>
          <w:szCs w:val="26"/>
          <w:rtl/>
        </w:rPr>
        <w:t>بورجس</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Porges</w:t>
      </w:r>
      <w:proofErr w:type="spellEnd"/>
      <w:r>
        <w:rPr>
          <w:rFonts w:ascii="Traditional Arabic" w:eastAsia="Traditional Arabic" w:hAnsi="Traditional Arabic" w:cs="Traditional Arabic"/>
          <w:color w:val="1A1A1A"/>
          <w:sz w:val="26"/>
          <w:szCs w:val="26"/>
          <w:rtl/>
        </w:rPr>
        <w:t>, 2011) لتفسير كيف أن الترتيل، بما يصاحبه من تنفس عميق منتظم، ينشّط الفرع البطني للعصب المبهم (</w:t>
      </w:r>
      <w:proofErr w:type="spellStart"/>
      <w:r>
        <w:rPr>
          <w:rFonts w:ascii="Traditional Arabic" w:eastAsia="Traditional Arabic" w:hAnsi="Traditional Arabic" w:cs="Traditional Arabic"/>
          <w:color w:val="1A1A1A"/>
          <w:sz w:val="26"/>
          <w:szCs w:val="26"/>
          <w:rtl/>
        </w:rPr>
        <w:t>Ventral</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Vagal</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Complex</w:t>
      </w:r>
      <w:proofErr w:type="spellEnd"/>
      <w:r>
        <w:rPr>
          <w:rFonts w:ascii="Traditional Arabic" w:eastAsia="Traditional Arabic" w:hAnsi="Traditional Arabic" w:cs="Traditional Arabic"/>
          <w:color w:val="1A1A1A"/>
          <w:sz w:val="26"/>
          <w:szCs w:val="26"/>
          <w:rtl/>
        </w:rPr>
        <w:t xml:space="preserve">)، مما يثبط استجابة الجهاز </w:t>
      </w:r>
      <w:proofErr w:type="spellStart"/>
      <w:r>
        <w:rPr>
          <w:rFonts w:ascii="Traditional Arabic" w:eastAsia="Traditional Arabic" w:hAnsi="Traditional Arabic" w:cs="Traditional Arabic"/>
          <w:color w:val="1A1A1A"/>
          <w:sz w:val="26"/>
          <w:szCs w:val="26"/>
          <w:rtl/>
        </w:rPr>
        <w:t>السمبثاوي</w:t>
      </w:r>
      <w:proofErr w:type="spellEnd"/>
      <w:r>
        <w:rPr>
          <w:rFonts w:ascii="Traditional Arabic" w:eastAsia="Traditional Arabic" w:hAnsi="Traditional Arabic" w:cs="Traditional Arabic"/>
          <w:color w:val="1A1A1A"/>
          <w:sz w:val="26"/>
          <w:szCs w:val="26"/>
          <w:rtl/>
        </w:rPr>
        <w:t xml:space="preserve"> (القتال أو الهروب) ويعزز حالة الارتباط الاجتماعي الآمن التي يسميها </w:t>
      </w:r>
      <w:proofErr w:type="spellStart"/>
      <w:r>
        <w:rPr>
          <w:rFonts w:ascii="Traditional Arabic" w:eastAsia="Traditional Arabic" w:hAnsi="Traditional Arabic" w:cs="Traditional Arabic"/>
          <w:color w:val="1A1A1A"/>
          <w:sz w:val="26"/>
          <w:szCs w:val="26"/>
          <w:rtl/>
        </w:rPr>
        <w:t>بورجس</w:t>
      </w:r>
      <w:proofErr w:type="spellEnd"/>
      <w:r>
        <w:rPr>
          <w:rFonts w:ascii="Traditional Arabic" w:eastAsia="Traditional Arabic" w:hAnsi="Traditional Arabic" w:cs="Traditional Arabic"/>
          <w:color w:val="1A1A1A"/>
          <w:sz w:val="26"/>
          <w:szCs w:val="26"/>
          <w:rtl/>
        </w:rPr>
        <w:t xml:space="preserve"> «نظام الارتباط» (</w:t>
      </w:r>
      <w:proofErr w:type="spellStart"/>
      <w:r>
        <w:rPr>
          <w:rFonts w:ascii="Traditional Arabic" w:eastAsia="Traditional Arabic" w:hAnsi="Traditional Arabic" w:cs="Traditional Arabic"/>
          <w:color w:val="1A1A1A"/>
          <w:sz w:val="26"/>
          <w:szCs w:val="26"/>
          <w:rtl/>
        </w:rPr>
        <w:t>Social</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Engagement</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System</w:t>
      </w:r>
      <w:proofErr w:type="spellEnd"/>
      <w:r>
        <w:rPr>
          <w:rFonts w:ascii="Traditional Arabic" w:eastAsia="Traditional Arabic" w:hAnsi="Traditional Arabic" w:cs="Traditional Arabic"/>
          <w:color w:val="1A1A1A"/>
          <w:sz w:val="26"/>
          <w:szCs w:val="26"/>
          <w:rtl/>
        </w:rPr>
        <w:t>). وهذه الآلية، من منظور علم النفس الاستخلافي، هي الترجمة الفسيولوجية الدقيقة لتفعيل «الضلع الثامن».</w:t>
      </w:r>
    </w:p>
    <w:p w14:paraId="587DE140"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فالذكر والتلاوة، في النموذج الاستخلافي، ليسا مجرد أقوال لسانية، بل أفعال جسدية كاملة الأركان. فالتنفس العميق — خاصة الزفير الطويل الذي تستلزمه أحكام المدود في علم التجويد — هو رسالة جسدية مباشرة للدماغ مفادها أن الخطر قد زال وأن الأمان قد عاد. وهذا «الأمان»، من المنظور الاستخلافي، ليس مجرد غياب للتهديد بالمعنى العصبي المحايد، بل هو حضور للرحمة الإلهية بمعناها الكامل: إنه الثقة بأن الله الودود الرحيم معنا، يسمعنا ويرانا، وهو بالتالي أقوى محفز ممكن للجهاز </w:t>
      </w:r>
      <w:proofErr w:type="spellStart"/>
      <w:r>
        <w:rPr>
          <w:rFonts w:ascii="Traditional Arabic" w:eastAsia="Traditional Arabic" w:hAnsi="Traditional Arabic" w:cs="Traditional Arabic"/>
          <w:color w:val="1A1A1A"/>
          <w:sz w:val="26"/>
          <w:szCs w:val="26"/>
          <w:rtl/>
        </w:rPr>
        <w:t>الباراسمبثاوي</w:t>
      </w:r>
      <w:proofErr w:type="spellEnd"/>
      <w:r>
        <w:rPr>
          <w:rFonts w:ascii="Traditional Arabic" w:eastAsia="Traditional Arabic" w:hAnsi="Traditional Arabic" w:cs="Traditional Arabic"/>
          <w:color w:val="1A1A1A"/>
          <w:sz w:val="26"/>
          <w:szCs w:val="26"/>
          <w:rtl/>
        </w:rPr>
        <w:t>، وأعمق تحقيق ممكن للسكينة القلبية.</w:t>
      </w:r>
    </w:p>
    <w:tbl>
      <w:tblPr>
        <w:tblW w:w="5000" w:type="pct"/>
        <w:tblInd w:w="1" w:type="dxa"/>
        <w:tblBorders>
          <w:top w:val="single" w:sz="6" w:space="0" w:color="0F6B6B"/>
          <w:left w:val="single" w:sz="6" w:space="0" w:color="0F6B6B"/>
          <w:bottom w:val="single" w:sz="6" w:space="0" w:color="0F6B6B"/>
          <w:right w:val="single" w:sz="6" w:space="0" w:color="0F6B6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44"/>
      </w:tblGrid>
      <w:tr w:rsidR="00E67DF0" w14:paraId="72CE3D6A" w14:textId="77777777">
        <w:tblPrEx>
          <w:tblCellMar>
            <w:top w:w="0" w:type="dxa"/>
            <w:bottom w:w="0" w:type="dxa"/>
          </w:tblCellMar>
        </w:tblPrEx>
        <w:tc>
          <w:tcPr>
            <w:tcW w:w="0" w:type="auto"/>
            <w:shd w:val="clear" w:color="auto" w:fill="EAF3F2"/>
            <w:tcMar>
              <w:top w:w="180" w:type="dxa"/>
              <w:left w:w="260" w:type="dxa"/>
              <w:bottom w:w="180" w:type="dxa"/>
              <w:right w:w="260" w:type="dxa"/>
            </w:tcMar>
          </w:tcPr>
          <w:p w14:paraId="703726DB" w14:textId="77777777" w:rsidR="00E67DF0" w:rsidRDefault="00000000">
            <w:pPr>
              <w:spacing w:after="100"/>
              <w:jc w:val="right"/>
            </w:pPr>
            <w:r>
              <w:rPr>
                <w:rFonts w:ascii="Traditional Arabic" w:eastAsia="Traditional Arabic" w:hAnsi="Traditional Arabic" w:cs="Traditional Arabic"/>
                <w:b/>
                <w:bCs/>
                <w:color w:val="0F6B6B"/>
                <w:sz w:val="25"/>
                <w:szCs w:val="25"/>
                <w:rtl/>
              </w:rPr>
              <w:t>ملاحظة تأصيلية</w:t>
            </w:r>
          </w:p>
          <w:p w14:paraId="0EDA968C" w14:textId="77777777" w:rsidR="00E67DF0" w:rsidRDefault="00000000">
            <w:pPr>
              <w:jc w:val="both"/>
            </w:pPr>
            <w:r>
              <w:rPr>
                <w:rFonts w:ascii="Traditional Arabic" w:eastAsia="Traditional Arabic" w:hAnsi="Traditional Arabic" w:cs="Traditional Arabic"/>
                <w:color w:val="1A1A1A"/>
                <w:sz w:val="23"/>
                <w:szCs w:val="23"/>
                <w:rtl/>
              </w:rPr>
              <w:t xml:space="preserve">الفارق الجوهري بين قراءة </w:t>
            </w:r>
            <w:proofErr w:type="spellStart"/>
            <w:r>
              <w:rPr>
                <w:rFonts w:ascii="Traditional Arabic" w:eastAsia="Traditional Arabic" w:hAnsi="Traditional Arabic" w:cs="Traditional Arabic"/>
                <w:color w:val="1A1A1A"/>
                <w:sz w:val="23"/>
                <w:szCs w:val="23"/>
                <w:rtl/>
              </w:rPr>
              <w:t>بورجس</w:t>
            </w:r>
            <w:proofErr w:type="spellEnd"/>
            <w:r>
              <w:rPr>
                <w:rFonts w:ascii="Traditional Arabic" w:eastAsia="Traditional Arabic" w:hAnsi="Traditional Arabic" w:cs="Traditional Arabic"/>
                <w:color w:val="1A1A1A"/>
                <w:sz w:val="23"/>
                <w:szCs w:val="23"/>
                <w:rtl/>
              </w:rPr>
              <w:t xml:space="preserve"> العلمانية لنظام الارتباط الاجتماعي وقراءة علم النفس الاستخلافي لها هو أن </w:t>
            </w:r>
            <w:proofErr w:type="spellStart"/>
            <w:r>
              <w:rPr>
                <w:rFonts w:ascii="Traditional Arabic" w:eastAsia="Traditional Arabic" w:hAnsi="Traditional Arabic" w:cs="Traditional Arabic"/>
                <w:color w:val="1A1A1A"/>
                <w:sz w:val="23"/>
                <w:szCs w:val="23"/>
                <w:rtl/>
              </w:rPr>
              <w:t>بورجس</w:t>
            </w:r>
            <w:proofErr w:type="spellEnd"/>
            <w:r>
              <w:rPr>
                <w:rFonts w:ascii="Traditional Arabic" w:eastAsia="Traditional Arabic" w:hAnsi="Traditional Arabic" w:cs="Traditional Arabic"/>
                <w:color w:val="1A1A1A"/>
                <w:sz w:val="23"/>
                <w:szCs w:val="23"/>
                <w:rtl/>
              </w:rPr>
              <w:t xml:space="preserve"> يُرجع الشعور بالأمان إلى إشارات اجتماعية بشرية (نبرة الصوت، تعبيرات الوجه)، بينما يوسّع الإطار الاستخلافي مصدر هذا الأمان ليشمل «الارتباط» بالمصدر الأعلى للأمان، أي الله سبحانه، بوصفه الأصل الذي تُستمد منه كل طمأنينة اجتماعية-إنسانية لاحقة.</w:t>
            </w:r>
          </w:p>
        </w:tc>
      </w:tr>
    </w:tbl>
    <w:p w14:paraId="6D17136D"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٢.٢ الترتيل والصلاة: إعادة ضبط المصنع الأخلاقي خمس مرات يومياً</w:t>
      </w:r>
    </w:p>
    <w:p w14:paraId="29512978"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يفتح هذا التحليل أفقاً أوسع: إن الصلاة — التي تُعد التلاوة جوهرها الركني — تمثل، في علم النفس الاستخلافي، «إعادة ضبط للمصنع الأخلاقي» (</w:t>
      </w:r>
      <w:proofErr w:type="spellStart"/>
      <w:r>
        <w:rPr>
          <w:rFonts w:ascii="Traditional Arabic" w:eastAsia="Traditional Arabic" w:hAnsi="Traditional Arabic" w:cs="Traditional Arabic"/>
          <w:color w:val="1A1A1A"/>
          <w:sz w:val="26"/>
          <w:szCs w:val="26"/>
          <w:rtl/>
        </w:rPr>
        <w:t>Factory</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Reset</w:t>
      </w:r>
      <w:proofErr w:type="spellEnd"/>
      <w:r>
        <w:rPr>
          <w:rFonts w:ascii="Traditional Arabic" w:eastAsia="Traditional Arabic" w:hAnsi="Traditional Arabic" w:cs="Traditional Arabic"/>
          <w:color w:val="1A1A1A"/>
          <w:sz w:val="26"/>
          <w:szCs w:val="26"/>
          <w:rtl/>
        </w:rPr>
        <w:t>) تتكرر خمس مرات يومياً. فالمسلم، عبر التلاوة والركوع والسجود، يمارس — دون أن يدري بالضرورة البعد العصبي لفعله — جرعة يومية منتظمة من تفعيل «الضلع الثامن» (السكينة) وتثبيط «الضلع السابع» (القلق). وهذا، في التحليل الأخير، هو أحد الأسرار العصبية الكامنة وراء الصحة النفسية والطمأنينة التي وعد الله بها عباده الذاكرين.</w:t>
      </w:r>
    </w:p>
    <w:p w14:paraId="29B0B796"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وتزداد هذه الآلية عمقاً حين نلاحظ أن توزيع أوقات الصلاة الخمس على مدار اليوم — الفجر والظهر والعصر والمغرب والعشاء — يشكّل، من زاوية تنظيمية-عصبية، نمطاً وقائياً موزَّعاً لا نمطاً علاجياً مركّزاً؛ فهو لا ينتظر تراكم القلق إلى مستوى مرضي ليتدخل، بل يعيد ضبط الجهاز العصبي بصورة استباقية منتظمة قبل أن يتراكم الخلل، وهو مبدأ يتقاطع مع ما يسميه الطب الوقائي المعاصر بـ«التدخل </w:t>
      </w:r>
      <w:proofErr w:type="spellStart"/>
      <w:r>
        <w:rPr>
          <w:rFonts w:ascii="Traditional Arabic" w:eastAsia="Traditional Arabic" w:hAnsi="Traditional Arabic" w:cs="Traditional Arabic"/>
          <w:color w:val="1A1A1A"/>
          <w:sz w:val="26"/>
          <w:szCs w:val="26"/>
          <w:rtl/>
        </w:rPr>
        <w:t>الاستباقي</w:t>
      </w:r>
      <w:proofErr w:type="spellEnd"/>
      <w:r>
        <w:rPr>
          <w:rFonts w:ascii="Traditional Arabic" w:eastAsia="Traditional Arabic" w:hAnsi="Traditional Arabic" w:cs="Traditional Arabic"/>
          <w:color w:val="1A1A1A"/>
          <w:sz w:val="26"/>
          <w:szCs w:val="26"/>
          <w:rtl/>
        </w:rPr>
        <w:t xml:space="preserve"> الموزَّع» (</w:t>
      </w:r>
      <w:proofErr w:type="spellStart"/>
      <w:r>
        <w:rPr>
          <w:rFonts w:ascii="Traditional Arabic" w:eastAsia="Traditional Arabic" w:hAnsi="Traditional Arabic" w:cs="Traditional Arabic"/>
          <w:color w:val="1A1A1A"/>
          <w:sz w:val="26"/>
          <w:szCs w:val="26"/>
          <w:rtl/>
        </w:rPr>
        <w:t>Distributed</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Prophylactic</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Intervention</w:t>
      </w:r>
      <w:proofErr w:type="spellEnd"/>
      <w:r>
        <w:rPr>
          <w:rFonts w:ascii="Traditional Arabic" w:eastAsia="Traditional Arabic" w:hAnsi="Traditional Arabic" w:cs="Traditional Arabic"/>
          <w:color w:val="1A1A1A"/>
          <w:sz w:val="26"/>
          <w:szCs w:val="26"/>
          <w:rtl/>
        </w:rPr>
        <w:t>)، لكنه هنا مؤسَّس على أمر تعبدي توقيفي لا على حساب سريري بحت.</w:t>
      </w:r>
    </w:p>
    <w:p w14:paraId="7B7FCAE8"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٢.٣ التنفس التعبدي في العبادات الأخرى: أفق مقارن</w:t>
      </w:r>
    </w:p>
    <w:p w14:paraId="7098292E"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ولا يقتصر تفعيل هذه الآلية التنفسية-العصبية على الصلاة والترتيل وحدهما، بل يمتد — وإن بدرجات متفاوتة تستحق دراسة مستقلة — إلى عبادات أخرى تتضمن تنظيماً تنفسياً أو حركياً إيقاعياً، كالطواف الذي يجمع بين الحركة الإيقاعية المنتظمة والذكر اللساني المتواصل، والسعي بين الصفا والمروة، وتكرار الأذكار المقيدة كتسبيحات الصباح والمساء. وهذا الامتداد يشير إلى أن ما نُحلله في هذه الدراسة، وإن انطلق من الترتيل تحديداً، إنما يكشف عن مبدأ عام أعمق في البنية التعبدية الإسلامية: توظيف الجسد، عبر الإيقاع والتنفس والحركة، بوصفه شريكاً أصيلاً في تحقيق السكينة، لا مجرد وعاء صامت للعقيدة.</w:t>
      </w:r>
    </w:p>
    <w:p w14:paraId="1870B024" w14:textId="77777777" w:rsidR="00E67DF0" w:rsidRDefault="00000000">
      <w:pPr>
        <w:pStyle w:val="1"/>
        <w:pBdr>
          <w:bottom w:val="single" w:sz="8" w:space="6" w:color="B8860B"/>
        </w:pBdr>
        <w:bidi/>
        <w:spacing w:before="480" w:after="260"/>
        <w:jc w:val="right"/>
      </w:pPr>
      <w:r>
        <w:rPr>
          <w:rFonts w:ascii="Traditional Arabic" w:eastAsia="Traditional Arabic" w:hAnsi="Traditional Arabic" w:cs="Traditional Arabic"/>
          <w:b/>
          <w:bCs/>
          <w:color w:val="1B2A4A"/>
          <w:sz w:val="34"/>
          <w:szCs w:val="34"/>
          <w:rtl/>
        </w:rPr>
        <w:t>الفصل الثالث: الدماغ المؤمن وخريطة الدين النفسي — خصوصية القرآن وطاقته</w:t>
      </w:r>
    </w:p>
    <w:p w14:paraId="3622143E"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٣.١ التأثير الإيماني والطاقة الرمزية: القرآن والمعنى</w:t>
      </w:r>
    </w:p>
    <w:p w14:paraId="546F6D15"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تشير الدراسة الأصلية، بأمانة منهجية تستحق الإشادة، إلى محدد هام: لم يتم عزل تأثير «القدسية والإيمان» عن تأثير «الصوت» بحتاً في أغلب التصاميم التجريبية المستعرضة. وهذا، في علم النفس الاستخلافي، ليس محدداً منهجياً يُنتظر تجاوزه بمزيد من الضبط التجريبي فحسب، بل هو، في الحقيقة، جوهر الظاهرة نفسها. فالقرآن، عند المؤمن، ليس مجرد صوت جميل أو محفز صوتي محايد قابل للعزل التجريبي عن دلالته، بل هو، قبل كل شيء، كلام الله وخطابه المباشر إليه، يحمل في نظر المتلقي المؤمن طاقة رمزية وروحية هائلة تجعله مختلفاً نوعياً عن أي صوت آخر، حتى لو تطابقت خصائصه الصوتية الفيزيائية معه تماماً.</w:t>
      </w:r>
    </w:p>
    <w:p w14:paraId="51B8A14F"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وهذه الخصوصية، في النموذج الاستخلافي، يُعبَّر عنها بمفهوم «خريطة الدين النفسي» و«الطاقة الوجودية». فالمؤمن، في خريطة دينه النفسي، يشعر بأنه مدين لله بالاستماع والتدبر والطاعة. وهذا الدين، بدوره، يولّد طاقة وجودية إيجابية تنطلق عند سماع القرآن، وتسهم — بشكل فاعل لا سلبي — في التأثيرات العصبية المقاسة. وهذا، في علم النفس الاستخلافي، هو تفسير ما يُعرف بـ«الشفاء بالقرآن»: ليس الشفاء بمجرد الاهتزازات الصوتية الفيزيائية، بل الشفاء بالطاقة الإيمانية التي يستثيرها كلام الله في نفس المؤمن، وهو ما يستحضر قوله تعالى:</w:t>
      </w:r>
    </w:p>
    <w:tbl>
      <w:tblPr>
        <w:tblW w:w="5000" w:type="pct"/>
        <w:tblInd w:w="1" w:type="dxa"/>
        <w:tblBorders>
          <w:top w:val="single" w:sz="18" w:space="0" w:color="B8860B"/>
          <w:left w:val="single" w:sz="18" w:space="0" w:color="B8860B"/>
          <w:bottom w:val="single" w:sz="18" w:space="0" w:color="B8860B"/>
          <w:right w:val="single" w:sz="18"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14"/>
      </w:tblGrid>
      <w:tr w:rsidR="00E67DF0" w14:paraId="75FAEDDE" w14:textId="77777777">
        <w:tblPrEx>
          <w:tblCellMar>
            <w:top w:w="0" w:type="dxa"/>
            <w:bottom w:w="0" w:type="dxa"/>
          </w:tblCellMar>
        </w:tblPrEx>
        <w:tc>
          <w:tcPr>
            <w:tcW w:w="0" w:type="auto"/>
            <w:shd w:val="clear" w:color="auto" w:fill="F5E6C8"/>
            <w:tcMar>
              <w:top w:w="220" w:type="dxa"/>
              <w:left w:w="300" w:type="dxa"/>
              <w:bottom w:w="220" w:type="dxa"/>
              <w:right w:w="300" w:type="dxa"/>
            </w:tcMar>
          </w:tcPr>
          <w:p w14:paraId="33113602" w14:textId="77777777" w:rsidR="00E67DF0" w:rsidRDefault="00000000">
            <w:pPr>
              <w:spacing w:after="120"/>
              <w:jc w:val="center"/>
            </w:pPr>
            <w:r>
              <w:rPr>
                <w:rFonts w:ascii="Traditional Arabic" w:eastAsia="Traditional Arabic" w:hAnsi="Traditional Arabic" w:cs="Traditional Arabic"/>
                <w:b/>
                <w:bCs/>
                <w:color w:val="1B2A4A"/>
                <w:sz w:val="30"/>
                <w:szCs w:val="30"/>
                <w:rtl/>
              </w:rPr>
              <w:t>﴿ وَنُنَزِّلُ مِنَ الْقُرْآنِ مَا هُوَ شِفَاءٌ وَرَحْمَةٌ لِّلْمُؤْمِنِينَ ﴾</w:t>
            </w:r>
          </w:p>
          <w:p w14:paraId="3651AA31" w14:textId="77777777" w:rsidR="00E67DF0" w:rsidRDefault="00000000">
            <w:pPr>
              <w:jc w:val="center"/>
            </w:pPr>
            <w:r>
              <w:rPr>
                <w:rFonts w:ascii="Traditional Arabic" w:eastAsia="Traditional Arabic" w:hAnsi="Traditional Arabic" w:cs="Traditional Arabic"/>
                <w:i/>
                <w:iCs/>
                <w:color w:val="0F6B6B"/>
                <w:sz w:val="22"/>
                <w:szCs w:val="22"/>
                <w:rtl/>
              </w:rPr>
              <w:t>سورة الإسراء: ٨٢</w:t>
            </w:r>
          </w:p>
        </w:tc>
      </w:tr>
    </w:tbl>
    <w:p w14:paraId="36845635"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ويستحضر هذا الموقف أيضاً قوله تعالى في وصف الأثر الجسدي المباشر لكلامه على الأبدان والقلوب معاً: ﴿اللَّهُ نَزَّلَ أَحْسَنَ الْحَدِيثِ كِتَابًا مُّتَشَابِهًا مَّثَانِيَ تَقْشَعِرُّ مِنْهُ جُلُودُ الَّذِينَ يَخْشَوْنَ رَبَّهُمْ ثُمَّ تَلِينُ جُلُودُهُمْ وَقُلُوبُهُمْ </w:t>
      </w:r>
      <w:proofErr w:type="spellStart"/>
      <w:r>
        <w:rPr>
          <w:rFonts w:ascii="Traditional Arabic" w:eastAsia="Traditional Arabic" w:hAnsi="Traditional Arabic" w:cs="Traditional Arabic"/>
          <w:color w:val="1A1A1A"/>
          <w:sz w:val="26"/>
          <w:szCs w:val="26"/>
          <w:rtl/>
        </w:rPr>
        <w:t>إِلَىٰ</w:t>
      </w:r>
      <w:proofErr w:type="spellEnd"/>
      <w:r>
        <w:rPr>
          <w:rFonts w:ascii="Traditional Arabic" w:eastAsia="Traditional Arabic" w:hAnsi="Traditional Arabic" w:cs="Traditional Arabic"/>
          <w:color w:val="1A1A1A"/>
          <w:sz w:val="26"/>
          <w:szCs w:val="26"/>
          <w:rtl/>
        </w:rPr>
        <w:t xml:space="preserve"> ذِكْرِ اللَّهِ﴾ [الزمر: ٢٣]. وفي هذه الآية ما يمكن اعتباره أقدم توصيف نصي معروف لظاهرة فيزيولوجية مزدوجة الطور: استجابة أولى </w:t>
      </w:r>
      <w:proofErr w:type="spellStart"/>
      <w:r>
        <w:rPr>
          <w:rFonts w:ascii="Traditional Arabic" w:eastAsia="Traditional Arabic" w:hAnsi="Traditional Arabic" w:cs="Traditional Arabic"/>
          <w:color w:val="1A1A1A"/>
          <w:sz w:val="26"/>
          <w:szCs w:val="26"/>
          <w:rtl/>
        </w:rPr>
        <w:t>انقباضية</w:t>
      </w:r>
      <w:proofErr w:type="spellEnd"/>
      <w:r>
        <w:rPr>
          <w:rFonts w:ascii="Traditional Arabic" w:eastAsia="Traditional Arabic" w:hAnsi="Traditional Arabic" w:cs="Traditional Arabic"/>
          <w:color w:val="1A1A1A"/>
          <w:sz w:val="26"/>
          <w:szCs w:val="26"/>
          <w:rtl/>
        </w:rPr>
        <w:t xml:space="preserve"> (اقشعرار الجلود) تعكس يقظة انفعالية حادة، تعقبها استجابة ثانية </w:t>
      </w:r>
      <w:proofErr w:type="spellStart"/>
      <w:r>
        <w:rPr>
          <w:rFonts w:ascii="Traditional Arabic" w:eastAsia="Traditional Arabic" w:hAnsi="Traditional Arabic" w:cs="Traditional Arabic"/>
          <w:color w:val="1A1A1A"/>
          <w:sz w:val="26"/>
          <w:szCs w:val="26"/>
          <w:rtl/>
        </w:rPr>
        <w:t>استرخائية</w:t>
      </w:r>
      <w:proofErr w:type="spellEnd"/>
      <w:r>
        <w:rPr>
          <w:rFonts w:ascii="Traditional Arabic" w:eastAsia="Traditional Arabic" w:hAnsi="Traditional Arabic" w:cs="Traditional Arabic"/>
          <w:color w:val="1A1A1A"/>
          <w:sz w:val="26"/>
          <w:szCs w:val="26"/>
          <w:rtl/>
        </w:rPr>
        <w:t xml:space="preserve"> (لين الجلود والقلوب) تعكس انتقالاً إلى حالة السكينة، وهو نمط انتقالي يتقاطع بشكل لافت مع التتابع الفيزيولوجي الذي ترصده دراسات تخطيط الدماغ بين الاستجابة الأولية للمثير الصوتي والاستقرار اللاحق في موجات ألفا.</w:t>
      </w:r>
    </w:p>
    <w:p w14:paraId="0DEC1323"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٣.٢ الترتيل النشط والجسر السلوكي: التلاوة والتحويل</w:t>
      </w:r>
    </w:p>
    <w:p w14:paraId="34A6DE10"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وأخيراً، تشير الدراسة إلى أن للتلاوة الذاتية النشطة تأثيراً عصبياً أقوى من مجرد الاستماع السلبي. وهذا، في علم النفس الاستخلافي، دليل على أهمية «الجسر السلوكي» (</w:t>
      </w:r>
      <w:proofErr w:type="spellStart"/>
      <w:r>
        <w:rPr>
          <w:rFonts w:ascii="Traditional Arabic" w:eastAsia="Traditional Arabic" w:hAnsi="Traditional Arabic" w:cs="Traditional Arabic"/>
          <w:color w:val="1A1A1A"/>
          <w:sz w:val="26"/>
          <w:szCs w:val="26"/>
          <w:rtl/>
        </w:rPr>
        <w:t>Behavioral</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Bridge</w:t>
      </w:r>
      <w:proofErr w:type="spellEnd"/>
      <w:r>
        <w:rPr>
          <w:rFonts w:ascii="Traditional Arabic" w:eastAsia="Traditional Arabic" w:hAnsi="Traditional Arabic" w:cs="Traditional Arabic"/>
          <w:color w:val="1A1A1A"/>
          <w:sz w:val="26"/>
          <w:szCs w:val="26"/>
          <w:rtl/>
        </w:rPr>
        <w:t>). فالتلاوة النشطة — على عكس الاستماع السلبي — هي فعل وممارسة ومجاهدة. إنها تتطلب انخراطاً كاملاً من الجسد (اللسان، الحنجرة، الحجاب الحاجز) والعقل (التدبر، الفهم) والقلب (الخشوع، المحبة). وهذا الانخراط الثلاثي، في بروتوكول TLRT، هو نموذج مصغّر لـ«الجسر السلوكي»: تحويل طاقة النية والإيمان إلى فعل وحركة وإحسان، لا بقاؤها حبيسة الإدراك الذهني المجرد.</w:t>
      </w:r>
    </w:p>
    <w:p w14:paraId="00A1D612"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وهذا المبدأ — تحويل الإيمان الباطن إلى فعل خارجي منضبط — يشكل، من الناحية التاريخية، امتداداً مباشراً لمنهج الغزالي في «الإحياء»، الذي جعل المجاهدة العملية شرطاً لا غنى عنه لتحقق أثر المعرفة النظرية في القلب؛ فالعلم بلا عمل، عند الغزالي، لا يبلغ بصاحبه مقام اليقين، تماماً كما أن الاستماع السلبي، بحسب المعطيات العصبية المستعرضة هنا، لا يبلغ بصاحبه العمق الفيزيولوجي الذي تبلغه التلاوة النشطة المجاهَدة.</w:t>
      </w:r>
    </w:p>
    <w:p w14:paraId="5B9E243D" w14:textId="77777777" w:rsidR="00E67DF0" w:rsidRDefault="00000000">
      <w:pPr>
        <w:spacing w:before="240" w:after="140"/>
        <w:jc w:val="right"/>
      </w:pPr>
      <w:r>
        <w:rPr>
          <w:rFonts w:ascii="Traditional Arabic" w:eastAsia="Traditional Arabic" w:hAnsi="Traditional Arabic" w:cs="Traditional Arabic"/>
          <w:b/>
          <w:bCs/>
          <w:color w:val="B8860B"/>
          <w:sz w:val="27"/>
          <w:szCs w:val="27"/>
          <w:rtl/>
        </w:rPr>
        <w:t>٣.٣ نقد منهجي من داخل الإطار الاستخلافي: حدود القياس وخصوصية النص</w:t>
      </w:r>
    </w:p>
    <w:p w14:paraId="5CE11EBD"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من الأمانة العلمية الإقرار بأن اعتماد هذه الدراسة على مصادر متعددة الجودة المنهجية — من حيث حجم العينات، وضبط المتغيرات المشوِّشة، وغياب مجموعات ضابطة مطابقة صوتياً في بعض التصاميم — يستوجب حذراً استدلالياً من القفز إلى استنتاجات سببية قاطعة، والاكتفاء، في الحالة الراهنة، باستنتاجات ترابطية موصوفة بدقة. وموقف علم النفس الاستخلافي من هذا القيد المنهجي ليس موقف الدفاع المرتبك الذي يتجاهل الثغرات المنهجية سعياً لتأكيد مسبق، بل موقف إعادة التأطير </w:t>
      </w:r>
      <w:proofErr w:type="spellStart"/>
      <w:r>
        <w:rPr>
          <w:rFonts w:ascii="Traditional Arabic" w:eastAsia="Traditional Arabic" w:hAnsi="Traditional Arabic" w:cs="Traditional Arabic"/>
          <w:color w:val="1A1A1A"/>
          <w:sz w:val="26"/>
          <w:szCs w:val="26"/>
          <w:rtl/>
        </w:rPr>
        <w:t>الإبستيمولوجي</w:t>
      </w:r>
      <w:proofErr w:type="spellEnd"/>
      <w:r>
        <w:rPr>
          <w:rFonts w:ascii="Traditional Arabic" w:eastAsia="Traditional Arabic" w:hAnsi="Traditional Arabic" w:cs="Traditional Arabic"/>
          <w:color w:val="1A1A1A"/>
          <w:sz w:val="26"/>
          <w:szCs w:val="26"/>
          <w:rtl/>
        </w:rPr>
        <w:t xml:space="preserve"> الذي يرى أن التداخل بين الأثر الصوتي والأثر الإيماني ليس عيباً ينبغي تفاديه، بل هو جوهر الظاهرة موضوع الدراسة ذاتها، وأن الفصل التام بينهما، لو أمكن تجريبياً، قد يُفقِد الظاهرة المدروسة طبيعتها الأصلية بوصفها تجربة إيمانية متكاملة لا مجرد مثير سمعي مجرد.</w:t>
      </w:r>
    </w:p>
    <w:p w14:paraId="43651127" w14:textId="77777777" w:rsidR="00E67DF0" w:rsidRDefault="00000000">
      <w:pPr>
        <w:pStyle w:val="1"/>
        <w:pBdr>
          <w:bottom w:val="single" w:sz="8" w:space="6" w:color="B8860B"/>
        </w:pBdr>
        <w:bidi/>
        <w:spacing w:before="480" w:after="260"/>
        <w:jc w:val="right"/>
      </w:pPr>
      <w:r>
        <w:rPr>
          <w:rFonts w:ascii="Traditional Arabic" w:eastAsia="Traditional Arabic" w:hAnsi="Traditional Arabic" w:cs="Traditional Arabic"/>
          <w:b/>
          <w:bCs/>
          <w:color w:val="1B2A4A"/>
          <w:sz w:val="34"/>
          <w:szCs w:val="34"/>
          <w:rtl/>
        </w:rPr>
        <w:t>الفصل الرابع: نحو تصميم تجريبي استخلافي — من المراجعة النظرية إلى البحث الأصيل</w:t>
      </w:r>
    </w:p>
    <w:p w14:paraId="174FCC81"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يخلص هذا التعميق إلى أن الخطوة البحثية التالية الضرورية لا تكمن في مزيد من استعارة نتائج دراسات خارجية وإعادة تأويلها </w:t>
      </w:r>
      <w:proofErr w:type="spellStart"/>
      <w:r>
        <w:rPr>
          <w:rFonts w:ascii="Traditional Arabic" w:eastAsia="Traditional Arabic" w:hAnsi="Traditional Arabic" w:cs="Traditional Arabic"/>
          <w:color w:val="1A1A1A"/>
          <w:sz w:val="26"/>
          <w:szCs w:val="26"/>
          <w:rtl/>
        </w:rPr>
        <w:t>استخلافياً</w:t>
      </w:r>
      <w:proofErr w:type="spellEnd"/>
      <w:r>
        <w:rPr>
          <w:rFonts w:ascii="Traditional Arabic" w:eastAsia="Traditional Arabic" w:hAnsi="Traditional Arabic" w:cs="Traditional Arabic"/>
          <w:color w:val="1A1A1A"/>
          <w:sz w:val="26"/>
          <w:szCs w:val="26"/>
          <w:rtl/>
        </w:rPr>
        <w:t>، على أهمية هذا العمل التأويلي، بل في تصميم دراسات تجريبية أصيلة تنطلق من فرضيات النموذج الاستخلافي ذاته. ويمكن تلخيص أبرز ملامح هذا التصميم المقترح في ثلاثة محاور:</w:t>
      </w:r>
    </w:p>
    <w:p w14:paraId="6B652157"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أولاً: تصميم مقارن يعزل متغير «القدسية الإيمانية» عن متغير «الخصائص الصوتية» بمقارنة استجابة المؤمنين وغير المؤمنين لنفس التسجيل الصوتي، بما يتيح قياس حجم «الإضافة الإيمانية» على الأثر الفيزيولوجي الخام للصوت، بدلاً من افتراض التداخل الكامل بينهما دون قياس.</w:t>
      </w:r>
    </w:p>
    <w:p w14:paraId="21BCF474"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ثانياً: تصميم طولي (</w:t>
      </w:r>
      <w:proofErr w:type="spellStart"/>
      <w:r>
        <w:rPr>
          <w:rFonts w:ascii="Traditional Arabic" w:eastAsia="Traditional Arabic" w:hAnsi="Traditional Arabic" w:cs="Traditional Arabic"/>
          <w:color w:val="1A1A1A"/>
          <w:sz w:val="26"/>
          <w:szCs w:val="26"/>
          <w:rtl/>
        </w:rPr>
        <w:t>Longitudinal</w:t>
      </w:r>
      <w:proofErr w:type="spellEnd"/>
      <w:r>
        <w:rPr>
          <w:rFonts w:ascii="Traditional Arabic" w:eastAsia="Traditional Arabic" w:hAnsi="Traditional Arabic" w:cs="Traditional Arabic"/>
          <w:color w:val="1A1A1A"/>
          <w:sz w:val="26"/>
          <w:szCs w:val="26"/>
          <w:rtl/>
        </w:rPr>
        <w:t>) يقيس الأثر التراكمي لالتزام الصلوات الخمس على خط الأساس (</w:t>
      </w:r>
      <w:proofErr w:type="spellStart"/>
      <w:r>
        <w:rPr>
          <w:rFonts w:ascii="Traditional Arabic" w:eastAsia="Traditional Arabic" w:hAnsi="Traditional Arabic" w:cs="Traditional Arabic"/>
          <w:color w:val="1A1A1A"/>
          <w:sz w:val="26"/>
          <w:szCs w:val="26"/>
          <w:rtl/>
        </w:rPr>
        <w:t>Baseline</w:t>
      </w:r>
      <w:proofErr w:type="spellEnd"/>
      <w:r>
        <w:rPr>
          <w:rFonts w:ascii="Traditional Arabic" w:eastAsia="Traditional Arabic" w:hAnsi="Traditional Arabic" w:cs="Traditional Arabic"/>
          <w:color w:val="1A1A1A"/>
          <w:sz w:val="26"/>
          <w:szCs w:val="26"/>
          <w:rtl/>
        </w:rPr>
        <w:t>) لموجات بيتا وألفا لدى الفرد نفسه عبر أسابيع، لاختبار فرضية «إعادة الضبط الدوري» تجريبياً بدلاً من افتراضها استنتاجاً نظرياً محضاً.</w:t>
      </w:r>
    </w:p>
    <w:p w14:paraId="68FAC48E"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ثالثاً: تصميم مقارن بين التلاوة النشطة والاستماع السلبي بضبط دقيق لعامل الانخراط الجسدي، لاختبار فرضية «الجسر السلوكي» بوصفها متغيراً وسيطاً (</w:t>
      </w:r>
      <w:proofErr w:type="spellStart"/>
      <w:r>
        <w:rPr>
          <w:rFonts w:ascii="Traditional Arabic" w:eastAsia="Traditional Arabic" w:hAnsi="Traditional Arabic" w:cs="Traditional Arabic"/>
          <w:color w:val="1A1A1A"/>
          <w:sz w:val="26"/>
          <w:szCs w:val="26"/>
          <w:rtl/>
        </w:rPr>
        <w:t>Mediating</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Variable</w:t>
      </w:r>
      <w:proofErr w:type="spellEnd"/>
      <w:r>
        <w:rPr>
          <w:rFonts w:ascii="Traditional Arabic" w:eastAsia="Traditional Arabic" w:hAnsi="Traditional Arabic" w:cs="Traditional Arabic"/>
          <w:color w:val="1A1A1A"/>
          <w:sz w:val="26"/>
          <w:szCs w:val="26"/>
          <w:rtl/>
        </w:rPr>
        <w:t>) قابلاً للقياس الكمي، لا مجرد ملاحظة وصفية عابرة كما وردت في الدراسات الأصلية.</w:t>
      </w:r>
    </w:p>
    <w:p w14:paraId="77536130"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وبهذا التوجه، ينتقل علم النفس الاستخلافي، عبر هذا النموذج التطبيقي تحديداً، من إطار تفسيري-فلسفي إلى برنامج بحثي مولِّد للفرضيات (</w:t>
      </w:r>
      <w:proofErr w:type="spellStart"/>
      <w:r>
        <w:rPr>
          <w:rFonts w:ascii="Traditional Arabic" w:eastAsia="Traditional Arabic" w:hAnsi="Traditional Arabic" w:cs="Traditional Arabic"/>
          <w:color w:val="1A1A1A"/>
          <w:sz w:val="26"/>
          <w:szCs w:val="26"/>
          <w:rtl/>
        </w:rPr>
        <w:t>Generative</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Research</w:t>
      </w:r>
      <w:proofErr w:type="spellEnd"/>
      <w:r>
        <w:rPr>
          <w:rFonts w:ascii="Traditional Arabic" w:eastAsia="Traditional Arabic" w:hAnsi="Traditional Arabic" w:cs="Traditional Arabic"/>
          <w:color w:val="1A1A1A"/>
          <w:sz w:val="26"/>
          <w:szCs w:val="26"/>
          <w:rtl/>
        </w:rPr>
        <w:t xml:space="preserve"> </w:t>
      </w:r>
      <w:proofErr w:type="spellStart"/>
      <w:r>
        <w:rPr>
          <w:rFonts w:ascii="Traditional Arabic" w:eastAsia="Traditional Arabic" w:hAnsi="Traditional Arabic" w:cs="Traditional Arabic"/>
          <w:color w:val="1A1A1A"/>
          <w:sz w:val="26"/>
          <w:szCs w:val="26"/>
          <w:rtl/>
        </w:rPr>
        <w:t>Program</w:t>
      </w:r>
      <w:proofErr w:type="spellEnd"/>
      <w:r>
        <w:rPr>
          <w:rFonts w:ascii="Traditional Arabic" w:eastAsia="Traditional Arabic" w:hAnsi="Traditional Arabic" w:cs="Traditional Arabic"/>
          <w:color w:val="1A1A1A"/>
          <w:sz w:val="26"/>
          <w:szCs w:val="26"/>
          <w:rtl/>
        </w:rPr>
        <w:t>) قابل للاختبار المباشر، وهو الأفق الذي ينبغي أن يستكمل فيه هذا البحث مسيرته.</w:t>
      </w:r>
    </w:p>
    <w:p w14:paraId="54C453F7" w14:textId="77777777" w:rsidR="00E67DF0" w:rsidRDefault="00000000">
      <w:pPr>
        <w:pStyle w:val="1"/>
        <w:pBdr>
          <w:bottom w:val="single" w:sz="8" w:space="6" w:color="B8860B"/>
        </w:pBdr>
        <w:bidi/>
        <w:spacing w:before="480" w:after="260"/>
        <w:jc w:val="right"/>
      </w:pPr>
      <w:r>
        <w:rPr>
          <w:rFonts w:ascii="Traditional Arabic" w:eastAsia="Traditional Arabic" w:hAnsi="Traditional Arabic" w:cs="Traditional Arabic"/>
          <w:b/>
          <w:bCs/>
          <w:color w:val="1B2A4A"/>
          <w:sz w:val="34"/>
          <w:szCs w:val="34"/>
          <w:rtl/>
        </w:rPr>
        <w:t>خاتمة: الترتيل — تقنية استخلافية لتحرير الدماغ والقلب</w:t>
      </w:r>
    </w:p>
    <w:p w14:paraId="0AD6095E"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 xml:space="preserve">في نهاية هذه القراءة الاستخلافية الموسّعة، نخلص إلى أن الدراسات العصبية التي راجعتها هذه الورقة لا تثبت فقط أن القرآن يغيّر الدماغ، بل تثبت، بشكل أعمق، أن التلاوة والاستماع هما تقنيتان </w:t>
      </w:r>
      <w:proofErr w:type="spellStart"/>
      <w:r>
        <w:rPr>
          <w:rFonts w:ascii="Traditional Arabic" w:eastAsia="Traditional Arabic" w:hAnsi="Traditional Arabic" w:cs="Traditional Arabic"/>
          <w:color w:val="1A1A1A"/>
          <w:sz w:val="26"/>
          <w:szCs w:val="26"/>
          <w:rtl/>
        </w:rPr>
        <w:t>استخلافيتان</w:t>
      </w:r>
      <w:proofErr w:type="spellEnd"/>
      <w:r>
        <w:rPr>
          <w:rFonts w:ascii="Traditional Arabic" w:eastAsia="Traditional Arabic" w:hAnsi="Traditional Arabic" w:cs="Traditional Arabic"/>
          <w:color w:val="1A1A1A"/>
          <w:sz w:val="26"/>
          <w:szCs w:val="26"/>
          <w:rtl/>
        </w:rPr>
        <w:t xml:space="preserve"> فريدتان تُمكّنان الإنسان من: تثبيط الضلع السابع، أي تهدئة الخوف والقلق وجلد الذات؛ وتفعيل الضلع الثامن، أي استجلاب السكينة وانشراح الصدر؛ وبناء جسر سلوكي يحوّل طاقة الإيمان إلى فعل وعبادة ملموسة. وهي، بهذا التكامل الثلاثي، تجعل من القرآن ليس مجرد نص للتلاوة، بل مختبراً وجودياً ومحرِّراً للدماغ من سجن الخوف والقلق والغفلة، وبوابة للصعود إلى مقام النفس المطمئنة.</w:t>
      </w:r>
    </w:p>
    <w:p w14:paraId="50321E6F" w14:textId="77777777" w:rsidR="00E67DF0" w:rsidRDefault="00000000">
      <w:pPr>
        <w:spacing w:after="200" w:line="340" w:lineRule="auto"/>
        <w:jc w:val="both"/>
      </w:pPr>
      <w:r>
        <w:rPr>
          <w:rFonts w:ascii="Traditional Arabic" w:eastAsia="Traditional Arabic" w:hAnsi="Traditional Arabic" w:cs="Traditional Arabic"/>
          <w:color w:val="1A1A1A"/>
          <w:sz w:val="26"/>
          <w:szCs w:val="26"/>
          <w:rtl/>
        </w:rPr>
        <w:t>ويبقى الأفق البحثي مفتوحاً أمام مرحلة قادمة تتجاوز حدود المراجعة النظرية والتأويل الاستخلافي لدراسات الآخرين، إلى التصميم التجريبي الأصيل الذي يستنبط فرضياته مباشرة من صميم النموذج الاستخلافي ذاته، بما يحوّل هذا الحقل من مجرد قراءة تفسيرية لاحقة إلى برنامج بحثي مولِّد قائم بذاته.</w:t>
      </w:r>
    </w:p>
    <w:p w14:paraId="2DC66683" w14:textId="77777777" w:rsidR="00E67DF0" w:rsidRDefault="00000000">
      <w:pPr>
        <w:pStyle w:val="1"/>
        <w:pBdr>
          <w:bottom w:val="single" w:sz="8" w:space="6" w:color="B8860B"/>
        </w:pBdr>
        <w:bidi/>
        <w:spacing w:before="480" w:after="260"/>
        <w:jc w:val="right"/>
      </w:pPr>
      <w:r>
        <w:rPr>
          <w:rFonts w:ascii="Traditional Arabic" w:eastAsia="Traditional Arabic" w:hAnsi="Traditional Arabic" w:cs="Traditional Arabic"/>
          <w:b/>
          <w:bCs/>
          <w:color w:val="1B2A4A"/>
          <w:sz w:val="34"/>
          <w:szCs w:val="34"/>
          <w:rtl/>
        </w:rPr>
        <w:t>المراجع والمصادر</w:t>
      </w:r>
    </w:p>
    <w:p w14:paraId="2F576F6E"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أولاً: المصادر الأساسية (النموذج الاستخلافي)</w:t>
      </w:r>
    </w:p>
    <w:p w14:paraId="485A9F82" w14:textId="77777777" w:rsidR="00E67DF0" w:rsidRDefault="00000000">
      <w:pPr>
        <w:spacing w:after="140" w:line="300" w:lineRule="auto"/>
        <w:ind w:left="200"/>
        <w:jc w:val="right"/>
      </w:pPr>
      <w:r>
        <w:rPr>
          <w:rFonts w:ascii="Traditional Arabic" w:eastAsia="Traditional Arabic" w:hAnsi="Traditional Arabic" w:cs="Traditional Arabic"/>
          <w:color w:val="1A1A1A"/>
          <w:sz w:val="22"/>
          <w:szCs w:val="22"/>
          <w:rtl/>
        </w:rPr>
        <w:t>الزراع، عبد السلام. (٢٠٢٦). العلاج بحرث المصالحة التحويلية (TLRT): الدليل النظري والإكلينيكي. (الطبعة التجريبية الأولى).</w:t>
      </w:r>
    </w:p>
    <w:p w14:paraId="57A6222E" w14:textId="77777777" w:rsidR="00E67DF0" w:rsidRDefault="00000000">
      <w:pPr>
        <w:spacing w:after="140" w:line="300" w:lineRule="auto"/>
        <w:ind w:left="200"/>
        <w:jc w:val="right"/>
      </w:pPr>
      <w:r>
        <w:rPr>
          <w:rFonts w:ascii="Traditional Arabic" w:eastAsia="Traditional Arabic" w:hAnsi="Traditional Arabic" w:cs="Traditional Arabic"/>
          <w:color w:val="1A1A1A"/>
          <w:sz w:val="22"/>
          <w:szCs w:val="22"/>
          <w:rtl/>
        </w:rPr>
        <w:t>الزراع، عبد السلام. (٢٠٢٦). الفصام الأخلاقي ومصدر الأزمات النفسية: قراءة في ضوء نظرية TLRT.</w:t>
      </w:r>
    </w:p>
    <w:p w14:paraId="1B7A2464" w14:textId="77777777" w:rsidR="00E67DF0" w:rsidRDefault="00000000">
      <w:pPr>
        <w:spacing w:after="140" w:line="300" w:lineRule="auto"/>
        <w:ind w:left="200"/>
        <w:jc w:val="right"/>
      </w:pPr>
      <w:r>
        <w:rPr>
          <w:rFonts w:ascii="Traditional Arabic" w:eastAsia="Traditional Arabic" w:hAnsi="Traditional Arabic" w:cs="Traditional Arabic"/>
          <w:color w:val="1A1A1A"/>
          <w:sz w:val="22"/>
          <w:szCs w:val="22"/>
          <w:rtl/>
        </w:rPr>
        <w:t xml:space="preserve">الزراع، عبد السلام. (٢٠٢٦). </w:t>
      </w:r>
      <w:proofErr w:type="spellStart"/>
      <w:r>
        <w:rPr>
          <w:rFonts w:ascii="Traditional Arabic" w:eastAsia="Traditional Arabic" w:hAnsi="Traditional Arabic" w:cs="Traditional Arabic"/>
          <w:color w:val="1A1A1A"/>
          <w:sz w:val="22"/>
          <w:szCs w:val="22"/>
          <w:rtl/>
        </w:rPr>
        <w:t>التمثلات</w:t>
      </w:r>
      <w:proofErr w:type="spellEnd"/>
      <w:r>
        <w:rPr>
          <w:rFonts w:ascii="Traditional Arabic" w:eastAsia="Traditional Arabic" w:hAnsi="Traditional Arabic" w:cs="Traditional Arabic"/>
          <w:color w:val="1A1A1A"/>
          <w:sz w:val="22"/>
          <w:szCs w:val="22"/>
          <w:rtl/>
        </w:rPr>
        <w:t xml:space="preserve"> الداخلية للإله: من نظرية </w:t>
      </w:r>
      <w:proofErr w:type="spellStart"/>
      <w:r>
        <w:rPr>
          <w:rFonts w:ascii="Traditional Arabic" w:eastAsia="Traditional Arabic" w:hAnsi="Traditional Arabic" w:cs="Traditional Arabic"/>
          <w:color w:val="1A1A1A"/>
          <w:sz w:val="22"/>
          <w:szCs w:val="22"/>
          <w:rtl/>
        </w:rPr>
        <w:t>ريزوتو</w:t>
      </w:r>
      <w:proofErr w:type="spellEnd"/>
      <w:r>
        <w:rPr>
          <w:rFonts w:ascii="Traditional Arabic" w:eastAsia="Traditional Arabic" w:hAnsi="Traditional Arabic" w:cs="Traditional Arabic"/>
          <w:color w:val="1A1A1A"/>
          <w:sz w:val="22"/>
          <w:szCs w:val="22"/>
          <w:rtl/>
        </w:rPr>
        <w:t xml:space="preserve"> إلى إعادة بناء صورة الله في TLRT.</w:t>
      </w:r>
    </w:p>
    <w:p w14:paraId="37D2D676" w14:textId="77777777" w:rsidR="00E67DF0" w:rsidRDefault="00000000">
      <w:pPr>
        <w:spacing w:after="140" w:line="300" w:lineRule="auto"/>
        <w:ind w:left="200"/>
        <w:jc w:val="right"/>
      </w:pPr>
      <w:r>
        <w:rPr>
          <w:rFonts w:ascii="Traditional Arabic" w:eastAsia="Traditional Arabic" w:hAnsi="Traditional Arabic" w:cs="Traditional Arabic"/>
          <w:color w:val="1A1A1A"/>
          <w:sz w:val="22"/>
          <w:szCs w:val="22"/>
          <w:rtl/>
        </w:rPr>
        <w:t>الزراع، عبد السلام. (٢٠٢٦). من «الفاقة الأصلية» إلى «سكينة المحبة»: نحو نظرية استخلافية للحب.</w:t>
      </w:r>
    </w:p>
    <w:p w14:paraId="2E7A474F"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ثانياً: المراجع الواردة في النص الأصلي (دراسات EEG والقرآن)</w:t>
      </w:r>
    </w:p>
    <w:p w14:paraId="240E5E65" w14:textId="77777777" w:rsidR="00E67DF0" w:rsidRDefault="00000000">
      <w:pPr>
        <w:spacing w:after="140" w:line="300" w:lineRule="auto"/>
        <w:ind w:left="200"/>
        <w:jc w:val="right"/>
      </w:pPr>
      <w:proofErr w:type="spellStart"/>
      <w:r>
        <w:rPr>
          <w:rFonts w:ascii="Traditional Arabic" w:eastAsia="Traditional Arabic" w:hAnsi="Traditional Arabic" w:cs="Traditional Arabic"/>
          <w:color w:val="1A1A1A"/>
          <w:sz w:val="22"/>
          <w:szCs w:val="22"/>
          <w:rtl/>
        </w:rPr>
        <w:t>Abdullah</w:t>
      </w:r>
      <w:proofErr w:type="spellEnd"/>
      <w:r>
        <w:rPr>
          <w:rFonts w:ascii="Traditional Arabic" w:eastAsia="Traditional Arabic" w:hAnsi="Traditional Arabic" w:cs="Traditional Arabic"/>
          <w:color w:val="1A1A1A"/>
          <w:sz w:val="22"/>
          <w:szCs w:val="22"/>
          <w:rtl/>
        </w:rPr>
        <w:t xml:space="preserve">, A. A., &amp; </w:t>
      </w:r>
      <w:proofErr w:type="spellStart"/>
      <w:r>
        <w:rPr>
          <w:rFonts w:ascii="Traditional Arabic" w:eastAsia="Traditional Arabic" w:hAnsi="Traditional Arabic" w:cs="Traditional Arabic"/>
          <w:color w:val="1A1A1A"/>
          <w:sz w:val="22"/>
          <w:szCs w:val="22"/>
          <w:rtl/>
        </w:rPr>
        <w:t>Omar</w:t>
      </w:r>
      <w:proofErr w:type="spellEnd"/>
      <w:r>
        <w:rPr>
          <w:rFonts w:ascii="Traditional Arabic" w:eastAsia="Traditional Arabic" w:hAnsi="Traditional Arabic" w:cs="Traditional Arabic"/>
          <w:color w:val="1A1A1A"/>
          <w:sz w:val="22"/>
          <w:szCs w:val="22"/>
          <w:rtl/>
        </w:rPr>
        <w:t xml:space="preserve">, Z. (2011).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effect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reciting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Quran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human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w:t>
      </w:r>
      <w:proofErr w:type="spellEnd"/>
      <w:r>
        <w:rPr>
          <w:rFonts w:ascii="Traditional Arabic" w:eastAsia="Traditional Arabic" w:hAnsi="Traditional Arabic" w:cs="Traditional Arabic"/>
          <w:color w:val="1A1A1A"/>
          <w:sz w:val="22"/>
          <w:szCs w:val="22"/>
          <w:rtl/>
        </w:rPr>
        <w:t xml:space="preserve"> EEG </w:t>
      </w:r>
      <w:proofErr w:type="spellStart"/>
      <w:r>
        <w:rPr>
          <w:rFonts w:ascii="Traditional Arabic" w:eastAsia="Traditional Arabic" w:hAnsi="Traditional Arabic" w:cs="Traditional Arabic"/>
          <w:color w:val="1A1A1A"/>
          <w:sz w:val="22"/>
          <w:szCs w:val="22"/>
          <w:rtl/>
        </w:rPr>
        <w:t>study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Journal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Engineering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Technology</w:t>
      </w:r>
      <w:proofErr w:type="spellEnd"/>
      <w:r>
        <w:rPr>
          <w:rFonts w:ascii="Traditional Arabic" w:eastAsia="Traditional Arabic" w:hAnsi="Traditional Arabic" w:cs="Traditional Arabic"/>
          <w:color w:val="1A1A1A"/>
          <w:sz w:val="22"/>
          <w:szCs w:val="22"/>
          <w:rtl/>
        </w:rPr>
        <w:t>, 2(1), 83–90.</w:t>
      </w:r>
    </w:p>
    <w:p w14:paraId="5648011D" w14:textId="77777777" w:rsidR="00E67DF0" w:rsidRDefault="00000000">
      <w:pPr>
        <w:spacing w:after="140" w:line="300" w:lineRule="auto"/>
        <w:ind w:left="200"/>
        <w:jc w:val="right"/>
      </w:pPr>
      <w:proofErr w:type="spellStart"/>
      <w:r>
        <w:rPr>
          <w:rFonts w:ascii="Traditional Arabic" w:eastAsia="Traditional Arabic" w:hAnsi="Traditional Arabic" w:cs="Traditional Arabic"/>
          <w:color w:val="1A1A1A"/>
          <w:sz w:val="22"/>
          <w:szCs w:val="22"/>
          <w:rtl/>
        </w:rPr>
        <w:t>Al-Galal</w:t>
      </w:r>
      <w:proofErr w:type="spellEnd"/>
      <w:r>
        <w:rPr>
          <w:rFonts w:ascii="Traditional Arabic" w:eastAsia="Traditional Arabic" w:hAnsi="Traditional Arabic" w:cs="Traditional Arabic"/>
          <w:color w:val="1A1A1A"/>
          <w:sz w:val="22"/>
          <w:szCs w:val="22"/>
          <w:rtl/>
        </w:rPr>
        <w:t xml:space="preserve">, S. A., </w:t>
      </w:r>
      <w:proofErr w:type="spellStart"/>
      <w:r>
        <w:rPr>
          <w:rFonts w:ascii="Traditional Arabic" w:eastAsia="Traditional Arabic" w:hAnsi="Traditional Arabic" w:cs="Traditional Arabic"/>
          <w:color w:val="1A1A1A"/>
          <w:sz w:val="22"/>
          <w:szCs w:val="22"/>
          <w:rtl/>
        </w:rPr>
        <w:t>Alshaikhli</w:t>
      </w:r>
      <w:proofErr w:type="spellEnd"/>
      <w:r>
        <w:rPr>
          <w:rFonts w:ascii="Traditional Arabic" w:eastAsia="Traditional Arabic" w:hAnsi="Traditional Arabic" w:cs="Traditional Arabic"/>
          <w:color w:val="1A1A1A"/>
          <w:sz w:val="22"/>
          <w:szCs w:val="22"/>
          <w:rtl/>
        </w:rPr>
        <w:t xml:space="preserve">, I. F. T., </w:t>
      </w:r>
      <w:proofErr w:type="spellStart"/>
      <w:r>
        <w:rPr>
          <w:rFonts w:ascii="Traditional Arabic" w:eastAsia="Traditional Arabic" w:hAnsi="Traditional Arabic" w:cs="Traditional Arabic"/>
          <w:color w:val="1A1A1A"/>
          <w:sz w:val="22"/>
          <w:szCs w:val="22"/>
          <w:rtl/>
        </w:rPr>
        <w:t>Abdul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Rahman</w:t>
      </w:r>
      <w:proofErr w:type="spellEnd"/>
      <w:r>
        <w:rPr>
          <w:rFonts w:ascii="Traditional Arabic" w:eastAsia="Traditional Arabic" w:hAnsi="Traditional Arabic" w:cs="Traditional Arabic"/>
          <w:color w:val="1A1A1A"/>
          <w:sz w:val="22"/>
          <w:szCs w:val="22"/>
          <w:rtl/>
        </w:rPr>
        <w:t xml:space="preserve">, A. W., &amp; </w:t>
      </w:r>
      <w:proofErr w:type="spellStart"/>
      <w:r>
        <w:rPr>
          <w:rFonts w:ascii="Traditional Arabic" w:eastAsia="Traditional Arabic" w:hAnsi="Traditional Arabic" w:cs="Traditional Arabic"/>
          <w:color w:val="1A1A1A"/>
          <w:sz w:val="22"/>
          <w:szCs w:val="22"/>
          <w:rtl/>
        </w:rPr>
        <w:t>Dzulkifli</w:t>
      </w:r>
      <w:proofErr w:type="spellEnd"/>
      <w:r>
        <w:rPr>
          <w:rFonts w:ascii="Traditional Arabic" w:eastAsia="Traditional Arabic" w:hAnsi="Traditional Arabic" w:cs="Traditional Arabic"/>
          <w:color w:val="1A1A1A"/>
          <w:sz w:val="22"/>
          <w:szCs w:val="22"/>
          <w:rtl/>
        </w:rPr>
        <w:t xml:space="preserve">, M. A. (2012).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effect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listening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holy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Quran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recitation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electroencephalogram</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signal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International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Journal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Psychological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Studies</w:t>
      </w:r>
      <w:proofErr w:type="spellEnd"/>
      <w:r>
        <w:rPr>
          <w:rFonts w:ascii="Traditional Arabic" w:eastAsia="Traditional Arabic" w:hAnsi="Traditional Arabic" w:cs="Traditional Arabic"/>
          <w:color w:val="1A1A1A"/>
          <w:sz w:val="22"/>
          <w:szCs w:val="22"/>
          <w:rtl/>
        </w:rPr>
        <w:t>, 4(1), 166–175.</w:t>
      </w:r>
    </w:p>
    <w:p w14:paraId="235F86C2" w14:textId="77777777" w:rsidR="00E67DF0" w:rsidRDefault="00000000">
      <w:pPr>
        <w:spacing w:after="140" w:line="300" w:lineRule="auto"/>
        <w:ind w:left="200"/>
        <w:jc w:val="right"/>
      </w:pPr>
      <w:proofErr w:type="spellStart"/>
      <w:r>
        <w:rPr>
          <w:rFonts w:ascii="Traditional Arabic" w:eastAsia="Traditional Arabic" w:hAnsi="Traditional Arabic" w:cs="Traditional Arabic"/>
          <w:color w:val="1A1A1A"/>
          <w:sz w:val="22"/>
          <w:szCs w:val="22"/>
          <w:rtl/>
        </w:rPr>
        <w:t>Fahd</w:t>
      </w:r>
      <w:proofErr w:type="spellEnd"/>
      <w:r>
        <w:rPr>
          <w:rFonts w:ascii="Traditional Arabic" w:eastAsia="Traditional Arabic" w:hAnsi="Traditional Arabic" w:cs="Traditional Arabic"/>
          <w:color w:val="1A1A1A"/>
          <w:sz w:val="22"/>
          <w:szCs w:val="22"/>
          <w:rtl/>
        </w:rPr>
        <w:t xml:space="preserve">, S., </w:t>
      </w:r>
      <w:proofErr w:type="spellStart"/>
      <w:r>
        <w:rPr>
          <w:rFonts w:ascii="Traditional Arabic" w:eastAsia="Traditional Arabic" w:hAnsi="Traditional Arabic" w:cs="Traditional Arabic"/>
          <w:color w:val="1A1A1A"/>
          <w:sz w:val="22"/>
          <w:szCs w:val="22"/>
          <w:rtl/>
        </w:rPr>
        <w:t>Karim</w:t>
      </w:r>
      <w:proofErr w:type="spellEnd"/>
      <w:r>
        <w:rPr>
          <w:rFonts w:ascii="Traditional Arabic" w:eastAsia="Traditional Arabic" w:hAnsi="Traditional Arabic" w:cs="Traditional Arabic"/>
          <w:color w:val="1A1A1A"/>
          <w:sz w:val="22"/>
          <w:szCs w:val="22"/>
          <w:rtl/>
        </w:rPr>
        <w:t xml:space="preserve">, A. A., &amp; </w:t>
      </w:r>
      <w:proofErr w:type="spellStart"/>
      <w:r>
        <w:rPr>
          <w:rFonts w:ascii="Traditional Arabic" w:eastAsia="Traditional Arabic" w:hAnsi="Traditional Arabic" w:cs="Traditional Arabic"/>
          <w:color w:val="1A1A1A"/>
          <w:sz w:val="22"/>
          <w:szCs w:val="22"/>
          <w:rtl/>
        </w:rPr>
        <w:t>Rahman</w:t>
      </w:r>
      <w:proofErr w:type="spellEnd"/>
      <w:r>
        <w:rPr>
          <w:rFonts w:ascii="Traditional Arabic" w:eastAsia="Traditional Arabic" w:hAnsi="Traditional Arabic" w:cs="Traditional Arabic"/>
          <w:color w:val="1A1A1A"/>
          <w:sz w:val="22"/>
          <w:szCs w:val="22"/>
          <w:rtl/>
        </w:rPr>
        <w:t xml:space="preserve">, A. W. A. (2018). </w:t>
      </w:r>
      <w:proofErr w:type="spellStart"/>
      <w:r>
        <w:rPr>
          <w:rFonts w:ascii="Traditional Arabic" w:eastAsia="Traditional Arabic" w:hAnsi="Traditional Arabic" w:cs="Traditional Arabic"/>
          <w:color w:val="1A1A1A"/>
          <w:sz w:val="22"/>
          <w:szCs w:val="22"/>
          <w:rtl/>
        </w:rPr>
        <w:t>Effect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Quran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recitation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signals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depressed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patients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using</w:t>
      </w:r>
      <w:proofErr w:type="spellEnd"/>
      <w:r>
        <w:rPr>
          <w:rFonts w:ascii="Traditional Arabic" w:eastAsia="Traditional Arabic" w:hAnsi="Traditional Arabic" w:cs="Traditional Arabic"/>
          <w:color w:val="1A1A1A"/>
          <w:sz w:val="22"/>
          <w:szCs w:val="22"/>
          <w:rtl/>
        </w:rPr>
        <w:t xml:space="preserve"> EEG. </w:t>
      </w:r>
      <w:proofErr w:type="spellStart"/>
      <w:r>
        <w:rPr>
          <w:rFonts w:ascii="Traditional Arabic" w:eastAsia="Traditional Arabic" w:hAnsi="Traditional Arabic" w:cs="Traditional Arabic"/>
          <w:color w:val="1A1A1A"/>
          <w:sz w:val="22"/>
          <w:szCs w:val="22"/>
          <w:rtl/>
        </w:rPr>
        <w:t>International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Journal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Engineering</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Technology</w:t>
      </w:r>
      <w:proofErr w:type="spellEnd"/>
      <w:r>
        <w:rPr>
          <w:rFonts w:ascii="Traditional Arabic" w:eastAsia="Traditional Arabic" w:hAnsi="Traditional Arabic" w:cs="Traditional Arabic"/>
          <w:color w:val="1A1A1A"/>
          <w:sz w:val="22"/>
          <w:szCs w:val="22"/>
          <w:rtl/>
        </w:rPr>
        <w:t>, 7(4.11), 241–245.</w:t>
      </w:r>
    </w:p>
    <w:p w14:paraId="22C1966C" w14:textId="77777777" w:rsidR="00E67DF0" w:rsidRDefault="00000000">
      <w:pPr>
        <w:spacing w:after="140" w:line="300" w:lineRule="auto"/>
        <w:ind w:left="200"/>
        <w:jc w:val="right"/>
      </w:pPr>
      <w:proofErr w:type="spellStart"/>
      <w:r>
        <w:rPr>
          <w:rFonts w:ascii="Traditional Arabic" w:eastAsia="Traditional Arabic" w:hAnsi="Traditional Arabic" w:cs="Traditional Arabic"/>
          <w:color w:val="1A1A1A"/>
          <w:sz w:val="22"/>
          <w:szCs w:val="22"/>
          <w:rtl/>
        </w:rPr>
        <w:t>Jalil</w:t>
      </w:r>
      <w:proofErr w:type="spellEnd"/>
      <w:r>
        <w:rPr>
          <w:rFonts w:ascii="Traditional Arabic" w:eastAsia="Traditional Arabic" w:hAnsi="Traditional Arabic" w:cs="Traditional Arabic"/>
          <w:color w:val="1A1A1A"/>
          <w:sz w:val="22"/>
          <w:szCs w:val="22"/>
          <w:rtl/>
        </w:rPr>
        <w:t xml:space="preserve">, S. Z. A., </w:t>
      </w:r>
      <w:proofErr w:type="spellStart"/>
      <w:r>
        <w:rPr>
          <w:rFonts w:ascii="Traditional Arabic" w:eastAsia="Traditional Arabic" w:hAnsi="Traditional Arabic" w:cs="Traditional Arabic"/>
          <w:color w:val="1A1A1A"/>
          <w:sz w:val="22"/>
          <w:szCs w:val="22"/>
          <w:rtl/>
        </w:rPr>
        <w:t>Ghazali</w:t>
      </w:r>
      <w:proofErr w:type="spellEnd"/>
      <w:r>
        <w:rPr>
          <w:rFonts w:ascii="Traditional Arabic" w:eastAsia="Traditional Arabic" w:hAnsi="Traditional Arabic" w:cs="Traditional Arabic"/>
          <w:color w:val="1A1A1A"/>
          <w:sz w:val="22"/>
          <w:szCs w:val="22"/>
          <w:rtl/>
        </w:rPr>
        <w:t xml:space="preserve">, M. A., </w:t>
      </w:r>
      <w:proofErr w:type="spellStart"/>
      <w:r>
        <w:rPr>
          <w:rFonts w:ascii="Traditional Arabic" w:eastAsia="Traditional Arabic" w:hAnsi="Traditional Arabic" w:cs="Traditional Arabic"/>
          <w:color w:val="1A1A1A"/>
          <w:sz w:val="22"/>
          <w:szCs w:val="22"/>
          <w:rtl/>
        </w:rPr>
        <w:t>Ibrahim</w:t>
      </w:r>
      <w:proofErr w:type="spellEnd"/>
      <w:r>
        <w:rPr>
          <w:rFonts w:ascii="Traditional Arabic" w:eastAsia="Traditional Arabic" w:hAnsi="Traditional Arabic" w:cs="Traditional Arabic"/>
          <w:color w:val="1A1A1A"/>
          <w:sz w:val="22"/>
          <w:szCs w:val="22"/>
          <w:rtl/>
        </w:rPr>
        <w:t xml:space="preserve">, N., &amp; </w:t>
      </w:r>
      <w:proofErr w:type="spellStart"/>
      <w:r>
        <w:rPr>
          <w:rFonts w:ascii="Traditional Arabic" w:eastAsia="Traditional Arabic" w:hAnsi="Traditional Arabic" w:cs="Traditional Arabic"/>
          <w:color w:val="1A1A1A"/>
          <w:sz w:val="22"/>
          <w:szCs w:val="22"/>
          <w:rtl/>
        </w:rPr>
        <w:t>Zainuddin</w:t>
      </w:r>
      <w:proofErr w:type="spellEnd"/>
      <w:r>
        <w:rPr>
          <w:rFonts w:ascii="Traditional Arabic" w:eastAsia="Traditional Arabic" w:hAnsi="Traditional Arabic" w:cs="Traditional Arabic"/>
          <w:color w:val="1A1A1A"/>
          <w:sz w:val="22"/>
          <w:szCs w:val="22"/>
          <w:rtl/>
        </w:rPr>
        <w:t xml:space="preserve">, Z. S. (2016). </w:t>
      </w:r>
      <w:proofErr w:type="spellStart"/>
      <w:r>
        <w:rPr>
          <w:rFonts w:ascii="Traditional Arabic" w:eastAsia="Traditional Arabic" w:hAnsi="Traditional Arabic" w:cs="Traditional Arabic"/>
          <w:color w:val="1A1A1A"/>
          <w:sz w:val="22"/>
          <w:szCs w:val="22"/>
          <w:rtl/>
        </w:rPr>
        <w:t>Brainwave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signatures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Quranic</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listening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w:t>
      </w:r>
      <w:proofErr w:type="spellEnd"/>
      <w:r>
        <w:rPr>
          <w:rFonts w:ascii="Traditional Arabic" w:eastAsia="Traditional Arabic" w:hAnsi="Traditional Arabic" w:cs="Traditional Arabic"/>
          <w:color w:val="1A1A1A"/>
          <w:sz w:val="22"/>
          <w:szCs w:val="22"/>
          <w:rtl/>
        </w:rPr>
        <w:t xml:space="preserve"> EEG </w:t>
      </w:r>
      <w:proofErr w:type="spellStart"/>
      <w:r>
        <w:rPr>
          <w:rFonts w:ascii="Traditional Arabic" w:eastAsia="Traditional Arabic" w:hAnsi="Traditional Arabic" w:cs="Traditional Arabic"/>
          <w:color w:val="1A1A1A"/>
          <w:sz w:val="22"/>
          <w:szCs w:val="22"/>
          <w:rtl/>
        </w:rPr>
        <w:t>study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Advanced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Science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Letters</w:t>
      </w:r>
      <w:proofErr w:type="spellEnd"/>
      <w:r>
        <w:rPr>
          <w:rFonts w:ascii="Traditional Arabic" w:eastAsia="Traditional Arabic" w:hAnsi="Traditional Arabic" w:cs="Traditional Arabic"/>
          <w:color w:val="1A1A1A"/>
          <w:sz w:val="22"/>
          <w:szCs w:val="22"/>
          <w:rtl/>
        </w:rPr>
        <w:t>, 22(10), 3081–3085.</w:t>
      </w:r>
    </w:p>
    <w:p w14:paraId="77B46DD2" w14:textId="77777777" w:rsidR="00E67DF0" w:rsidRDefault="00000000">
      <w:pPr>
        <w:spacing w:after="140" w:line="300" w:lineRule="auto"/>
        <w:ind w:left="200"/>
        <w:jc w:val="right"/>
      </w:pPr>
      <w:proofErr w:type="spellStart"/>
      <w:r>
        <w:rPr>
          <w:rFonts w:ascii="Traditional Arabic" w:eastAsia="Traditional Arabic" w:hAnsi="Traditional Arabic" w:cs="Traditional Arabic"/>
          <w:color w:val="1A1A1A"/>
          <w:sz w:val="22"/>
          <w:szCs w:val="22"/>
          <w:rtl/>
        </w:rPr>
        <w:t>Zainuddin</w:t>
      </w:r>
      <w:proofErr w:type="spellEnd"/>
      <w:r>
        <w:rPr>
          <w:rFonts w:ascii="Traditional Arabic" w:eastAsia="Traditional Arabic" w:hAnsi="Traditional Arabic" w:cs="Traditional Arabic"/>
          <w:color w:val="1A1A1A"/>
          <w:sz w:val="22"/>
          <w:szCs w:val="22"/>
          <w:rtl/>
        </w:rPr>
        <w:t xml:space="preserve">, Z. S., </w:t>
      </w:r>
      <w:proofErr w:type="spellStart"/>
      <w:r>
        <w:rPr>
          <w:rFonts w:ascii="Traditional Arabic" w:eastAsia="Traditional Arabic" w:hAnsi="Traditional Arabic" w:cs="Traditional Arabic"/>
          <w:color w:val="1A1A1A"/>
          <w:sz w:val="22"/>
          <w:szCs w:val="22"/>
          <w:rtl/>
        </w:rPr>
        <w:t>Aziz</w:t>
      </w:r>
      <w:proofErr w:type="spellEnd"/>
      <w:r>
        <w:rPr>
          <w:rFonts w:ascii="Traditional Arabic" w:eastAsia="Traditional Arabic" w:hAnsi="Traditional Arabic" w:cs="Traditional Arabic"/>
          <w:color w:val="1A1A1A"/>
          <w:sz w:val="22"/>
          <w:szCs w:val="22"/>
          <w:rtl/>
        </w:rPr>
        <w:t xml:space="preserve">, S. A., &amp; </w:t>
      </w:r>
      <w:proofErr w:type="spellStart"/>
      <w:r>
        <w:rPr>
          <w:rFonts w:ascii="Traditional Arabic" w:eastAsia="Traditional Arabic" w:hAnsi="Traditional Arabic" w:cs="Traditional Arabic"/>
          <w:color w:val="1A1A1A"/>
          <w:sz w:val="22"/>
          <w:szCs w:val="22"/>
          <w:rtl/>
        </w:rPr>
        <w:t>Abdullah</w:t>
      </w:r>
      <w:proofErr w:type="spellEnd"/>
      <w:r>
        <w:rPr>
          <w:rFonts w:ascii="Traditional Arabic" w:eastAsia="Traditional Arabic" w:hAnsi="Traditional Arabic" w:cs="Traditional Arabic"/>
          <w:color w:val="1A1A1A"/>
          <w:sz w:val="22"/>
          <w:szCs w:val="22"/>
          <w:rtl/>
        </w:rPr>
        <w:t xml:space="preserve">, H. (2013).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effect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listening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Al-Quran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recitation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human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w:t>
      </w:r>
      <w:proofErr w:type="spellEnd"/>
      <w:r>
        <w:rPr>
          <w:rFonts w:ascii="Traditional Arabic" w:eastAsia="Traditional Arabic" w:hAnsi="Traditional Arabic" w:cs="Traditional Arabic"/>
          <w:color w:val="1A1A1A"/>
          <w:sz w:val="22"/>
          <w:szCs w:val="22"/>
          <w:rtl/>
        </w:rPr>
        <w:t xml:space="preserve"> EEG </w:t>
      </w:r>
      <w:proofErr w:type="spellStart"/>
      <w:r>
        <w:rPr>
          <w:rFonts w:ascii="Traditional Arabic" w:eastAsia="Traditional Arabic" w:hAnsi="Traditional Arabic" w:cs="Traditional Arabic"/>
          <w:color w:val="1A1A1A"/>
          <w:sz w:val="22"/>
          <w:szCs w:val="22"/>
          <w:rtl/>
        </w:rPr>
        <w:t>study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Procedia</w:t>
      </w:r>
      <w:proofErr w:type="spellEnd"/>
      <w:r>
        <w:rPr>
          <w:rFonts w:ascii="Traditional Arabic" w:eastAsia="Traditional Arabic" w:hAnsi="Traditional Arabic" w:cs="Traditional Arabic"/>
          <w:color w:val="1A1A1A"/>
          <w:sz w:val="22"/>
          <w:szCs w:val="22"/>
          <w:rtl/>
        </w:rPr>
        <w:t xml:space="preserve"> – </w:t>
      </w:r>
      <w:proofErr w:type="spellStart"/>
      <w:r>
        <w:rPr>
          <w:rFonts w:ascii="Traditional Arabic" w:eastAsia="Traditional Arabic" w:hAnsi="Traditional Arabic" w:cs="Traditional Arabic"/>
          <w:color w:val="1A1A1A"/>
          <w:sz w:val="22"/>
          <w:szCs w:val="22"/>
          <w:rtl/>
        </w:rPr>
        <w:t>Social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Behavioral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Sciences</w:t>
      </w:r>
      <w:proofErr w:type="spellEnd"/>
      <w:r>
        <w:rPr>
          <w:rFonts w:ascii="Traditional Arabic" w:eastAsia="Traditional Arabic" w:hAnsi="Traditional Arabic" w:cs="Traditional Arabic"/>
          <w:color w:val="1A1A1A"/>
          <w:sz w:val="22"/>
          <w:szCs w:val="22"/>
          <w:rtl/>
        </w:rPr>
        <w:t>, 97, 687–693.</w:t>
      </w:r>
    </w:p>
    <w:p w14:paraId="5FE60128"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 xml:space="preserve">ثالثاً: مراجع في علم الأعصاب ونظرية </w:t>
      </w:r>
      <w:proofErr w:type="spellStart"/>
      <w:r>
        <w:rPr>
          <w:rFonts w:ascii="Traditional Arabic" w:eastAsia="Traditional Arabic" w:hAnsi="Traditional Arabic" w:cs="Traditional Arabic"/>
          <w:b/>
          <w:bCs/>
          <w:color w:val="0F6B6B"/>
          <w:sz w:val="29"/>
          <w:szCs w:val="29"/>
          <w:rtl/>
        </w:rPr>
        <w:t>بوليفاغال</w:t>
      </w:r>
      <w:proofErr w:type="spellEnd"/>
    </w:p>
    <w:p w14:paraId="15C73CB7" w14:textId="77777777" w:rsidR="00E67DF0" w:rsidRDefault="00000000">
      <w:pPr>
        <w:spacing w:after="140" w:line="300" w:lineRule="auto"/>
        <w:ind w:left="200"/>
        <w:jc w:val="right"/>
      </w:pPr>
      <w:proofErr w:type="spellStart"/>
      <w:r>
        <w:rPr>
          <w:rFonts w:ascii="Traditional Arabic" w:eastAsia="Traditional Arabic" w:hAnsi="Traditional Arabic" w:cs="Traditional Arabic"/>
          <w:color w:val="1A1A1A"/>
          <w:sz w:val="22"/>
          <w:szCs w:val="22"/>
          <w:rtl/>
        </w:rPr>
        <w:t>Porges</w:t>
      </w:r>
      <w:proofErr w:type="spellEnd"/>
      <w:r>
        <w:rPr>
          <w:rFonts w:ascii="Traditional Arabic" w:eastAsia="Traditional Arabic" w:hAnsi="Traditional Arabic" w:cs="Traditional Arabic"/>
          <w:color w:val="1A1A1A"/>
          <w:sz w:val="22"/>
          <w:szCs w:val="22"/>
          <w:rtl/>
        </w:rPr>
        <w:t xml:space="preserve">, S. W. (2011).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Polyvagal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Theory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Neurophysiological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Foundations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Emotions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Communication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Self-Regulation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 W. </w:t>
      </w:r>
      <w:proofErr w:type="spellStart"/>
      <w:r>
        <w:rPr>
          <w:rFonts w:ascii="Traditional Arabic" w:eastAsia="Traditional Arabic" w:hAnsi="Traditional Arabic" w:cs="Traditional Arabic"/>
          <w:color w:val="1A1A1A"/>
          <w:sz w:val="22"/>
          <w:szCs w:val="22"/>
          <w:rtl/>
        </w:rPr>
        <w:t>Norton</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Company</w:t>
      </w:r>
      <w:proofErr w:type="spellEnd"/>
      <w:r>
        <w:rPr>
          <w:rFonts w:ascii="Traditional Arabic" w:eastAsia="Traditional Arabic" w:hAnsi="Traditional Arabic" w:cs="Traditional Arabic"/>
          <w:color w:val="1A1A1A"/>
          <w:sz w:val="22"/>
          <w:szCs w:val="22"/>
          <w:rtl/>
        </w:rPr>
        <w:t>.</w:t>
      </w:r>
    </w:p>
    <w:p w14:paraId="17710283" w14:textId="77777777" w:rsidR="00E67DF0" w:rsidRDefault="00000000">
      <w:pPr>
        <w:spacing w:after="140" w:line="300" w:lineRule="auto"/>
        <w:ind w:left="200"/>
        <w:jc w:val="right"/>
      </w:pPr>
      <w:proofErr w:type="spellStart"/>
      <w:r>
        <w:rPr>
          <w:rFonts w:ascii="Traditional Arabic" w:eastAsia="Traditional Arabic" w:hAnsi="Traditional Arabic" w:cs="Traditional Arabic"/>
          <w:color w:val="1A1A1A"/>
          <w:sz w:val="22"/>
          <w:szCs w:val="22"/>
          <w:rtl/>
        </w:rPr>
        <w:t>LeDoux</w:t>
      </w:r>
      <w:proofErr w:type="spellEnd"/>
      <w:r>
        <w:rPr>
          <w:rFonts w:ascii="Traditional Arabic" w:eastAsia="Traditional Arabic" w:hAnsi="Traditional Arabic" w:cs="Traditional Arabic"/>
          <w:color w:val="1A1A1A"/>
          <w:sz w:val="22"/>
          <w:szCs w:val="22"/>
          <w:rtl/>
        </w:rPr>
        <w:t xml:space="preserve">, J. E. (1996).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Emotional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Mysterious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Underpinnings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Emotional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Life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Simon</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Schuster</w:t>
      </w:r>
      <w:proofErr w:type="spellEnd"/>
      <w:r>
        <w:rPr>
          <w:rFonts w:ascii="Traditional Arabic" w:eastAsia="Traditional Arabic" w:hAnsi="Traditional Arabic" w:cs="Traditional Arabic"/>
          <w:color w:val="1A1A1A"/>
          <w:sz w:val="22"/>
          <w:szCs w:val="22"/>
          <w:rtl/>
        </w:rPr>
        <w:t>.</w:t>
      </w:r>
    </w:p>
    <w:p w14:paraId="657A20BF" w14:textId="77777777" w:rsidR="00E67DF0" w:rsidRDefault="00000000">
      <w:pPr>
        <w:spacing w:after="140" w:line="300" w:lineRule="auto"/>
        <w:ind w:left="200"/>
        <w:jc w:val="right"/>
      </w:pPr>
      <w:proofErr w:type="spellStart"/>
      <w:r>
        <w:rPr>
          <w:rFonts w:ascii="Traditional Arabic" w:eastAsia="Traditional Arabic" w:hAnsi="Traditional Arabic" w:cs="Traditional Arabic"/>
          <w:color w:val="1A1A1A"/>
          <w:sz w:val="22"/>
          <w:szCs w:val="22"/>
          <w:rtl/>
        </w:rPr>
        <w:t>Siegel</w:t>
      </w:r>
      <w:proofErr w:type="spellEnd"/>
      <w:r>
        <w:rPr>
          <w:rFonts w:ascii="Traditional Arabic" w:eastAsia="Traditional Arabic" w:hAnsi="Traditional Arabic" w:cs="Traditional Arabic"/>
          <w:color w:val="1A1A1A"/>
          <w:sz w:val="22"/>
          <w:szCs w:val="22"/>
          <w:rtl/>
        </w:rPr>
        <w:t xml:space="preserve">, D. J. (2007).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Mindful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Reflection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Attunement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Cultivation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Well-Being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 W. </w:t>
      </w:r>
      <w:proofErr w:type="spellStart"/>
      <w:r>
        <w:rPr>
          <w:rFonts w:ascii="Traditional Arabic" w:eastAsia="Traditional Arabic" w:hAnsi="Traditional Arabic" w:cs="Traditional Arabic"/>
          <w:color w:val="1A1A1A"/>
          <w:sz w:val="22"/>
          <w:szCs w:val="22"/>
          <w:rtl/>
        </w:rPr>
        <w:t>Norton</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Company</w:t>
      </w:r>
      <w:proofErr w:type="spellEnd"/>
      <w:r>
        <w:rPr>
          <w:rFonts w:ascii="Traditional Arabic" w:eastAsia="Traditional Arabic" w:hAnsi="Traditional Arabic" w:cs="Traditional Arabic"/>
          <w:color w:val="1A1A1A"/>
          <w:sz w:val="22"/>
          <w:szCs w:val="22"/>
          <w:rtl/>
        </w:rPr>
        <w:t>.</w:t>
      </w:r>
    </w:p>
    <w:p w14:paraId="19473254" w14:textId="77777777" w:rsidR="00E67DF0" w:rsidRDefault="00000000">
      <w:pPr>
        <w:pStyle w:val="2"/>
        <w:bidi/>
        <w:spacing w:before="340" w:after="180"/>
        <w:jc w:val="right"/>
      </w:pPr>
      <w:r>
        <w:rPr>
          <w:rFonts w:ascii="Traditional Arabic" w:eastAsia="Traditional Arabic" w:hAnsi="Traditional Arabic" w:cs="Traditional Arabic"/>
          <w:b/>
          <w:bCs/>
          <w:color w:val="0F6B6B"/>
          <w:sz w:val="29"/>
          <w:szCs w:val="29"/>
          <w:rtl/>
        </w:rPr>
        <w:t>رابعاً: مراجع في التراث الإسلامي والتصوف</w:t>
      </w:r>
    </w:p>
    <w:p w14:paraId="5B628C6B" w14:textId="77777777" w:rsidR="00E67DF0" w:rsidRDefault="00000000">
      <w:pPr>
        <w:spacing w:after="140" w:line="300" w:lineRule="auto"/>
        <w:ind w:left="200"/>
        <w:jc w:val="right"/>
      </w:pPr>
      <w:r>
        <w:rPr>
          <w:rFonts w:ascii="Traditional Arabic" w:eastAsia="Traditional Arabic" w:hAnsi="Traditional Arabic" w:cs="Traditional Arabic"/>
          <w:color w:val="1A1A1A"/>
          <w:sz w:val="22"/>
          <w:szCs w:val="22"/>
          <w:rtl/>
        </w:rPr>
        <w:t>القرآن الكريم.</w:t>
      </w:r>
    </w:p>
    <w:p w14:paraId="6EB1BEC8" w14:textId="77777777" w:rsidR="00E67DF0" w:rsidRDefault="00000000">
      <w:pPr>
        <w:spacing w:after="140" w:line="300" w:lineRule="auto"/>
        <w:ind w:left="200"/>
        <w:jc w:val="right"/>
      </w:pPr>
      <w:r>
        <w:rPr>
          <w:rFonts w:ascii="Traditional Arabic" w:eastAsia="Traditional Arabic" w:hAnsi="Traditional Arabic" w:cs="Traditional Arabic"/>
          <w:color w:val="1A1A1A"/>
          <w:sz w:val="22"/>
          <w:szCs w:val="22"/>
          <w:rtl/>
        </w:rPr>
        <w:t>الغزالي، أبو حامد. (د.ت.). إحياء علوم الدين. بيروت: دار المعرفة.</w:t>
      </w:r>
    </w:p>
    <w:p w14:paraId="33F0FDA9" w14:textId="77777777" w:rsidR="00E67DF0" w:rsidRDefault="00000000">
      <w:pPr>
        <w:spacing w:after="140" w:line="300" w:lineRule="auto"/>
        <w:ind w:left="200"/>
        <w:jc w:val="right"/>
      </w:pPr>
      <w:r>
        <w:rPr>
          <w:rFonts w:ascii="Traditional Arabic" w:eastAsia="Traditional Arabic" w:hAnsi="Traditional Arabic" w:cs="Traditional Arabic"/>
          <w:color w:val="1A1A1A"/>
          <w:sz w:val="22"/>
          <w:szCs w:val="22"/>
          <w:rtl/>
        </w:rPr>
        <w:t>ابن القيم الجوزية. (د.ت.). مدارج السالكين بين منازل إياك نعبد وإياك نستعين. تحقيق: محمد حامد الفقي. بيروت: دار الكتاب العربي.</w:t>
      </w:r>
    </w:p>
    <w:p w14:paraId="3F4011BD" w14:textId="77777777" w:rsidR="00E67DF0" w:rsidRDefault="00000000">
      <w:pPr>
        <w:spacing w:after="140" w:line="300" w:lineRule="auto"/>
        <w:ind w:left="200"/>
        <w:jc w:val="right"/>
      </w:pPr>
      <w:r>
        <w:rPr>
          <w:rFonts w:ascii="Traditional Arabic" w:eastAsia="Traditional Arabic" w:hAnsi="Traditional Arabic" w:cs="Traditional Arabic"/>
          <w:color w:val="1A1A1A"/>
          <w:sz w:val="22"/>
          <w:szCs w:val="22"/>
          <w:rtl/>
        </w:rPr>
        <w:t>ابن القيم الجوزية. (د.ت.). إغاثة اللهفان من مصايد الشيطان.</w:t>
      </w:r>
    </w:p>
    <w:p w14:paraId="17F5553B" w14:textId="77777777" w:rsidR="00E67DF0" w:rsidRDefault="00000000">
      <w:pPr>
        <w:spacing w:after="140" w:line="300" w:lineRule="auto"/>
        <w:ind w:left="200"/>
        <w:jc w:val="right"/>
      </w:pPr>
      <w:r>
        <w:rPr>
          <w:rFonts w:ascii="Traditional Arabic" w:eastAsia="Traditional Arabic" w:hAnsi="Traditional Arabic" w:cs="Traditional Arabic"/>
          <w:color w:val="1A1A1A"/>
          <w:sz w:val="22"/>
          <w:szCs w:val="22"/>
          <w:rtl/>
        </w:rPr>
        <w:t>المحاسبي، الحارث بن أسد. (د.ت.). الرعاية لحقوق الله.</w:t>
      </w:r>
    </w:p>
    <w:sectPr w:rsidR="00E67DF0">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7C60F" w14:textId="77777777" w:rsidR="00772202" w:rsidRDefault="00772202">
      <w:r>
        <w:separator/>
      </w:r>
    </w:p>
  </w:endnote>
  <w:endnote w:type="continuationSeparator" w:id="0">
    <w:p w14:paraId="63C80DEF" w14:textId="77777777" w:rsidR="00772202" w:rsidRDefault="00772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929A" w14:textId="77777777" w:rsidR="00E67DF0" w:rsidRDefault="00000000">
    <w:pPr>
      <w:jc w:val="center"/>
    </w:pPr>
    <w:r>
      <w:rPr>
        <w:rFonts w:ascii="Traditional Arabic" w:eastAsia="Traditional Arabic" w:hAnsi="Traditional Arabic" w:cs="Traditional Arabic"/>
        <w:color w:val="1B2A4A"/>
        <w:sz w:val="18"/>
        <w:szCs w:val="18"/>
      </w:rPr>
      <w:fldChar w:fldCharType="begin"/>
    </w:r>
    <w:r>
      <w:rPr>
        <w:rFonts w:ascii="Traditional Arabic" w:eastAsia="Traditional Arabic" w:hAnsi="Traditional Arabic" w:cs="Traditional Arabic"/>
        <w:color w:val="1B2A4A"/>
        <w:sz w:val="18"/>
        <w:szCs w:val="18"/>
      </w:rPr>
      <w:instrText>PAGE</w:instrText>
    </w:r>
    <w:r>
      <w:rPr>
        <w:rFonts w:ascii="Traditional Arabic" w:eastAsia="Traditional Arabic" w:hAnsi="Traditional Arabic" w:cs="Traditional Arabic"/>
        <w:color w:val="1B2A4A"/>
        <w:sz w:val="18"/>
        <w:szCs w:val="18"/>
      </w:rPr>
      <w:fldChar w:fldCharType="separate"/>
    </w:r>
    <w:r>
      <w:rPr>
        <w:rFonts w:ascii="Traditional Arabic" w:eastAsia="Traditional Arabic" w:hAnsi="Traditional Arabic" w:cs="Traditional Arabic"/>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85518" w14:textId="77777777" w:rsidR="00772202" w:rsidRDefault="00772202">
      <w:r>
        <w:separator/>
      </w:r>
    </w:p>
  </w:footnote>
  <w:footnote w:type="continuationSeparator" w:id="0">
    <w:p w14:paraId="3B254795" w14:textId="77777777" w:rsidR="00772202" w:rsidRDefault="00772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A2B3" w14:textId="77777777" w:rsidR="00E67DF0" w:rsidRDefault="00000000">
    <w:pPr>
      <w:pBdr>
        <w:bottom w:val="single" w:sz="4" w:space="4" w:color="0F6B6B"/>
      </w:pBdr>
      <w:jc w:val="center"/>
    </w:pPr>
    <w:r>
      <w:rPr>
        <w:rFonts w:ascii="Traditional Arabic" w:eastAsia="Traditional Arabic" w:hAnsi="Traditional Arabic" w:cs="Traditional Arabic"/>
        <w:i/>
        <w:iCs/>
        <w:color w:val="0F6B6B"/>
        <w:sz w:val="18"/>
        <w:szCs w:val="18"/>
        <w:rtl/>
      </w:rPr>
      <w:t>علم النفس الاستخلافي — عبد السلام الزراع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F6A8F"/>
    <w:multiLevelType w:val="hybridMultilevel"/>
    <w:tmpl w:val="FFFFFFFF"/>
    <w:lvl w:ilvl="0" w:tplc="995259D0">
      <w:start w:val="1"/>
      <w:numFmt w:val="bullet"/>
      <w:lvlText w:val="●"/>
      <w:lvlJc w:val="left"/>
      <w:pPr>
        <w:ind w:left="720" w:hanging="360"/>
      </w:pPr>
    </w:lvl>
    <w:lvl w:ilvl="1" w:tplc="07C21B26">
      <w:start w:val="1"/>
      <w:numFmt w:val="bullet"/>
      <w:lvlText w:val="○"/>
      <w:lvlJc w:val="left"/>
      <w:pPr>
        <w:ind w:left="1440" w:hanging="360"/>
      </w:pPr>
    </w:lvl>
    <w:lvl w:ilvl="2" w:tplc="C40ED77C">
      <w:start w:val="1"/>
      <w:numFmt w:val="bullet"/>
      <w:lvlText w:val="■"/>
      <w:lvlJc w:val="left"/>
      <w:pPr>
        <w:ind w:left="2160" w:hanging="360"/>
      </w:pPr>
    </w:lvl>
    <w:lvl w:ilvl="3" w:tplc="6226B84A">
      <w:start w:val="1"/>
      <w:numFmt w:val="bullet"/>
      <w:lvlText w:val="●"/>
      <w:lvlJc w:val="left"/>
      <w:pPr>
        <w:ind w:left="2880" w:hanging="360"/>
      </w:pPr>
    </w:lvl>
    <w:lvl w:ilvl="4" w:tplc="696CAA8C">
      <w:start w:val="1"/>
      <w:numFmt w:val="bullet"/>
      <w:lvlText w:val="○"/>
      <w:lvlJc w:val="left"/>
      <w:pPr>
        <w:ind w:left="3600" w:hanging="360"/>
      </w:pPr>
    </w:lvl>
    <w:lvl w:ilvl="5" w:tplc="2FE4AAAA">
      <w:start w:val="1"/>
      <w:numFmt w:val="bullet"/>
      <w:lvlText w:val="■"/>
      <w:lvlJc w:val="left"/>
      <w:pPr>
        <w:ind w:left="4320" w:hanging="360"/>
      </w:pPr>
    </w:lvl>
    <w:lvl w:ilvl="6" w:tplc="A904AB5E">
      <w:start w:val="1"/>
      <w:numFmt w:val="bullet"/>
      <w:lvlText w:val="●"/>
      <w:lvlJc w:val="left"/>
      <w:pPr>
        <w:ind w:left="5040" w:hanging="360"/>
      </w:pPr>
    </w:lvl>
    <w:lvl w:ilvl="7" w:tplc="E13E9F2E">
      <w:start w:val="1"/>
      <w:numFmt w:val="bullet"/>
      <w:lvlText w:val="●"/>
      <w:lvlJc w:val="left"/>
      <w:pPr>
        <w:ind w:left="5760" w:hanging="360"/>
      </w:pPr>
    </w:lvl>
    <w:lvl w:ilvl="8" w:tplc="577C82BA">
      <w:start w:val="1"/>
      <w:numFmt w:val="bullet"/>
      <w:lvlText w:val="●"/>
      <w:lvlJc w:val="left"/>
      <w:pPr>
        <w:ind w:left="6480" w:hanging="360"/>
      </w:pPr>
    </w:lvl>
  </w:abstractNum>
  <w:num w:numId="1" w16cid:durableId="1151059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DF0"/>
    <w:rsid w:val="005F2BFB"/>
    <w:rsid w:val="00772202"/>
    <w:rsid w:val="008B6849"/>
    <w:rsid w:val="00E67D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6B9A6B6"/>
  <w15:docId w15:val="{B5F8CAE2-0915-334E-BD69-6C564168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2991</Words>
  <Characters>17051</Characters>
  <Application>Microsoft Office Word</Application>
  <DocSecurity>0</DocSecurity>
  <Lines>142</Lines>
  <Paragraphs>40</Paragraphs>
  <ScaleCrop>false</ScaleCrop>
  <Company/>
  <LinksUpToDate>false</LinksUpToDate>
  <CharactersWithSpaces>20002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2026-07-13T20:04:00Z</dcterms:created>
  <dcterms:modified xsi:type="dcterms:W3CDTF">2026-07-13T20:53:00Z</dcterms:modified>
</cp:coreProperties>
</file>