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2F73E" w14:textId="77777777" w:rsidR="009E3FB9" w:rsidRDefault="009E3FB9">
      <w:pPr>
        <w:spacing w:before="1800"/>
      </w:pPr>
    </w:p>
    <w:p w14:paraId="1553BF12" w14:textId="77777777" w:rsidR="009E3FB9" w:rsidRDefault="00000000">
      <w:pPr>
        <w:pBdr>
          <w:top w:val="double" w:sz="6" w:space="6" w:color="B8860B"/>
          <w:bottom w:val="double" w:sz="6" w:space="6" w:color="B8860B"/>
        </w:pBdr>
        <w:spacing w:before="240" w:after="240"/>
        <w:jc w:val="center"/>
      </w:pPr>
      <w:r>
        <w:rPr>
          <w:b/>
          <w:bCs/>
          <w:color w:val="1A2A4A"/>
          <w:sz w:val="56"/>
          <w:szCs w:val="56"/>
        </w:rPr>
        <w:t>أركيولوجيا الجرح الخطابي</w:t>
      </w:r>
    </w:p>
    <w:p w14:paraId="48D5DC32" w14:textId="77777777" w:rsidR="009E3FB9" w:rsidRDefault="00000000">
      <w:pPr>
        <w:spacing w:before="120"/>
        <w:jc w:val="center"/>
      </w:pPr>
      <w:r>
        <w:rPr>
          <w:rFonts w:ascii="Garamond" w:eastAsia="Garamond" w:hAnsi="Garamond" w:cs="Garamond"/>
          <w:color w:val="B8860B"/>
          <w:sz w:val="24"/>
          <w:szCs w:val="24"/>
        </w:rPr>
        <w:t>─────────────────────────────────</w:t>
      </w:r>
    </w:p>
    <w:p w14:paraId="4F6D4F04" w14:textId="77777777" w:rsidR="009E3FB9" w:rsidRDefault="00000000">
      <w:pPr>
        <w:spacing w:before="120" w:after="120"/>
        <w:jc w:val="center"/>
      </w:pPr>
      <w:r>
        <w:rPr>
          <w:b/>
          <w:bCs/>
          <w:color w:val="2E6B7B"/>
          <w:sz w:val="36"/>
          <w:szCs w:val="36"/>
        </w:rPr>
        <w:t>فتحي بن سلامة والبنية الثقافية العربية</w:t>
      </w:r>
    </w:p>
    <w:p w14:paraId="2F7D3907" w14:textId="77777777" w:rsidR="009E3FB9" w:rsidRDefault="00000000">
      <w:pPr>
        <w:spacing w:before="80" w:after="80"/>
        <w:jc w:val="center"/>
      </w:pPr>
      <w:r>
        <w:rPr>
          <w:rFonts w:ascii="Garamond" w:eastAsia="Garamond" w:hAnsi="Garamond" w:cs="Garamond"/>
          <w:i/>
          <w:iCs/>
          <w:color w:val="B8860B"/>
        </w:rPr>
        <w:t>Archéologie de la Blessure Discursive</w:t>
      </w:r>
    </w:p>
    <w:p w14:paraId="72017C95" w14:textId="77777777" w:rsidR="009E3FB9" w:rsidRDefault="009E3FB9">
      <w:pPr>
        <w:spacing w:before="600"/>
      </w:pPr>
    </w:p>
    <w:p w14:paraId="3E15656D" w14:textId="77777777" w:rsidR="009E3FB9" w:rsidRDefault="00000000">
      <w:pPr>
        <w:spacing w:before="80"/>
        <w:jc w:val="center"/>
      </w:pPr>
      <w:r>
        <w:rPr>
          <w:color w:val="1A2A4A"/>
          <w:sz w:val="28"/>
          <w:szCs w:val="28"/>
        </w:rPr>
        <w:t>تأليف: عبد السلام الزراع</w:t>
      </w:r>
    </w:p>
    <w:p w14:paraId="55E0E5D5" w14:textId="77777777" w:rsidR="009E3FB9" w:rsidRDefault="00000000">
      <w:pPr>
        <w:spacing w:before="40"/>
        <w:jc w:val="center"/>
      </w:pPr>
      <w:r>
        <w:rPr>
          <w:rFonts w:ascii="Garamond" w:eastAsia="Garamond" w:hAnsi="Garamond" w:cs="Garamond"/>
          <w:i/>
          <w:iCs/>
          <w:color w:val="B8860B"/>
          <w:sz w:val="22"/>
          <w:szCs w:val="22"/>
        </w:rPr>
        <w:t>Février 2026 — قصور الساف</w:t>
      </w:r>
    </w:p>
    <w:p w14:paraId="2FDDF10D" w14:textId="77777777" w:rsidR="009E3FB9" w:rsidRDefault="00000000">
      <w:r>
        <w:br w:type="page"/>
      </w:r>
    </w:p>
    <w:p w14:paraId="70753CF0" w14:textId="77777777" w:rsidR="009E3FB9" w:rsidRDefault="00000000">
      <w:pPr>
        <w:pStyle w:val="1"/>
        <w:pBdr>
          <w:bottom w:val="single" w:sz="6" w:space="6" w:color="B8860B"/>
        </w:pBdr>
        <w:bidi/>
        <w:jc w:val="center"/>
      </w:pPr>
      <w:r>
        <w:rPr>
          <w:sz w:val="42"/>
          <w:szCs w:val="42"/>
        </w:rPr>
        <w:t>توطئة: في تأسيس مفهوم «أركيولوجيا الجرح الخطابي»</w:t>
      </w:r>
    </w:p>
    <w:p w14:paraId="5CAFAC63" w14:textId="77777777" w:rsidR="009E3FB9" w:rsidRDefault="00000000" w:rsidP="00912171">
      <w:pPr>
        <w:pStyle w:val="2"/>
        <w:pBdr>
          <w:right w:val="thick" w:sz="8" w:space="6" w:color="2E6B7B"/>
        </w:pBdr>
        <w:bidi/>
        <w:spacing w:before="360" w:after="180"/>
        <w:ind w:right="200"/>
        <w:jc w:val="center"/>
      </w:pPr>
      <w:r>
        <w:rPr>
          <w:sz w:val="34"/>
          <w:szCs w:val="34"/>
        </w:rPr>
        <w:t>تمهيد: من موت الإله إلى موت الإنسان</w:t>
      </w:r>
    </w:p>
    <w:p w14:paraId="5A752CB4" w14:textId="77777777" w:rsidR="009E3FB9" w:rsidRDefault="00000000" w:rsidP="003103F4">
      <w:pPr>
        <w:spacing w:before="80" w:after="80" w:line="340" w:lineRule="auto"/>
      </w:pPr>
      <w:r>
        <w:rPr>
          <w:color w:val="000000"/>
        </w:rPr>
        <w:t>لا يمكن فهم أي مشروع فكري يُعيد الاعتبار للذات دون المرور بالمحطات الكبرى التي أعلنت، تباعاً، نبأ وفاة الآلهة ثم نبأ وفاة الإنسان. فمنذ أن أعلن نيتشه، على لسان ذلك المجنون في السوق، أن «الإله ميت»، انفتحت الجراح التي كانت تسترها السماء. لم يعد هناك أب أعلى يضمن المعنى، ولا حقيقة متعالية تمنح الطمأنينة.</w:t>
      </w:r>
    </w:p>
    <w:p w14:paraId="5C40CDF4" w14:textId="77777777" w:rsidR="009E3FB9" w:rsidRDefault="00000000" w:rsidP="003103F4">
      <w:pPr>
        <w:spacing w:before="80" w:after="80" w:line="340" w:lineRule="auto"/>
      </w:pPr>
      <w:r>
        <w:rPr>
          <w:color w:val="000000"/>
        </w:rPr>
        <w:t>سقط السقف، وهكذا صار الإنسان مكشوفاً على فراغه، وعلى جراحه التي لم تعد تجد ملاذاً في سماء المتعالي. لكن هذه الصحوة النيتشوية، التي أرادت تحرير الإنسان من أغلال الماورائيات، لم تلبث أن تحولت على يد فوكو إلى إعلان جنائزي جديد: «موت الإنسان».</w:t>
      </w:r>
    </w:p>
    <w:p w14:paraId="3D29FE4E" w14:textId="77777777" w:rsidR="009E3FB9" w:rsidRDefault="00000000" w:rsidP="003103F4">
      <w:pPr>
        <w:pBdr>
          <w:right w:val="thick" w:sz="8" w:space="8" w:color="B8860B"/>
        </w:pBdr>
        <w:shd w:val="clear" w:color="auto" w:fill="EAF2F8"/>
        <w:spacing w:before="120" w:after="120" w:line="320" w:lineRule="auto"/>
        <w:ind w:left="600" w:right="600"/>
      </w:pPr>
      <w:r>
        <w:rPr>
          <w:i/>
          <w:iCs/>
          <w:color w:val="1A2A4A"/>
          <w:sz w:val="25"/>
          <w:szCs w:val="25"/>
        </w:rPr>
        <w:t>«حتى بعد موت الإله، وحتى بعد موت الإنسان، يبقى هناك إنسان جريح ينتظر من يعيد إليه صوته، ويسمح له بالكلام، ليس كذات وهمية، بل ككائن من لحم ودم، من تاريخ وجروح، من نجاحات وانكسارات.» — عبد السلام الزراع</w:t>
      </w:r>
    </w:p>
    <w:p w14:paraId="0F0DC90F" w14:textId="77777777" w:rsidR="009E3FB9" w:rsidRDefault="00000000" w:rsidP="003103F4">
      <w:pPr>
        <w:pStyle w:val="2"/>
        <w:pBdr>
          <w:right w:val="thick" w:sz="8" w:space="6" w:color="2E6B7B"/>
        </w:pBdr>
        <w:bidi/>
        <w:spacing w:before="360" w:after="180"/>
        <w:ind w:right="200"/>
      </w:pPr>
      <w:r>
        <w:rPr>
          <w:sz w:val="34"/>
          <w:szCs w:val="34"/>
        </w:rPr>
        <w:t>أركيولوجيا الجرح الخطابي: إعادة الذات إلى مركز الحفر</w:t>
      </w:r>
    </w:p>
    <w:p w14:paraId="1EE70C4F" w14:textId="77777777" w:rsidR="009E3FB9" w:rsidRDefault="00000000" w:rsidP="003103F4">
      <w:pPr>
        <w:spacing w:before="80" w:after="80" w:line="340" w:lineRule="auto"/>
      </w:pPr>
      <w:r>
        <w:rPr>
          <w:color w:val="000000"/>
        </w:rPr>
        <w:t>يأتي مشروع «أركيولوجيا الجرح الخطابي» في هذا السياق ليؤسس لنفسه. نستعير لفظ «أركيولوجيا» لا للدلالة على نفس المنظومة الفوكوية، بل لقلبها من الداخل. فإذا كانت أركيولوجيا فوكو تحفر في الخطاب لتُبيّن كيف تم إنتاج الذات، فإن أركيولوجيا الجرح الخطابي تحفر في الخطاب لتعثر على الذات التي ضاعت.</w:t>
      </w:r>
    </w:p>
    <w:p w14:paraId="20CFED98" w14:textId="77777777" w:rsidR="009E3FB9" w:rsidRDefault="00000000" w:rsidP="003103F4">
      <w:pPr>
        <w:spacing w:before="200" w:after="200"/>
      </w:pPr>
      <w:r>
        <w:rPr>
          <w:rFonts w:ascii="Garamond" w:eastAsia="Garamond" w:hAnsi="Garamond" w:cs="Garamond"/>
          <w:color w:val="B8860B"/>
          <w:sz w:val="22"/>
          <w:szCs w:val="22"/>
        </w:rPr>
        <w:t>✦  ✦  ✦</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9E3FB9" w14:paraId="57CD7261" w14:textId="77777777">
        <w:tc>
          <w:tcPr>
            <w:tcW w:w="9000" w:type="dxa"/>
            <w:tcBorders>
              <w:top w:val="single" w:sz="4" w:space="0" w:color="2E6B7B"/>
              <w:left w:val="single" w:sz="4" w:space="0" w:color="2E6B7B"/>
              <w:bottom w:val="single" w:sz="4" w:space="0" w:color="2E6B7B"/>
              <w:right w:val="single" w:sz="4" w:space="0" w:color="2E6B7B"/>
            </w:tcBorders>
            <w:shd w:val="clear" w:color="auto" w:fill="EAF2F8"/>
            <w:tcMar>
              <w:top w:w="120" w:type="dxa"/>
              <w:left w:w="180" w:type="dxa"/>
              <w:bottom w:w="40" w:type="dxa"/>
              <w:right w:w="180" w:type="dxa"/>
            </w:tcMar>
          </w:tcPr>
          <w:p w14:paraId="63DAB137" w14:textId="77777777" w:rsidR="009E3FB9" w:rsidRDefault="00000000" w:rsidP="003103F4">
            <w:r>
              <w:rPr>
                <w:b/>
                <w:bCs/>
                <w:color w:val="2E6B7B"/>
                <w:sz w:val="28"/>
                <w:szCs w:val="28"/>
              </w:rPr>
              <w:t>أركيولوجيا الجرح الخطابي — التعريف التأسيسي</w:t>
            </w:r>
          </w:p>
        </w:tc>
      </w:tr>
      <w:tr w:rsidR="009E3FB9" w14:paraId="0595D17D" w14:textId="77777777">
        <w:tc>
          <w:tcPr>
            <w:tcW w:w="9000" w:type="dxa"/>
            <w:tcBorders>
              <w:top w:val="single" w:sz="4" w:space="0" w:color="2E6B7B"/>
              <w:left w:val="single" w:sz="4" w:space="0" w:color="2E6B7B"/>
              <w:bottom w:val="single" w:sz="4" w:space="0" w:color="2E6B7B"/>
              <w:right w:val="single" w:sz="4" w:space="0" w:color="2E6B7B"/>
            </w:tcBorders>
            <w:tcMar>
              <w:top w:w="80" w:type="dxa"/>
              <w:left w:w="180" w:type="dxa"/>
              <w:bottom w:w="100" w:type="dxa"/>
              <w:right w:w="180" w:type="dxa"/>
            </w:tcMar>
          </w:tcPr>
          <w:p w14:paraId="7FA9E68D" w14:textId="77777777" w:rsidR="009E3FB9" w:rsidRDefault="00000000" w:rsidP="003103F4">
            <w:pPr>
              <w:spacing w:before="40" w:after="40" w:line="320" w:lineRule="auto"/>
            </w:pPr>
            <w:r>
              <w:rPr>
                <w:color w:val="222222"/>
                <w:sz w:val="24"/>
                <w:szCs w:val="24"/>
              </w:rPr>
              <w:t>أولاً: حفر في الطبقات الجيولوجية للخطاب، للوصول إلى الصدمات التأسيسية التي شكّلت الذات قبل أن تُشكّل خطابها.</w:t>
            </w:r>
          </w:p>
          <w:p w14:paraId="33FE9DF8" w14:textId="77777777" w:rsidR="009E3FB9" w:rsidRDefault="00000000" w:rsidP="003103F4">
            <w:pPr>
              <w:spacing w:before="40" w:after="40" w:line="320" w:lineRule="auto"/>
            </w:pPr>
            <w:r>
              <w:rPr>
                <w:color w:val="222222"/>
                <w:sz w:val="24"/>
                <w:szCs w:val="24"/>
              </w:rPr>
              <w:t>ثانياً: كشف عن العلاقة بين الجرح والخطاب، بفهم كيف يتسامى الألم الشخصي إلى نقد نظري ومشروع فكري.</w:t>
            </w:r>
          </w:p>
          <w:p w14:paraId="49FEF867" w14:textId="77777777" w:rsidR="009E3FB9" w:rsidRDefault="00000000" w:rsidP="003103F4">
            <w:pPr>
              <w:spacing w:before="40" w:after="40" w:line="320" w:lineRule="auto"/>
            </w:pPr>
            <w:r>
              <w:rPr>
                <w:color w:val="222222"/>
                <w:sz w:val="24"/>
                <w:szCs w:val="24"/>
              </w:rPr>
              <w:t>ثالثاً: إعادة الاعتبار للذات المنتجة، والاعتراف بأن وراء كل نظرية قصة، وخلف كل نقد جرحاً.</w:t>
            </w:r>
          </w:p>
          <w:p w14:paraId="558C61EE" w14:textId="77777777" w:rsidR="009E3FB9" w:rsidRDefault="00000000" w:rsidP="003103F4">
            <w:pPr>
              <w:spacing w:before="40" w:after="40" w:line="320" w:lineRule="auto"/>
            </w:pPr>
            <w:r>
              <w:rPr>
                <w:color w:val="222222"/>
                <w:sz w:val="24"/>
                <w:szCs w:val="24"/>
              </w:rPr>
              <w:t>الخلاصة: فوكو + فرويد | نيتشه + ريكور | الخطاب + الذات | النسق + الجُرح</w:t>
            </w:r>
          </w:p>
        </w:tc>
      </w:tr>
    </w:tbl>
    <w:p w14:paraId="5F925CB5" w14:textId="77777777" w:rsidR="009E3FB9" w:rsidRDefault="009E3FB9" w:rsidP="003103F4">
      <w:pPr>
        <w:spacing w:before="120"/>
      </w:pPr>
    </w:p>
    <w:p w14:paraId="0CFB83B8" w14:textId="77777777" w:rsidR="009E3FB9" w:rsidRDefault="00000000" w:rsidP="003103F4">
      <w:r>
        <w:br w:type="page"/>
      </w:r>
    </w:p>
    <w:p w14:paraId="27F8D5E7" w14:textId="77777777" w:rsidR="009E3FB9" w:rsidRDefault="00000000" w:rsidP="003103F4">
      <w:pPr>
        <w:pStyle w:val="1"/>
        <w:pBdr>
          <w:bottom w:val="single" w:sz="6" w:space="6" w:color="B8860B"/>
        </w:pBdr>
        <w:bidi/>
      </w:pPr>
      <w:r>
        <w:rPr>
          <w:sz w:val="42"/>
          <w:szCs w:val="42"/>
        </w:rPr>
        <w:t>الفصل الأول: الإطار النظري والمنهجي</w:t>
      </w:r>
    </w:p>
    <w:p w14:paraId="1032D144" w14:textId="77777777" w:rsidR="009E3FB9" w:rsidRDefault="00000000" w:rsidP="003103F4">
      <w:pPr>
        <w:pStyle w:val="2"/>
        <w:pBdr>
          <w:right w:val="thick" w:sz="8" w:space="6" w:color="2E6B7B"/>
        </w:pBdr>
        <w:bidi/>
        <w:spacing w:before="360" w:after="180"/>
        <w:ind w:right="200"/>
      </w:pPr>
      <w:r>
        <w:rPr>
          <w:sz w:val="34"/>
          <w:szCs w:val="34"/>
        </w:rPr>
        <w:t>الإشكالية المركزية</w:t>
      </w:r>
    </w:p>
    <w:p w14:paraId="0892E916" w14:textId="77777777" w:rsidR="009E3FB9" w:rsidRDefault="00000000" w:rsidP="003103F4">
      <w:pPr>
        <w:spacing w:before="80" w:after="80" w:line="340" w:lineRule="auto"/>
      </w:pPr>
      <w:r>
        <w:rPr>
          <w:color w:val="000000"/>
        </w:rPr>
        <w:t>تشكّل ظاهرة الخطاب النقدي حول الإسلام في الغرب، والمُنتَج من قِبَل مثقفين عرب مهاجرين، إحدى الظواهر الفكرية البالغة التعقيد في الدراسات الثقافية المعاصرة. تتمحور الإشكالية المركزية حول التناقض الجليّ بين الموقع الوجودي للمفكر كضيف في الغرب، خاضع لشروط الضيافة المشروطة، والمشروع الخطابي الذي يزعمه: تحرير الذات الإسلامية عبر أدوات التحليل النفسي والتفكيك.</w:t>
      </w:r>
    </w:p>
    <w:p w14:paraId="07049A22" w14:textId="77777777" w:rsidR="009E3FB9" w:rsidRDefault="00000000" w:rsidP="003103F4">
      <w:pPr>
        <w:pStyle w:val="2"/>
        <w:pBdr>
          <w:right w:val="thick" w:sz="8" w:space="6" w:color="2E6B7B"/>
        </w:pBdr>
        <w:bidi/>
        <w:spacing w:before="360" w:after="180"/>
        <w:ind w:right="200"/>
      </w:pPr>
      <w:r>
        <w:rPr>
          <w:sz w:val="34"/>
          <w:szCs w:val="34"/>
        </w:rPr>
        <w:t>الأسئلة البحثية</w:t>
      </w:r>
    </w:p>
    <w:p w14:paraId="5699B31D" w14:textId="77777777" w:rsidR="009E3FB9" w:rsidRDefault="00000000" w:rsidP="003103F4">
      <w:pPr>
        <w:spacing w:before="50" w:after="50" w:line="320" w:lineRule="auto"/>
        <w:ind w:left="200" w:right="400"/>
      </w:pPr>
      <w:r>
        <w:rPr>
          <w:color w:val="2E6B7B"/>
          <w:sz w:val="24"/>
          <w:szCs w:val="24"/>
        </w:rPr>
        <w:t xml:space="preserve">◆ </w:t>
      </w:r>
      <w:r>
        <w:rPr>
          <w:color w:val="000000"/>
          <w:sz w:val="24"/>
          <w:szCs w:val="24"/>
        </w:rPr>
        <w:t>ما هي الآليات النفسية الكامنة وراء اختيار بن سلامة لمرجعيات محددة (كليرامبو، بورقيبة، رشدي) في بناء خطابه؟</w:t>
      </w:r>
    </w:p>
    <w:p w14:paraId="6179322E" w14:textId="77777777" w:rsidR="009E3FB9" w:rsidRDefault="00000000" w:rsidP="003103F4">
      <w:pPr>
        <w:spacing w:before="50" w:after="50" w:line="320" w:lineRule="auto"/>
        <w:ind w:left="200" w:right="400"/>
      </w:pPr>
      <w:r>
        <w:rPr>
          <w:color w:val="2E6B7B"/>
          <w:sz w:val="24"/>
          <w:szCs w:val="24"/>
        </w:rPr>
        <w:t xml:space="preserve">◆ </w:t>
      </w:r>
      <w:r>
        <w:rPr>
          <w:color w:val="000000"/>
          <w:sz w:val="24"/>
          <w:szCs w:val="24"/>
        </w:rPr>
        <w:t>كيف يمكن قراءة مفهومَيه المركزيَّين «التطليق الأصلي» و«الجد الأصلي» كتعابير عن جرح نفسي شخصي؟</w:t>
      </w:r>
    </w:p>
    <w:p w14:paraId="0186F5F7" w14:textId="77777777" w:rsidR="009E3FB9" w:rsidRDefault="00000000" w:rsidP="003103F4">
      <w:pPr>
        <w:spacing w:before="50" w:after="50" w:line="320" w:lineRule="auto"/>
        <w:ind w:left="200" w:right="400"/>
      </w:pPr>
      <w:r>
        <w:rPr>
          <w:color w:val="2E6B7B"/>
          <w:sz w:val="24"/>
          <w:szCs w:val="24"/>
        </w:rPr>
        <w:t xml:space="preserve">◆ </w:t>
      </w:r>
      <w:r>
        <w:rPr>
          <w:color w:val="000000"/>
          <w:sz w:val="24"/>
          <w:szCs w:val="24"/>
        </w:rPr>
        <w:t>ما استراتيجيات الخطاب التي يستخدمها لتأسيس شرعيته كناقد للإسلام من موقع المهاجر المستضاف؟</w:t>
      </w:r>
    </w:p>
    <w:p w14:paraId="3196C3BF" w14:textId="77777777" w:rsidR="009E3FB9" w:rsidRDefault="00000000" w:rsidP="003103F4">
      <w:pPr>
        <w:spacing w:before="50" w:after="50" w:line="320" w:lineRule="auto"/>
        <w:ind w:left="200" w:right="400"/>
      </w:pPr>
      <w:r>
        <w:rPr>
          <w:color w:val="2E6B7B"/>
          <w:sz w:val="24"/>
          <w:szCs w:val="24"/>
        </w:rPr>
        <w:t xml:space="preserve">◆ </w:t>
      </w:r>
      <w:r>
        <w:rPr>
          <w:color w:val="000000"/>
          <w:sz w:val="24"/>
          <w:szCs w:val="24"/>
        </w:rPr>
        <w:t>كيف يُعيد خطابه إنتاج البنى الاستعمارية تحت شعارات التحرر والنقد؟</w:t>
      </w:r>
    </w:p>
    <w:p w14:paraId="7FE04702" w14:textId="77777777" w:rsidR="009E3FB9" w:rsidRDefault="00000000" w:rsidP="003103F4">
      <w:pPr>
        <w:pStyle w:val="2"/>
        <w:pBdr>
          <w:right w:val="thick" w:sz="8" w:space="6" w:color="2E6B7B"/>
        </w:pBdr>
        <w:bidi/>
        <w:spacing w:before="360" w:after="180"/>
        <w:ind w:right="200"/>
      </w:pPr>
      <w:r>
        <w:rPr>
          <w:sz w:val="34"/>
          <w:szCs w:val="34"/>
        </w:rPr>
        <w:t>الدعائم النظرية الأربع</w:t>
      </w:r>
    </w:p>
    <w:p w14:paraId="5A110E26" w14:textId="77777777" w:rsidR="009E3FB9" w:rsidRDefault="009E3FB9" w:rsidP="003103F4">
      <w:pPr>
        <w:spacing w:before="120"/>
      </w:pPr>
    </w:p>
    <w:tbl>
      <w:tblPr>
        <w:tblW w:w="90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00"/>
      </w:tblGrid>
      <w:tr w:rsidR="009E3FB9" w14:paraId="2B05A853" w14:textId="77777777">
        <w:trPr>
          <w:tblHeader/>
        </w:trPr>
        <w:tc>
          <w:tcPr>
            <w:tcW w:w="30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5B58B7F9" w14:textId="77777777" w:rsidR="009E3FB9" w:rsidRDefault="00000000" w:rsidP="003103F4">
            <w:r>
              <w:rPr>
                <w:b/>
                <w:bCs/>
                <w:color w:val="FFFFFF"/>
                <w:sz w:val="23"/>
                <w:szCs w:val="23"/>
              </w:rPr>
              <w:t>المرجعية النظرية</w:t>
            </w:r>
          </w:p>
        </w:tc>
        <w:tc>
          <w:tcPr>
            <w:tcW w:w="30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7596A212" w14:textId="77777777" w:rsidR="009E3FB9" w:rsidRDefault="00000000" w:rsidP="003103F4">
            <w:r>
              <w:rPr>
                <w:b/>
                <w:bCs/>
                <w:color w:val="FFFFFF"/>
                <w:sz w:val="23"/>
                <w:szCs w:val="23"/>
              </w:rPr>
              <w:t>الأدوات المستخدمة</w:t>
            </w:r>
          </w:p>
        </w:tc>
        <w:tc>
          <w:tcPr>
            <w:tcW w:w="30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2ED48BD8" w14:textId="77777777" w:rsidR="009E3FB9" w:rsidRDefault="00000000" w:rsidP="003103F4">
            <w:r>
              <w:rPr>
                <w:b/>
                <w:bCs/>
                <w:color w:val="FFFFFF"/>
                <w:sz w:val="23"/>
                <w:szCs w:val="23"/>
              </w:rPr>
              <w:t>التطبيق في الدراسة</w:t>
            </w:r>
          </w:p>
        </w:tc>
      </w:tr>
      <w:tr w:rsidR="009E3FB9" w14:paraId="58777D65" w14:textId="77777777">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13173D3D" w14:textId="77777777" w:rsidR="009E3FB9" w:rsidRDefault="00000000" w:rsidP="003103F4">
            <w:r>
              <w:rPr>
                <w:color w:val="333333"/>
                <w:sz w:val="22"/>
                <w:szCs w:val="22"/>
              </w:rPr>
              <w:t>دراسات ما بعد الاستعمار (سعيد، بابا، سبيفاك)</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7D9512C4" w14:textId="77777777" w:rsidR="009E3FB9" w:rsidRDefault="00000000" w:rsidP="003103F4">
            <w:r>
              <w:rPr>
                <w:color w:val="333333"/>
                <w:sz w:val="22"/>
                <w:szCs w:val="22"/>
              </w:rPr>
              <w:t>الاستشراق، التهجين، الاستشراق الذاتي</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5AFDDF97" w14:textId="77777777" w:rsidR="009E3FB9" w:rsidRDefault="00000000" w:rsidP="003103F4">
            <w:r>
              <w:rPr>
                <w:color w:val="333333"/>
                <w:sz w:val="22"/>
                <w:szCs w:val="22"/>
              </w:rPr>
              <w:t>كشف إعادة إنتاج الخطاب الاستعماري</w:t>
            </w:r>
          </w:p>
        </w:tc>
      </w:tr>
      <w:tr w:rsidR="009E3FB9" w14:paraId="12340D6A" w14:textId="77777777">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7B1267DA" w14:textId="77777777" w:rsidR="009E3FB9" w:rsidRDefault="00000000" w:rsidP="003103F4">
            <w:r>
              <w:rPr>
                <w:color w:val="333333"/>
                <w:sz w:val="22"/>
                <w:szCs w:val="22"/>
              </w:rPr>
              <w:t>التحليل النفسي (فرويد، لاكان، كريستيفا)</w:t>
            </w:r>
          </w:p>
        </w:tc>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0C270013" w14:textId="77777777" w:rsidR="009E3FB9" w:rsidRDefault="00000000" w:rsidP="003103F4">
            <w:r>
              <w:rPr>
                <w:color w:val="333333"/>
                <w:sz w:val="22"/>
                <w:szCs w:val="22"/>
              </w:rPr>
              <w:t>العقدة الأوديبية، المشهد الأولي، التسامي</w:t>
            </w:r>
          </w:p>
        </w:tc>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4F3A7F57" w14:textId="77777777" w:rsidR="009E3FB9" w:rsidRDefault="00000000" w:rsidP="003103F4">
            <w:r>
              <w:rPr>
                <w:color w:val="333333"/>
                <w:sz w:val="22"/>
                <w:szCs w:val="22"/>
              </w:rPr>
              <w:t>تحليل الجروح النفسية المؤسِّسة</w:t>
            </w:r>
          </w:p>
        </w:tc>
      </w:tr>
      <w:tr w:rsidR="009E3FB9" w14:paraId="0B13AD17" w14:textId="77777777">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71F3690E" w14:textId="77777777" w:rsidR="009E3FB9" w:rsidRDefault="00000000" w:rsidP="003103F4">
            <w:r>
              <w:rPr>
                <w:color w:val="333333"/>
                <w:sz w:val="22"/>
                <w:szCs w:val="22"/>
              </w:rPr>
              <w:t>التفكيكية والضيافة (دريدا)</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22123E37" w14:textId="77777777" w:rsidR="009E3FB9" w:rsidRDefault="00000000" w:rsidP="003103F4">
            <w:r>
              <w:rPr>
                <w:color w:val="333333"/>
                <w:sz w:val="22"/>
                <w:szCs w:val="22"/>
              </w:rPr>
              <w:t>الضيافة المشروطة، نقد التناقضات</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30E98EAF" w14:textId="77777777" w:rsidR="009E3FB9" w:rsidRDefault="00000000" w:rsidP="003103F4">
            <w:r>
              <w:rPr>
                <w:color w:val="333333"/>
                <w:sz w:val="22"/>
                <w:szCs w:val="22"/>
              </w:rPr>
              <w:t>كشف مأزق الضيف الخطابي</w:t>
            </w:r>
          </w:p>
        </w:tc>
      </w:tr>
      <w:tr w:rsidR="009E3FB9" w14:paraId="2B947D52" w14:textId="77777777">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0CE3F2D9" w14:textId="77777777" w:rsidR="009E3FB9" w:rsidRDefault="00000000" w:rsidP="003103F4">
            <w:r>
              <w:rPr>
                <w:color w:val="333333"/>
                <w:sz w:val="22"/>
                <w:szCs w:val="22"/>
              </w:rPr>
              <w:t>السوسيولوجيا (بورديو)</w:t>
            </w:r>
          </w:p>
        </w:tc>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1FE817BF" w14:textId="77777777" w:rsidR="009E3FB9" w:rsidRDefault="00000000" w:rsidP="003103F4">
            <w:r>
              <w:rPr>
                <w:color w:val="333333"/>
                <w:sz w:val="22"/>
                <w:szCs w:val="22"/>
              </w:rPr>
              <w:t>رأس المال الرمزي، الهابيتوس، الحقل</w:t>
            </w:r>
          </w:p>
        </w:tc>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25E3B49C" w14:textId="77777777" w:rsidR="009E3FB9" w:rsidRDefault="00000000" w:rsidP="003103F4">
            <w:r>
              <w:rPr>
                <w:color w:val="333333"/>
                <w:sz w:val="22"/>
                <w:szCs w:val="22"/>
              </w:rPr>
              <w:t>تحليل الموقع المؤسسي للكاتب</w:t>
            </w:r>
          </w:p>
        </w:tc>
      </w:tr>
    </w:tbl>
    <w:p w14:paraId="7A98728D" w14:textId="77777777" w:rsidR="009E3FB9" w:rsidRDefault="009E3FB9" w:rsidP="003103F4">
      <w:pPr>
        <w:spacing w:before="120"/>
      </w:pPr>
    </w:p>
    <w:p w14:paraId="456F7B2A" w14:textId="77777777" w:rsidR="009E3FB9" w:rsidRDefault="00000000" w:rsidP="003103F4">
      <w:pPr>
        <w:pStyle w:val="2"/>
        <w:pBdr>
          <w:right w:val="thick" w:sz="8" w:space="6" w:color="2E6B7B"/>
        </w:pBdr>
        <w:bidi/>
        <w:spacing w:before="360" w:after="180"/>
        <w:ind w:right="200"/>
      </w:pPr>
      <w:r>
        <w:rPr>
          <w:sz w:val="34"/>
          <w:szCs w:val="34"/>
        </w:rPr>
        <w:t>المنهجية: «أركيولوجيا الجرح الخطابي»</w:t>
      </w:r>
    </w:p>
    <w:p w14:paraId="60D4E255" w14:textId="77777777" w:rsidR="009E3FB9" w:rsidRDefault="00000000" w:rsidP="003103F4">
      <w:pPr>
        <w:spacing w:before="80" w:after="80" w:line="340" w:lineRule="auto"/>
      </w:pPr>
      <w:r>
        <w:rPr>
          <w:color w:val="000000"/>
        </w:rPr>
        <w:t>تجمع هذه الدراسة بين أربعة مناهج متداخلة: التحليل النفسي النصي (قراءة النصوص كعرض للعقد النفسية)، والتفكيك الخطابي (كشف التناقضات والانزياحات)، والسياقنة التاريخية (ربط النصوص بسياقات إنتاجها)، والمقارنة البينية (مقارنة خطاب بن سلامة بخطابات مماثلة).</w:t>
      </w:r>
    </w:p>
    <w:p w14:paraId="61FBBC2E" w14:textId="77777777" w:rsidR="009E3FB9" w:rsidRDefault="00000000" w:rsidP="003103F4">
      <w:pPr>
        <w:pStyle w:val="3"/>
        <w:bidi/>
      </w:pPr>
      <w:r>
        <w:t>أدوات التحليل</w:t>
      </w:r>
    </w:p>
    <w:p w14:paraId="116F20BB" w14:textId="77777777" w:rsidR="009E3FB9" w:rsidRDefault="00000000" w:rsidP="003103F4">
      <w:pPr>
        <w:spacing w:before="50" w:after="50" w:line="320" w:lineRule="auto"/>
        <w:ind w:left="200" w:right="400"/>
      </w:pPr>
      <w:r>
        <w:rPr>
          <w:color w:val="2E6B7B"/>
          <w:sz w:val="24"/>
          <w:szCs w:val="24"/>
        </w:rPr>
        <w:t xml:space="preserve">◆ </w:t>
      </w:r>
      <w:r>
        <w:rPr>
          <w:color w:val="000000"/>
          <w:sz w:val="24"/>
          <w:szCs w:val="24"/>
        </w:rPr>
        <w:t>تحليل التماهيات: دراسة الآليات النفسية للتماهي مع شخصيات رمزية (كليرامبو، بورقيبة، رشدي).</w:t>
      </w:r>
    </w:p>
    <w:p w14:paraId="6F476E9D" w14:textId="77777777" w:rsidR="009E3FB9" w:rsidRDefault="00000000" w:rsidP="003103F4">
      <w:pPr>
        <w:spacing w:before="50" w:after="50" w:line="320" w:lineRule="auto"/>
        <w:ind w:left="200" w:right="400"/>
      </w:pPr>
      <w:r>
        <w:rPr>
          <w:color w:val="2E6B7B"/>
          <w:sz w:val="24"/>
          <w:szCs w:val="24"/>
        </w:rPr>
        <w:t xml:space="preserve">◆ </w:t>
      </w:r>
      <w:r>
        <w:rPr>
          <w:color w:val="000000"/>
          <w:sz w:val="24"/>
          <w:szCs w:val="24"/>
        </w:rPr>
        <w:t>تحليل الاستعارات: تتبع الاستعارات المتكررة (الجرح، الأب، الجد، الهجر، الرؤية) وتحويلاتها.</w:t>
      </w:r>
    </w:p>
    <w:p w14:paraId="226B5E38" w14:textId="77777777" w:rsidR="009E3FB9" w:rsidRDefault="00000000" w:rsidP="003103F4">
      <w:pPr>
        <w:spacing w:before="50" w:after="50" w:line="320" w:lineRule="auto"/>
        <w:ind w:left="200" w:right="400"/>
      </w:pPr>
      <w:r>
        <w:rPr>
          <w:color w:val="2E6B7B"/>
          <w:sz w:val="24"/>
          <w:szCs w:val="24"/>
        </w:rPr>
        <w:t xml:space="preserve">◆ </w:t>
      </w:r>
      <w:r>
        <w:rPr>
          <w:color w:val="000000"/>
          <w:sz w:val="24"/>
          <w:szCs w:val="24"/>
        </w:rPr>
        <w:t>تحليل السياقات: دراسة الظروف التاريخية والاجتماعية لإنتاج الخطاب.</w:t>
      </w:r>
    </w:p>
    <w:p w14:paraId="0C0A5474" w14:textId="77777777" w:rsidR="009E3FB9" w:rsidRDefault="00000000" w:rsidP="003103F4">
      <w:pPr>
        <w:spacing w:before="50" w:after="50" w:line="320" w:lineRule="auto"/>
        <w:ind w:left="200" w:right="400"/>
      </w:pPr>
      <w:r>
        <w:rPr>
          <w:color w:val="2E6B7B"/>
          <w:sz w:val="24"/>
          <w:szCs w:val="24"/>
        </w:rPr>
        <w:t xml:space="preserve">◆ </w:t>
      </w:r>
      <w:r>
        <w:rPr>
          <w:color w:val="000000"/>
          <w:sz w:val="24"/>
          <w:szCs w:val="24"/>
        </w:rPr>
        <w:t>تحليل الانزياحات: كشف الفجوات بين الادعاءات الخطابية والمواقع الوجودية.</w:t>
      </w:r>
    </w:p>
    <w:p w14:paraId="03568BE9" w14:textId="77777777" w:rsidR="009E3FB9" w:rsidRDefault="00000000" w:rsidP="003103F4">
      <w:r>
        <w:br w:type="page"/>
      </w:r>
    </w:p>
    <w:p w14:paraId="2A420BBD" w14:textId="77777777" w:rsidR="009E3FB9" w:rsidRDefault="00000000" w:rsidP="003103F4">
      <w:pPr>
        <w:pStyle w:val="1"/>
        <w:pBdr>
          <w:bottom w:val="single" w:sz="6" w:space="6" w:color="B8860B"/>
        </w:pBdr>
        <w:bidi/>
      </w:pPr>
      <w:r>
        <w:rPr>
          <w:sz w:val="42"/>
          <w:szCs w:val="42"/>
        </w:rPr>
        <w:t>الفصل الثاني: الثالوث الأوديبي — كليرامبو، بورقيبة، رشدي</w:t>
      </w:r>
    </w:p>
    <w:p w14:paraId="42C91DF0" w14:textId="77777777" w:rsidR="009E3FB9" w:rsidRDefault="00000000" w:rsidP="003103F4">
      <w:pPr>
        <w:pStyle w:val="2"/>
        <w:pBdr>
          <w:right w:val="thick" w:sz="8" w:space="6" w:color="2E6B7B"/>
        </w:pBdr>
        <w:bidi/>
        <w:spacing w:before="360" w:after="180"/>
        <w:ind w:right="200"/>
      </w:pPr>
      <w:r>
        <w:rPr>
          <w:sz w:val="34"/>
          <w:szCs w:val="34"/>
        </w:rPr>
        <w:t>2.1 مقدمة: ثلاثية الأب البديل</w:t>
      </w:r>
    </w:p>
    <w:p w14:paraId="388E5695" w14:textId="77777777" w:rsidR="009E3FB9" w:rsidRDefault="00000000" w:rsidP="003103F4">
      <w:pPr>
        <w:spacing w:before="80" w:after="80" w:line="340" w:lineRule="auto"/>
      </w:pPr>
      <w:r>
        <w:rPr>
          <w:color w:val="000000"/>
        </w:rPr>
        <w:t>تقوم الفرضية المركزية لهذا الفصل على أن خطاب فتحي بن سلامة يُخفي بحثاً دائماً عن «آباء بديلين» يعوّض بهم غياب/انكسار/صمت الأب الأصلي. يتجلى هذا البحث في ثلاث شخصيات محورية تشكل معاً ثالوثاً أوديبياً متكاملاً:</w:t>
      </w:r>
    </w:p>
    <w:p w14:paraId="479C562A" w14:textId="77777777" w:rsidR="009E3FB9" w:rsidRDefault="00000000" w:rsidP="003103F4">
      <w:pPr>
        <w:spacing w:before="50" w:after="50" w:line="320" w:lineRule="auto"/>
        <w:ind w:left="200" w:right="400"/>
      </w:pPr>
      <w:r>
        <w:rPr>
          <w:color w:val="2E6B7B"/>
          <w:sz w:val="24"/>
          <w:szCs w:val="24"/>
        </w:rPr>
        <w:t xml:space="preserve">◆ </w:t>
      </w:r>
      <w:r>
        <w:rPr>
          <w:color w:val="000000"/>
          <w:sz w:val="24"/>
          <w:szCs w:val="24"/>
        </w:rPr>
        <w:t>كليرامبو: الأب الذي «رأى» المحرّم — طبيب نفسي فرنسي صوّر المحجبات المغربيات.</w:t>
      </w:r>
    </w:p>
    <w:p w14:paraId="53A26066" w14:textId="77777777" w:rsidR="009E3FB9" w:rsidRDefault="00000000" w:rsidP="003103F4">
      <w:pPr>
        <w:spacing w:before="50" w:after="50" w:line="320" w:lineRule="auto"/>
        <w:ind w:left="200" w:right="400"/>
      </w:pPr>
      <w:r>
        <w:rPr>
          <w:color w:val="2E6B7B"/>
          <w:sz w:val="24"/>
          <w:szCs w:val="24"/>
        </w:rPr>
        <w:t xml:space="preserve">◆ </w:t>
      </w:r>
      <w:r>
        <w:rPr>
          <w:color w:val="000000"/>
          <w:sz w:val="24"/>
          <w:szCs w:val="24"/>
        </w:rPr>
        <w:t>بورقيبة: الأب الذي «كسر» القانون — أفطر علناً في رمضان 1960.</w:t>
      </w:r>
    </w:p>
    <w:p w14:paraId="17590C6A" w14:textId="77777777" w:rsidR="009E3FB9" w:rsidRDefault="00000000" w:rsidP="003103F4">
      <w:pPr>
        <w:spacing w:before="50" w:after="50" w:line="320" w:lineRule="auto"/>
        <w:ind w:left="200" w:right="400"/>
      </w:pPr>
      <w:r>
        <w:rPr>
          <w:color w:val="2E6B7B"/>
          <w:sz w:val="24"/>
          <w:szCs w:val="24"/>
        </w:rPr>
        <w:t xml:space="preserve">◆ </w:t>
      </w:r>
      <w:r>
        <w:rPr>
          <w:color w:val="000000"/>
          <w:sz w:val="24"/>
          <w:szCs w:val="24"/>
        </w:rPr>
        <w:t>رشدي: الأب الذي «جدّف» على المقدس — صاحب «الآيات الشيطانية».</w:t>
      </w:r>
    </w:p>
    <w:p w14:paraId="4E3DEC70" w14:textId="77777777" w:rsidR="009E3FB9" w:rsidRDefault="009E3FB9" w:rsidP="003103F4">
      <w:pPr>
        <w:spacing w:before="120"/>
      </w:pPr>
    </w:p>
    <w:p w14:paraId="38A46BCA" w14:textId="77777777" w:rsidR="009E3FB9" w:rsidRDefault="00000000" w:rsidP="003103F4">
      <w:pPr>
        <w:spacing w:before="200" w:after="200"/>
      </w:pPr>
      <w:r>
        <w:rPr>
          <w:rFonts w:ascii="Garamond" w:eastAsia="Garamond" w:hAnsi="Garamond" w:cs="Garamond"/>
          <w:color w:val="B8860B"/>
          <w:sz w:val="22"/>
          <w:szCs w:val="22"/>
        </w:rPr>
        <w:t>✦  ✦  ✦</w:t>
      </w:r>
    </w:p>
    <w:p w14:paraId="16C7FBD4" w14:textId="77777777" w:rsidR="009E3FB9" w:rsidRDefault="00000000" w:rsidP="003103F4">
      <w:pPr>
        <w:pStyle w:val="2"/>
        <w:pBdr>
          <w:right w:val="thick" w:sz="8" w:space="6" w:color="2E6B7B"/>
        </w:pBdr>
        <w:bidi/>
        <w:spacing w:before="360" w:after="180"/>
        <w:ind w:right="200"/>
      </w:pPr>
      <w:r>
        <w:rPr>
          <w:sz w:val="34"/>
          <w:szCs w:val="34"/>
        </w:rPr>
        <w:t>2.2 جدول التصاعد في شدة التمرد</w:t>
      </w:r>
    </w:p>
    <w:p w14:paraId="1114A685" w14:textId="77777777" w:rsidR="009E3FB9" w:rsidRDefault="009E3FB9" w:rsidP="003103F4">
      <w:pPr>
        <w:spacing w:before="80"/>
      </w:pPr>
    </w:p>
    <w:tbl>
      <w:tblPr>
        <w:tblW w:w="90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800"/>
        <w:gridCol w:w="1800"/>
        <w:gridCol w:w="1800"/>
        <w:gridCol w:w="1800"/>
      </w:tblGrid>
      <w:tr w:rsidR="009E3FB9" w14:paraId="4B56018B" w14:textId="77777777">
        <w:trPr>
          <w:tblHeader/>
        </w:trPr>
        <w:tc>
          <w:tcPr>
            <w:tcW w:w="18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60450020" w14:textId="77777777" w:rsidR="009E3FB9" w:rsidRDefault="00000000" w:rsidP="003103F4">
            <w:r>
              <w:rPr>
                <w:b/>
                <w:bCs/>
                <w:color w:val="FFFFFF"/>
                <w:sz w:val="23"/>
                <w:szCs w:val="23"/>
              </w:rPr>
              <w:t>الشخصية</w:t>
            </w:r>
          </w:p>
        </w:tc>
        <w:tc>
          <w:tcPr>
            <w:tcW w:w="18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5222B439" w14:textId="77777777" w:rsidR="009E3FB9" w:rsidRDefault="00000000" w:rsidP="003103F4">
            <w:r>
              <w:rPr>
                <w:b/>
                <w:bCs/>
                <w:color w:val="FFFFFF"/>
                <w:sz w:val="23"/>
                <w:szCs w:val="23"/>
              </w:rPr>
              <w:t>الفعل</w:t>
            </w:r>
          </w:p>
        </w:tc>
        <w:tc>
          <w:tcPr>
            <w:tcW w:w="18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1868DE6E" w14:textId="77777777" w:rsidR="009E3FB9" w:rsidRDefault="00000000" w:rsidP="003103F4">
            <w:r>
              <w:rPr>
                <w:b/>
                <w:bCs/>
                <w:color w:val="FFFFFF"/>
                <w:sz w:val="23"/>
                <w:szCs w:val="23"/>
              </w:rPr>
              <w:t>المستوى</w:t>
            </w:r>
          </w:p>
        </w:tc>
        <w:tc>
          <w:tcPr>
            <w:tcW w:w="18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0A29CEC6" w14:textId="77777777" w:rsidR="009E3FB9" w:rsidRDefault="00000000" w:rsidP="003103F4">
            <w:r>
              <w:rPr>
                <w:b/>
                <w:bCs/>
                <w:color w:val="FFFFFF"/>
                <w:sz w:val="23"/>
                <w:szCs w:val="23"/>
              </w:rPr>
              <w:t>الحامي</w:t>
            </w:r>
          </w:p>
        </w:tc>
        <w:tc>
          <w:tcPr>
            <w:tcW w:w="18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00EE26E0" w14:textId="77777777" w:rsidR="009E3FB9" w:rsidRDefault="00000000" w:rsidP="003103F4">
            <w:r>
              <w:rPr>
                <w:b/>
                <w:bCs/>
                <w:color w:val="FFFFFF"/>
                <w:sz w:val="23"/>
                <w:szCs w:val="23"/>
              </w:rPr>
              <w:t>شدة التمرد</w:t>
            </w:r>
          </w:p>
        </w:tc>
      </w:tr>
      <w:tr w:rsidR="009E3FB9" w14:paraId="6035534F" w14:textId="77777777">
        <w:tc>
          <w:tcPr>
            <w:tcW w:w="18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3D8604BE" w14:textId="77777777" w:rsidR="009E3FB9" w:rsidRDefault="00000000" w:rsidP="003103F4">
            <w:r>
              <w:rPr>
                <w:color w:val="333333"/>
                <w:sz w:val="22"/>
                <w:szCs w:val="22"/>
              </w:rPr>
              <w:t>كليرامبو</w:t>
            </w:r>
          </w:p>
        </w:tc>
        <w:tc>
          <w:tcPr>
            <w:tcW w:w="18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5970CAC2" w14:textId="77777777" w:rsidR="009E3FB9" w:rsidRDefault="00000000" w:rsidP="003103F4">
            <w:r>
              <w:rPr>
                <w:color w:val="333333"/>
                <w:sz w:val="22"/>
                <w:szCs w:val="22"/>
              </w:rPr>
              <w:t>صوّر المحجبات</w:t>
            </w:r>
          </w:p>
        </w:tc>
        <w:tc>
          <w:tcPr>
            <w:tcW w:w="18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571F573B" w14:textId="77777777" w:rsidR="009E3FB9" w:rsidRDefault="00000000" w:rsidP="003103F4">
            <w:r>
              <w:rPr>
                <w:color w:val="333333"/>
                <w:sz w:val="22"/>
                <w:szCs w:val="22"/>
              </w:rPr>
              <w:t>بصري — يرى المحرّم</w:t>
            </w:r>
          </w:p>
        </w:tc>
        <w:tc>
          <w:tcPr>
            <w:tcW w:w="18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68625BB5" w14:textId="77777777" w:rsidR="009E3FB9" w:rsidRDefault="00000000" w:rsidP="003103F4">
            <w:r>
              <w:rPr>
                <w:color w:val="333333"/>
                <w:sz w:val="22"/>
                <w:szCs w:val="22"/>
              </w:rPr>
              <w:t>السلطة الاستعمارية</w:t>
            </w:r>
          </w:p>
        </w:tc>
        <w:tc>
          <w:tcPr>
            <w:tcW w:w="18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20651076" w14:textId="77777777" w:rsidR="009E3FB9" w:rsidRDefault="00000000" w:rsidP="003103F4">
            <w:r>
              <w:rPr>
                <w:color w:val="333333"/>
                <w:sz w:val="22"/>
                <w:szCs w:val="22"/>
              </w:rPr>
              <w:t>منخفضة</w:t>
            </w:r>
          </w:p>
        </w:tc>
      </w:tr>
      <w:tr w:rsidR="009E3FB9" w14:paraId="0EE170E6" w14:textId="77777777">
        <w:tc>
          <w:tcPr>
            <w:tcW w:w="18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78C9F2BC" w14:textId="77777777" w:rsidR="009E3FB9" w:rsidRDefault="00000000" w:rsidP="003103F4">
            <w:r>
              <w:rPr>
                <w:color w:val="333333"/>
                <w:sz w:val="22"/>
                <w:szCs w:val="22"/>
              </w:rPr>
              <w:t>بورقيبة</w:t>
            </w:r>
          </w:p>
        </w:tc>
        <w:tc>
          <w:tcPr>
            <w:tcW w:w="18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76720BDB" w14:textId="77777777" w:rsidR="009E3FB9" w:rsidRDefault="00000000" w:rsidP="003103F4">
            <w:r>
              <w:rPr>
                <w:color w:val="333333"/>
                <w:sz w:val="22"/>
                <w:szCs w:val="22"/>
              </w:rPr>
              <w:t>أفطر علناً في رمضان</w:t>
            </w:r>
          </w:p>
        </w:tc>
        <w:tc>
          <w:tcPr>
            <w:tcW w:w="18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103DD09D" w14:textId="77777777" w:rsidR="009E3FB9" w:rsidRDefault="00000000" w:rsidP="003103F4">
            <w:r>
              <w:rPr>
                <w:color w:val="333333"/>
                <w:sz w:val="22"/>
                <w:szCs w:val="22"/>
              </w:rPr>
              <w:t>عملي — يكسر القانون</w:t>
            </w:r>
          </w:p>
        </w:tc>
        <w:tc>
          <w:tcPr>
            <w:tcW w:w="18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2E78DAD9" w14:textId="77777777" w:rsidR="009E3FB9" w:rsidRDefault="00000000" w:rsidP="003103F4">
            <w:r>
              <w:rPr>
                <w:color w:val="333333"/>
                <w:sz w:val="22"/>
                <w:szCs w:val="22"/>
              </w:rPr>
              <w:t>الدولة التونسية</w:t>
            </w:r>
          </w:p>
        </w:tc>
        <w:tc>
          <w:tcPr>
            <w:tcW w:w="18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6D707911" w14:textId="77777777" w:rsidR="009E3FB9" w:rsidRDefault="00000000" w:rsidP="003103F4">
            <w:r>
              <w:rPr>
                <w:color w:val="333333"/>
                <w:sz w:val="22"/>
                <w:szCs w:val="22"/>
              </w:rPr>
              <w:t>متوسطة</w:t>
            </w:r>
          </w:p>
        </w:tc>
      </w:tr>
      <w:tr w:rsidR="009E3FB9" w14:paraId="5EED9BA4" w14:textId="77777777">
        <w:tc>
          <w:tcPr>
            <w:tcW w:w="18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79B4D46F" w14:textId="77777777" w:rsidR="009E3FB9" w:rsidRDefault="00000000" w:rsidP="003103F4">
            <w:r>
              <w:rPr>
                <w:color w:val="333333"/>
                <w:sz w:val="22"/>
                <w:szCs w:val="22"/>
              </w:rPr>
              <w:t>رشدي</w:t>
            </w:r>
          </w:p>
        </w:tc>
        <w:tc>
          <w:tcPr>
            <w:tcW w:w="18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29469EF6" w14:textId="77777777" w:rsidR="009E3FB9" w:rsidRDefault="00000000" w:rsidP="003103F4">
            <w:r>
              <w:rPr>
                <w:color w:val="333333"/>
                <w:sz w:val="22"/>
                <w:szCs w:val="22"/>
              </w:rPr>
              <w:t>جدّف في رواية</w:t>
            </w:r>
          </w:p>
        </w:tc>
        <w:tc>
          <w:tcPr>
            <w:tcW w:w="18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154D07C8" w14:textId="77777777" w:rsidR="009E3FB9" w:rsidRDefault="00000000" w:rsidP="003103F4">
            <w:r>
              <w:rPr>
                <w:color w:val="333333"/>
                <w:sz w:val="22"/>
                <w:szCs w:val="22"/>
              </w:rPr>
              <w:t>رمزي — يُدنّس المقدس</w:t>
            </w:r>
          </w:p>
        </w:tc>
        <w:tc>
          <w:tcPr>
            <w:tcW w:w="18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473030EA" w14:textId="77777777" w:rsidR="009E3FB9" w:rsidRDefault="00000000" w:rsidP="003103F4">
            <w:r>
              <w:rPr>
                <w:color w:val="333333"/>
                <w:sz w:val="22"/>
                <w:szCs w:val="22"/>
              </w:rPr>
              <w:t>بريطانيا/الغرب</w:t>
            </w:r>
          </w:p>
        </w:tc>
        <w:tc>
          <w:tcPr>
            <w:tcW w:w="18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1ED14FC3" w14:textId="77777777" w:rsidR="009E3FB9" w:rsidRDefault="00000000" w:rsidP="003103F4">
            <w:r>
              <w:rPr>
                <w:color w:val="333333"/>
                <w:sz w:val="22"/>
                <w:szCs w:val="22"/>
              </w:rPr>
              <w:t>عالية جداً</w:t>
            </w:r>
          </w:p>
        </w:tc>
      </w:tr>
    </w:tbl>
    <w:p w14:paraId="5C78DE6F" w14:textId="77777777" w:rsidR="009E3FB9" w:rsidRDefault="009E3FB9" w:rsidP="003103F4">
      <w:pPr>
        <w:spacing w:before="120"/>
      </w:pPr>
    </w:p>
    <w:p w14:paraId="23FA2BD5" w14:textId="77777777" w:rsidR="009E3FB9" w:rsidRDefault="00000000" w:rsidP="003103F4">
      <w:pPr>
        <w:pStyle w:val="2"/>
        <w:pBdr>
          <w:right w:val="thick" w:sz="8" w:space="6" w:color="2E6B7B"/>
        </w:pBdr>
        <w:bidi/>
        <w:spacing w:before="360" w:after="180"/>
        <w:ind w:right="200"/>
      </w:pPr>
      <w:r>
        <w:rPr>
          <w:sz w:val="34"/>
          <w:szCs w:val="34"/>
        </w:rPr>
        <w:t>2.3 كليرامبو: التماثل البنيوي مع بن سلامة</w:t>
      </w:r>
    </w:p>
    <w:p w14:paraId="4F70463F" w14:textId="77777777" w:rsidR="009E3FB9" w:rsidRDefault="00000000" w:rsidP="003103F4">
      <w:pPr>
        <w:spacing w:before="80" w:after="80" w:line="340" w:lineRule="auto"/>
      </w:pPr>
      <w:r>
        <w:rPr>
          <w:color w:val="000000"/>
        </w:rPr>
        <w:t>يختار بن سلامة كليرامبو ليس بشكل عابر. ثمة تماثل بنيوي عميق يكشفه التحليل المقارن:</w:t>
      </w:r>
    </w:p>
    <w:p w14:paraId="2143BDC0" w14:textId="77777777" w:rsidR="009E3FB9" w:rsidRDefault="009E3FB9" w:rsidP="003103F4">
      <w:pPr>
        <w:spacing w:before="80"/>
      </w:pPr>
    </w:p>
    <w:tbl>
      <w:tblPr>
        <w:tblW w:w="90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00"/>
      </w:tblGrid>
      <w:tr w:rsidR="009E3FB9" w14:paraId="28495246" w14:textId="77777777">
        <w:trPr>
          <w:tblHeader/>
        </w:trPr>
        <w:tc>
          <w:tcPr>
            <w:tcW w:w="30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3ED32094" w14:textId="77777777" w:rsidR="009E3FB9" w:rsidRDefault="00000000" w:rsidP="003103F4">
            <w:r>
              <w:rPr>
                <w:b/>
                <w:bCs/>
                <w:color w:val="FFFFFF"/>
                <w:sz w:val="23"/>
                <w:szCs w:val="23"/>
              </w:rPr>
              <w:t>البعد</w:t>
            </w:r>
          </w:p>
        </w:tc>
        <w:tc>
          <w:tcPr>
            <w:tcW w:w="30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44959F96" w14:textId="77777777" w:rsidR="009E3FB9" w:rsidRDefault="00000000" w:rsidP="003103F4">
            <w:r>
              <w:rPr>
                <w:b/>
                <w:bCs/>
                <w:color w:val="FFFFFF"/>
                <w:sz w:val="23"/>
                <w:szCs w:val="23"/>
              </w:rPr>
              <w:t>كليرامبو</w:t>
            </w:r>
          </w:p>
        </w:tc>
        <w:tc>
          <w:tcPr>
            <w:tcW w:w="30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3B1824D2" w14:textId="77777777" w:rsidR="009E3FB9" w:rsidRDefault="00000000" w:rsidP="003103F4">
            <w:r>
              <w:rPr>
                <w:b/>
                <w:bCs/>
                <w:color w:val="FFFFFF"/>
                <w:sz w:val="23"/>
                <w:szCs w:val="23"/>
              </w:rPr>
              <w:t>بن سلامة</w:t>
            </w:r>
          </w:p>
        </w:tc>
      </w:tr>
      <w:tr w:rsidR="009E3FB9" w14:paraId="1C7905DC" w14:textId="77777777">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1FE613EF" w14:textId="77777777" w:rsidR="009E3FB9" w:rsidRDefault="00000000" w:rsidP="003103F4">
            <w:r>
              <w:rPr>
                <w:color w:val="333333"/>
                <w:sz w:val="22"/>
                <w:szCs w:val="22"/>
              </w:rPr>
              <w:t>الهوية</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58977CC2" w14:textId="77777777" w:rsidR="009E3FB9" w:rsidRDefault="00000000" w:rsidP="003103F4">
            <w:r>
              <w:rPr>
                <w:color w:val="333333"/>
                <w:sz w:val="22"/>
                <w:szCs w:val="22"/>
              </w:rPr>
              <w:t>طبيب نفسي فرنسي</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4699FC83" w14:textId="77777777" w:rsidR="009E3FB9" w:rsidRDefault="00000000" w:rsidP="003103F4">
            <w:r>
              <w:rPr>
                <w:color w:val="333333"/>
                <w:sz w:val="22"/>
                <w:szCs w:val="22"/>
              </w:rPr>
              <w:t>محلل نفسي تونسي في فرنسا</w:t>
            </w:r>
          </w:p>
        </w:tc>
      </w:tr>
      <w:tr w:rsidR="009E3FB9" w14:paraId="7AAEF6C0" w14:textId="77777777">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69E27B59" w14:textId="77777777" w:rsidR="009E3FB9" w:rsidRDefault="00000000" w:rsidP="003103F4">
            <w:r>
              <w:rPr>
                <w:color w:val="333333"/>
                <w:sz w:val="22"/>
                <w:szCs w:val="22"/>
              </w:rPr>
              <w:t>الموضوع</w:t>
            </w:r>
          </w:p>
        </w:tc>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30A2E88A" w14:textId="77777777" w:rsidR="009E3FB9" w:rsidRDefault="00000000" w:rsidP="003103F4">
            <w:r>
              <w:rPr>
                <w:color w:val="333333"/>
                <w:sz w:val="22"/>
                <w:szCs w:val="22"/>
              </w:rPr>
              <w:t>النساء المحجبات في المستعمرات</w:t>
            </w:r>
          </w:p>
        </w:tc>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74BFBC7D" w14:textId="77777777" w:rsidR="009E3FB9" w:rsidRDefault="00000000" w:rsidP="003103F4">
            <w:r>
              <w:rPr>
                <w:color w:val="333333"/>
                <w:sz w:val="22"/>
                <w:szCs w:val="22"/>
              </w:rPr>
              <w:t>المسلمون من منظور غربي</w:t>
            </w:r>
          </w:p>
        </w:tc>
      </w:tr>
      <w:tr w:rsidR="009E3FB9" w14:paraId="4A52D0BD" w14:textId="77777777">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253D20CF" w14:textId="77777777" w:rsidR="009E3FB9" w:rsidRDefault="00000000" w:rsidP="003103F4">
            <w:r>
              <w:rPr>
                <w:color w:val="333333"/>
                <w:sz w:val="22"/>
                <w:szCs w:val="22"/>
              </w:rPr>
              <w:t>الأداة</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35205ED2" w14:textId="77777777" w:rsidR="009E3FB9" w:rsidRDefault="00000000" w:rsidP="003103F4">
            <w:r>
              <w:rPr>
                <w:color w:val="333333"/>
                <w:sz w:val="22"/>
                <w:szCs w:val="22"/>
              </w:rPr>
              <w:t>الكاميرا (النظرة المُقنّنة)</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35E26BEA" w14:textId="77777777" w:rsidR="009E3FB9" w:rsidRDefault="00000000" w:rsidP="003103F4">
            <w:r>
              <w:rPr>
                <w:color w:val="333333"/>
                <w:sz w:val="22"/>
                <w:szCs w:val="22"/>
              </w:rPr>
              <w:t>التحليل النفسي (العلم الموضوعي)</w:t>
            </w:r>
          </w:p>
        </w:tc>
      </w:tr>
      <w:tr w:rsidR="009E3FB9" w14:paraId="7E8ECDCD" w14:textId="77777777">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661ECF9B" w14:textId="77777777" w:rsidR="009E3FB9" w:rsidRDefault="00000000" w:rsidP="003103F4">
            <w:r>
              <w:rPr>
                <w:color w:val="333333"/>
                <w:sz w:val="22"/>
                <w:szCs w:val="22"/>
              </w:rPr>
              <w:t>الحامي</w:t>
            </w:r>
          </w:p>
        </w:tc>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470F4B32" w14:textId="77777777" w:rsidR="009E3FB9" w:rsidRDefault="00000000" w:rsidP="003103F4">
            <w:r>
              <w:rPr>
                <w:color w:val="333333"/>
                <w:sz w:val="22"/>
                <w:szCs w:val="22"/>
              </w:rPr>
              <w:t>السلطة الاستعمارية</w:t>
            </w:r>
          </w:p>
        </w:tc>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30C4877F" w14:textId="77777777" w:rsidR="009E3FB9" w:rsidRDefault="00000000" w:rsidP="003103F4">
            <w:r>
              <w:rPr>
                <w:color w:val="333333"/>
                <w:sz w:val="22"/>
                <w:szCs w:val="22"/>
              </w:rPr>
              <w:t>السلطة الأكاديمية الغربية</w:t>
            </w:r>
          </w:p>
        </w:tc>
      </w:tr>
      <w:tr w:rsidR="009E3FB9" w14:paraId="3B3E634C" w14:textId="77777777">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477A3A4B" w14:textId="77777777" w:rsidR="009E3FB9" w:rsidRDefault="00000000" w:rsidP="003103F4">
            <w:r>
              <w:rPr>
                <w:color w:val="333333"/>
                <w:sz w:val="22"/>
                <w:szCs w:val="22"/>
              </w:rPr>
              <w:t>الغاية الخفية</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371B1CA6" w14:textId="77777777" w:rsidR="009E3FB9" w:rsidRDefault="00000000" w:rsidP="003103F4">
            <w:r>
              <w:rPr>
                <w:color w:val="333333"/>
                <w:sz w:val="22"/>
                <w:szCs w:val="22"/>
              </w:rPr>
              <w:t>اختراق المحرّم — الجسد المستور</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2626D822" w14:textId="77777777" w:rsidR="009E3FB9" w:rsidRDefault="00000000" w:rsidP="003103F4">
            <w:r>
              <w:rPr>
                <w:color w:val="333333"/>
                <w:sz w:val="22"/>
                <w:szCs w:val="22"/>
              </w:rPr>
              <w:t>كشف ما يخفيه النص المقدس</w:t>
            </w:r>
          </w:p>
        </w:tc>
      </w:tr>
    </w:tbl>
    <w:p w14:paraId="6374375E" w14:textId="77777777" w:rsidR="009E3FB9" w:rsidRDefault="009E3FB9" w:rsidP="003103F4">
      <w:pPr>
        <w:spacing w:before="120"/>
      </w:pPr>
    </w:p>
    <w:p w14:paraId="7C7D0C67" w14:textId="77777777" w:rsidR="009E3FB9" w:rsidRDefault="00000000" w:rsidP="003103F4">
      <w:pPr>
        <w:pStyle w:val="2"/>
        <w:pBdr>
          <w:right w:val="thick" w:sz="8" w:space="6" w:color="2E6B7B"/>
        </w:pBdr>
        <w:bidi/>
        <w:spacing w:before="360" w:after="180"/>
        <w:ind w:right="200"/>
      </w:pPr>
      <w:r>
        <w:rPr>
          <w:sz w:val="34"/>
          <w:szCs w:val="34"/>
        </w:rPr>
        <w:t>2.4 رشدي: الأب المقدس يقتل الأب الأكبر</w:t>
      </w:r>
    </w:p>
    <w:p w14:paraId="6451C3E7" w14:textId="77777777" w:rsidR="009E3FB9" w:rsidRDefault="00000000" w:rsidP="003103F4">
      <w:pPr>
        <w:spacing w:before="80" w:after="80" w:line="340" w:lineRule="auto"/>
      </w:pPr>
      <w:r>
        <w:rPr>
          <w:color w:val="000000"/>
        </w:rPr>
        <w:t>يُخصّص بن سلامة حيزاً مهماً في «الإسلام والتحليل النفسي» لتحليل قضية سلمان رشدي. الرسالة اللاواعية التي يستدعيها هذا التماهي:</w:t>
      </w:r>
    </w:p>
    <w:p w14:paraId="2FD551C1" w14:textId="77777777" w:rsidR="009E3FB9" w:rsidRDefault="00000000" w:rsidP="003103F4">
      <w:pPr>
        <w:pBdr>
          <w:right w:val="thick" w:sz="8" w:space="8" w:color="B8860B"/>
        </w:pBdr>
        <w:shd w:val="clear" w:color="auto" w:fill="EAF2F8"/>
        <w:spacing w:before="120" w:after="120" w:line="320" w:lineRule="auto"/>
        <w:ind w:left="600" w:right="600"/>
      </w:pPr>
      <w:r>
        <w:rPr>
          <w:i/>
          <w:iCs/>
          <w:color w:val="1A2A4A"/>
          <w:sz w:val="25"/>
          <w:szCs w:val="25"/>
        </w:rPr>
        <w:t>«التمرد على الأب الإسلامي ممكن، والنجاة ممكنة، إذا كنت محمياً من الأب الغربي.»</w:t>
      </w:r>
    </w:p>
    <w:p w14:paraId="25AE34FA" w14:textId="77777777" w:rsidR="009E3FB9" w:rsidRDefault="00000000" w:rsidP="003103F4">
      <w:pPr>
        <w:pStyle w:val="3"/>
        <w:bidi/>
      </w:pPr>
      <w:r>
        <w:t>القاسم المشترك: النجاة رغم التحدي</w:t>
      </w:r>
    </w:p>
    <w:p w14:paraId="273328D3" w14:textId="77777777" w:rsidR="009E3FB9" w:rsidRDefault="00000000" w:rsidP="003103F4">
      <w:pPr>
        <w:spacing w:before="50" w:after="50" w:line="320" w:lineRule="auto"/>
        <w:ind w:left="200" w:right="400"/>
      </w:pPr>
      <w:r>
        <w:rPr>
          <w:color w:val="2E6B7B"/>
          <w:sz w:val="24"/>
          <w:szCs w:val="24"/>
        </w:rPr>
        <w:t xml:space="preserve">◆ </w:t>
      </w:r>
      <w:r>
        <w:rPr>
          <w:color w:val="000000"/>
          <w:sz w:val="24"/>
          <w:szCs w:val="24"/>
        </w:rPr>
        <w:t>كليرامبو: عاد إلى فرنسا ولم يُعاقَب.</w:t>
      </w:r>
    </w:p>
    <w:p w14:paraId="70B1DD7F" w14:textId="77777777" w:rsidR="009E3FB9" w:rsidRDefault="00000000" w:rsidP="003103F4">
      <w:pPr>
        <w:spacing w:before="50" w:after="50" w:line="320" w:lineRule="auto"/>
        <w:ind w:left="200" w:right="400"/>
      </w:pPr>
      <w:r>
        <w:rPr>
          <w:color w:val="2E6B7B"/>
          <w:sz w:val="24"/>
          <w:szCs w:val="24"/>
        </w:rPr>
        <w:t xml:space="preserve">◆ </w:t>
      </w:r>
      <w:r>
        <w:rPr>
          <w:color w:val="000000"/>
          <w:sz w:val="24"/>
          <w:szCs w:val="24"/>
        </w:rPr>
        <w:t>بورقيبة: حكم 31 عاماً ولم يُزَح إلا بالانقلاب الطبي.</w:t>
      </w:r>
    </w:p>
    <w:p w14:paraId="728B4FD6" w14:textId="77777777" w:rsidR="009E3FB9" w:rsidRDefault="00000000" w:rsidP="003103F4">
      <w:pPr>
        <w:spacing w:before="50" w:after="50" w:line="320" w:lineRule="auto"/>
        <w:ind w:left="200" w:right="400"/>
      </w:pPr>
      <w:r>
        <w:rPr>
          <w:color w:val="2E6B7B"/>
          <w:sz w:val="24"/>
          <w:szCs w:val="24"/>
        </w:rPr>
        <w:t xml:space="preserve">◆ </w:t>
      </w:r>
      <w:r>
        <w:rPr>
          <w:color w:val="000000"/>
          <w:sz w:val="24"/>
          <w:szCs w:val="24"/>
        </w:rPr>
        <w:t>رشدي: نجا رغم فتوى الخميني واستمر في الكتابة.</w:t>
      </w:r>
    </w:p>
    <w:p w14:paraId="6582CAF0" w14:textId="77777777" w:rsidR="009E3FB9" w:rsidRDefault="00000000" w:rsidP="003103F4">
      <w:pPr>
        <w:spacing w:before="80" w:after="80" w:line="340" w:lineRule="auto"/>
      </w:pPr>
      <w:r>
        <w:rPr>
          <w:color w:val="000000"/>
        </w:rPr>
        <w:t>هذه النجاة هي ما يجعلهم نماذج يُحتذى بها. إنها تُثبت أن التحدي ممكن، وأن الأب الأصلي (الإسلام/التقليد) ليس قوياً بما يكفي لعقاب المتمردين.</w:t>
      </w:r>
    </w:p>
    <w:p w14:paraId="65B03F50" w14:textId="77777777" w:rsidR="009E3FB9" w:rsidRDefault="00000000">
      <w:r>
        <w:br w:type="page"/>
      </w:r>
    </w:p>
    <w:p w14:paraId="3579D002" w14:textId="77777777" w:rsidR="009E3FB9" w:rsidRDefault="00000000">
      <w:pPr>
        <w:pStyle w:val="1"/>
        <w:pBdr>
          <w:bottom w:val="single" w:sz="6" w:space="6" w:color="B8860B"/>
        </w:pBdr>
        <w:bidi/>
        <w:jc w:val="center"/>
      </w:pPr>
      <w:r>
        <w:rPr>
          <w:sz w:val="42"/>
          <w:szCs w:val="42"/>
        </w:rPr>
        <w:t>الفصل الخامس: «التطليق الأصلي» — إسقاطات الصدمة</w:t>
      </w:r>
    </w:p>
    <w:p w14:paraId="1D2D9E71" w14:textId="77777777" w:rsidR="009E3FB9" w:rsidRDefault="00000000" w:rsidP="0004322B">
      <w:pPr>
        <w:pStyle w:val="2"/>
        <w:pBdr>
          <w:right w:val="thick" w:sz="8" w:space="6" w:color="2E6B7B"/>
        </w:pBdr>
        <w:bidi/>
        <w:spacing w:before="360" w:after="180"/>
        <w:ind w:right="200"/>
      </w:pPr>
      <w:r>
        <w:rPr>
          <w:sz w:val="34"/>
          <w:szCs w:val="34"/>
        </w:rPr>
        <w:t>5.1 مقدمة: التطليق كعَرَض مركزي</w:t>
      </w:r>
    </w:p>
    <w:p w14:paraId="7A2413FD" w14:textId="77777777" w:rsidR="009E3FB9" w:rsidRDefault="00000000" w:rsidP="0004322B">
      <w:pPr>
        <w:spacing w:before="80" w:after="80" w:line="340" w:lineRule="auto"/>
      </w:pPr>
      <w:r>
        <w:rPr>
          <w:color w:val="000000"/>
        </w:rPr>
        <w:t>يُشكّل مفهوم «التطليق الأصلي» حجر الزاوية في قراءة فتحي بن سلامة للسردية الإبراهيمية في كتابه «الإسلام والتحليل النفسي». يتجاوز هذا التحليل القراءة التأويلية التقليدية ليقدم نفسه كمنقّب في اللاوعي الجمعي الإسلامي، لكن القراءة المتعمقة تكشف إسقاطات لا واعية تنقل الجرح الشخصي إلى مركز النص الديني.</w:t>
      </w:r>
    </w:p>
    <w:p w14:paraId="551FC0ED" w14:textId="77777777" w:rsidR="009E3FB9" w:rsidRDefault="00000000" w:rsidP="0004322B">
      <w:pPr>
        <w:pStyle w:val="2"/>
        <w:pBdr>
          <w:right w:val="thick" w:sz="8" w:space="6" w:color="2E6B7B"/>
        </w:pBdr>
        <w:bidi/>
        <w:spacing w:before="360" w:after="180"/>
        <w:ind w:right="200"/>
      </w:pPr>
      <w:r>
        <w:rPr>
          <w:sz w:val="34"/>
          <w:szCs w:val="34"/>
        </w:rPr>
        <w:t>5.2 جدول الإسقاط النفسي: من القصة إلى الذات</w:t>
      </w:r>
    </w:p>
    <w:p w14:paraId="3E393337" w14:textId="77777777" w:rsidR="009E3FB9" w:rsidRDefault="009E3FB9" w:rsidP="0004322B">
      <w:pPr>
        <w:spacing w:before="80"/>
      </w:pPr>
    </w:p>
    <w:tbl>
      <w:tblPr>
        <w:tblW w:w="90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00"/>
      </w:tblGrid>
      <w:tr w:rsidR="009E3FB9" w14:paraId="78703C6D" w14:textId="77777777">
        <w:trPr>
          <w:tblHeader/>
        </w:trPr>
        <w:tc>
          <w:tcPr>
            <w:tcW w:w="30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336EAD22" w14:textId="77777777" w:rsidR="009E3FB9" w:rsidRDefault="00000000" w:rsidP="0004322B">
            <w:r>
              <w:rPr>
                <w:b/>
                <w:bCs/>
                <w:color w:val="FFFFFF"/>
                <w:sz w:val="23"/>
                <w:szCs w:val="23"/>
              </w:rPr>
              <w:t>عنصر القصة</w:t>
            </w:r>
          </w:p>
        </w:tc>
        <w:tc>
          <w:tcPr>
            <w:tcW w:w="30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37F4B743" w14:textId="77777777" w:rsidR="009E3FB9" w:rsidRDefault="00000000" w:rsidP="0004322B">
            <w:r>
              <w:rPr>
                <w:b/>
                <w:bCs/>
                <w:color w:val="FFFFFF"/>
                <w:sz w:val="23"/>
                <w:szCs w:val="23"/>
              </w:rPr>
              <w:t>التفسير الظاهري</w:t>
            </w:r>
          </w:p>
        </w:tc>
        <w:tc>
          <w:tcPr>
            <w:tcW w:w="30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42274AE0" w14:textId="77777777" w:rsidR="009E3FB9" w:rsidRDefault="00000000" w:rsidP="0004322B">
            <w:r>
              <w:rPr>
                <w:b/>
                <w:bCs/>
                <w:color w:val="FFFFFF"/>
                <w:sz w:val="23"/>
                <w:szCs w:val="23"/>
              </w:rPr>
              <w:t>الإسقاط النفسي المحتمل</w:t>
            </w:r>
          </w:p>
        </w:tc>
      </w:tr>
      <w:tr w:rsidR="009E3FB9" w14:paraId="40B806F2" w14:textId="77777777">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04CB25A0" w14:textId="77777777" w:rsidR="009E3FB9" w:rsidRDefault="00000000" w:rsidP="0004322B">
            <w:r>
              <w:rPr>
                <w:color w:val="333333"/>
                <w:sz w:val="22"/>
                <w:szCs w:val="22"/>
              </w:rPr>
              <w:t>إبراهيم (الأب)</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006F208E" w14:textId="77777777" w:rsidR="009E3FB9" w:rsidRDefault="00000000" w:rsidP="0004322B">
            <w:r>
              <w:rPr>
                <w:color w:val="333333"/>
                <w:sz w:val="22"/>
                <w:szCs w:val="22"/>
              </w:rPr>
              <w:t>الأب المتسلط المتخلي</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42408841" w14:textId="77777777" w:rsidR="009E3FB9" w:rsidRDefault="00000000" w:rsidP="0004322B">
            <w:r>
              <w:rPr>
                <w:color w:val="333333"/>
                <w:sz w:val="22"/>
                <w:szCs w:val="22"/>
              </w:rPr>
              <w:t>الأب الشخصي المغادر/الغائب</w:t>
            </w:r>
          </w:p>
        </w:tc>
      </w:tr>
      <w:tr w:rsidR="009E3FB9" w14:paraId="16439867" w14:textId="77777777">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6EEF5557" w14:textId="77777777" w:rsidR="009E3FB9" w:rsidRDefault="00000000" w:rsidP="0004322B">
            <w:r>
              <w:rPr>
                <w:color w:val="333333"/>
                <w:sz w:val="22"/>
                <w:szCs w:val="22"/>
              </w:rPr>
              <w:t>هاجر (الأم)</w:t>
            </w:r>
          </w:p>
        </w:tc>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6EA9EC3B" w14:textId="77777777" w:rsidR="009E3FB9" w:rsidRDefault="00000000" w:rsidP="0004322B">
            <w:r>
              <w:rPr>
                <w:color w:val="333333"/>
                <w:sz w:val="22"/>
                <w:szCs w:val="22"/>
              </w:rPr>
              <w:t>الأنوثة الضحية</w:t>
            </w:r>
          </w:p>
        </w:tc>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07D8766B" w14:textId="77777777" w:rsidR="009E3FB9" w:rsidRDefault="00000000" w:rsidP="0004322B">
            <w:r>
              <w:rPr>
                <w:color w:val="333333"/>
                <w:sz w:val="22"/>
                <w:szCs w:val="22"/>
              </w:rPr>
              <w:t>الأم المهجورة — موضوع الحماية الفاشلة</w:t>
            </w:r>
          </w:p>
        </w:tc>
      </w:tr>
      <w:tr w:rsidR="009E3FB9" w14:paraId="23E940C4" w14:textId="77777777">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3A3A5D5E" w14:textId="77777777" w:rsidR="009E3FB9" w:rsidRDefault="00000000" w:rsidP="0004322B">
            <w:r>
              <w:rPr>
                <w:color w:val="333333"/>
                <w:sz w:val="22"/>
                <w:szCs w:val="22"/>
              </w:rPr>
              <w:t>إسماعيل (الابن)</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6C1CB098" w14:textId="77777777" w:rsidR="009E3FB9" w:rsidRDefault="00000000" w:rsidP="0004322B">
            <w:r>
              <w:rPr>
                <w:color w:val="333333"/>
                <w:sz w:val="22"/>
                <w:szCs w:val="22"/>
              </w:rPr>
              <w:t>الابن الشاهد على الهجر</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23AFA212" w14:textId="77777777" w:rsidR="009E3FB9" w:rsidRDefault="00000000" w:rsidP="0004322B">
            <w:r>
              <w:rPr>
                <w:color w:val="333333"/>
                <w:sz w:val="22"/>
                <w:szCs w:val="22"/>
              </w:rPr>
              <w:t>الطفل (بن سلامة) الشاهد على الصدمة</w:t>
            </w:r>
          </w:p>
        </w:tc>
      </w:tr>
      <w:tr w:rsidR="009E3FB9" w14:paraId="6F4B97A7" w14:textId="77777777">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466669D5" w14:textId="77777777" w:rsidR="009E3FB9" w:rsidRDefault="00000000" w:rsidP="0004322B">
            <w:r>
              <w:rPr>
                <w:color w:val="333333"/>
                <w:sz w:val="22"/>
                <w:szCs w:val="22"/>
              </w:rPr>
              <w:t>فعل الهجر</w:t>
            </w:r>
          </w:p>
        </w:tc>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61F6E6EB" w14:textId="77777777" w:rsidR="009E3FB9" w:rsidRDefault="00000000" w:rsidP="0004322B">
            <w:r>
              <w:rPr>
                <w:color w:val="333333"/>
                <w:sz w:val="22"/>
                <w:szCs w:val="22"/>
              </w:rPr>
              <w:t>«التطليق الأصلي» المؤسِّس</w:t>
            </w:r>
          </w:p>
        </w:tc>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5805BDB4" w14:textId="77777777" w:rsidR="009E3FB9" w:rsidRDefault="00000000" w:rsidP="0004322B">
            <w:r>
              <w:rPr>
                <w:color w:val="333333"/>
                <w:sz w:val="22"/>
                <w:szCs w:val="22"/>
              </w:rPr>
              <w:t>حدث طلاق/هجر عائلي في الطفولة</w:t>
            </w:r>
          </w:p>
        </w:tc>
      </w:tr>
      <w:tr w:rsidR="009E3FB9" w14:paraId="02C460EC" w14:textId="77777777">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4205C5C6" w14:textId="77777777" w:rsidR="009E3FB9" w:rsidRDefault="00000000" w:rsidP="0004322B">
            <w:r>
              <w:rPr>
                <w:color w:val="333333"/>
                <w:sz w:val="22"/>
                <w:szCs w:val="22"/>
              </w:rPr>
              <w:t>غياب زمزم</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72810A2E" w14:textId="77777777" w:rsidR="009E3FB9" w:rsidRDefault="00000000" w:rsidP="0004322B">
            <w:r>
              <w:rPr>
                <w:color w:val="333333"/>
                <w:sz w:val="22"/>
                <w:szCs w:val="22"/>
              </w:rPr>
              <w:t>مهمَل في التحليل</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5B706AF7" w14:textId="77777777" w:rsidR="009E3FB9" w:rsidRDefault="00000000" w:rsidP="0004322B">
            <w:r>
              <w:rPr>
                <w:color w:val="333333"/>
                <w:sz w:val="22"/>
                <w:szCs w:val="22"/>
              </w:rPr>
              <w:t>لا خلاص في التجربة الشخصية</w:t>
            </w:r>
          </w:p>
        </w:tc>
      </w:tr>
    </w:tbl>
    <w:p w14:paraId="42C6F362" w14:textId="77777777" w:rsidR="009E3FB9" w:rsidRDefault="009E3FB9" w:rsidP="0004322B">
      <w:pPr>
        <w:spacing w:before="120"/>
      </w:pPr>
    </w:p>
    <w:p w14:paraId="6573D28A" w14:textId="77777777" w:rsidR="009E3FB9" w:rsidRDefault="00000000" w:rsidP="0004322B">
      <w:pPr>
        <w:pStyle w:val="2"/>
        <w:pBdr>
          <w:right w:val="thick" w:sz="8" w:space="6" w:color="2E6B7B"/>
        </w:pBdr>
        <w:bidi/>
        <w:spacing w:before="360" w:after="180"/>
        <w:ind w:right="200"/>
      </w:pPr>
      <w:r>
        <w:rPr>
          <w:sz w:val="34"/>
          <w:szCs w:val="34"/>
        </w:rPr>
        <w:t>5.3 التفكيك اللغوي: الكلمات شاهدة على الجرح</w:t>
      </w:r>
    </w:p>
    <w:p w14:paraId="2760E41B" w14:textId="77777777" w:rsidR="009E3FB9" w:rsidRDefault="00000000" w:rsidP="0004322B">
      <w:pPr>
        <w:spacing w:before="80" w:after="80" w:line="340" w:lineRule="auto"/>
      </w:pPr>
      <w:r>
        <w:rPr>
          <w:color w:val="000000"/>
        </w:rPr>
        <w:t>يختار بن سلامة مصطلح «التطليق» لوصف فعل الهجر، رغم أنه لا يوجد طلاق شرعي في القصة. هذا الانزياح الدلالي يحمل الحمولة الانفعالية لكلمة «طلاق»، ويُوحي بقطع الرابطة ونهائيتها. كذلك تتهم لغته بمفردات من قبيل «نزوي»، «عنف»، «ذكوري»، «أنوثة»، مما يكشف غضباً وخيبة أمل شخصية تلبس ثوب التحليل الموضوعي.</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9E3FB9" w14:paraId="003557EC" w14:textId="77777777">
        <w:tc>
          <w:tcPr>
            <w:tcW w:w="9000" w:type="dxa"/>
            <w:tcBorders>
              <w:top w:val="single" w:sz="4" w:space="0" w:color="2E6B7B"/>
              <w:left w:val="single" w:sz="4" w:space="0" w:color="2E6B7B"/>
              <w:bottom w:val="single" w:sz="4" w:space="0" w:color="2E6B7B"/>
              <w:right w:val="single" w:sz="4" w:space="0" w:color="2E6B7B"/>
            </w:tcBorders>
            <w:shd w:val="clear" w:color="auto" w:fill="EAF2F8"/>
            <w:tcMar>
              <w:top w:w="120" w:type="dxa"/>
              <w:left w:w="180" w:type="dxa"/>
              <w:bottom w:w="40" w:type="dxa"/>
              <w:right w:w="180" w:type="dxa"/>
            </w:tcMar>
          </w:tcPr>
          <w:p w14:paraId="4B1BAFD5" w14:textId="77777777" w:rsidR="009E3FB9" w:rsidRDefault="00000000" w:rsidP="0004322B">
            <w:r>
              <w:rPr>
                <w:b/>
                <w:bCs/>
                <w:color w:val="2E6B7B"/>
                <w:sz w:val="28"/>
                <w:szCs w:val="28"/>
              </w:rPr>
              <w:t>الجرح الذي لا يُسمَّى</w:t>
            </w:r>
          </w:p>
        </w:tc>
      </w:tr>
      <w:tr w:rsidR="009E3FB9" w14:paraId="0D03AE25" w14:textId="77777777">
        <w:tc>
          <w:tcPr>
            <w:tcW w:w="9000" w:type="dxa"/>
            <w:tcBorders>
              <w:top w:val="single" w:sz="4" w:space="0" w:color="2E6B7B"/>
              <w:left w:val="single" w:sz="4" w:space="0" w:color="2E6B7B"/>
              <w:bottom w:val="single" w:sz="4" w:space="0" w:color="2E6B7B"/>
              <w:right w:val="single" w:sz="4" w:space="0" w:color="2E6B7B"/>
            </w:tcBorders>
            <w:tcMar>
              <w:top w:w="80" w:type="dxa"/>
              <w:left w:w="180" w:type="dxa"/>
              <w:bottom w:w="100" w:type="dxa"/>
              <w:right w:w="180" w:type="dxa"/>
            </w:tcMar>
          </w:tcPr>
          <w:p w14:paraId="197AAE89" w14:textId="77777777" w:rsidR="009E3FB9" w:rsidRDefault="00000000" w:rsidP="0004322B">
            <w:pPr>
              <w:spacing w:before="40" w:after="40" w:line="320" w:lineRule="auto"/>
            </w:pPr>
            <w:r>
              <w:rPr>
                <w:color w:val="222222"/>
                <w:sz w:val="24"/>
                <w:szCs w:val="24"/>
              </w:rPr>
              <w:t>التسامي الناقص: حاول بن سلامة تسامي صدمته عبر التحليل الفكري، لكن بقايا الجرح ظلت بارزة في الانتقائية والحماسة الانفعالية.</w:t>
            </w:r>
          </w:p>
          <w:p w14:paraId="12868149" w14:textId="77777777" w:rsidR="009E3FB9" w:rsidRDefault="00000000" w:rsidP="0004322B">
            <w:pPr>
              <w:spacing w:before="40" w:after="40" w:line="320" w:lineRule="auto"/>
            </w:pPr>
            <w:r>
              <w:rPr>
                <w:color w:val="222222"/>
                <w:sz w:val="24"/>
                <w:szCs w:val="24"/>
              </w:rPr>
              <w:t>انتقائية تغييب الخلاص: تغييب عناصر الخلاص (زمزم، الكعبة، النبوة) دليل على أن القارئ لم يعش «الخلاص» في سيرته الشخصية.</w:t>
            </w:r>
          </w:p>
          <w:p w14:paraId="4D1A8240" w14:textId="77777777" w:rsidR="009E3FB9" w:rsidRDefault="00000000" w:rsidP="0004322B">
            <w:pPr>
              <w:spacing w:before="40" w:after="40" w:line="320" w:lineRule="auto"/>
            </w:pPr>
            <w:r>
              <w:rPr>
                <w:color w:val="222222"/>
                <w:sz w:val="24"/>
                <w:szCs w:val="24"/>
              </w:rPr>
              <w:t>الدائرة المفرغة: الجرح ← البحث عن أب بديل ← الفشل ← البحث عن جد ← الجد متخيَّل ← العودة للجرح.</w:t>
            </w:r>
          </w:p>
        </w:tc>
      </w:tr>
    </w:tbl>
    <w:p w14:paraId="613C85C6" w14:textId="77777777" w:rsidR="009E3FB9" w:rsidRDefault="009E3FB9" w:rsidP="0004322B">
      <w:pPr>
        <w:spacing w:before="120"/>
      </w:pPr>
    </w:p>
    <w:p w14:paraId="69E4EFF1" w14:textId="77777777" w:rsidR="009E3FB9" w:rsidRDefault="00000000" w:rsidP="0004322B">
      <w:r>
        <w:br w:type="page"/>
      </w:r>
    </w:p>
    <w:p w14:paraId="0ED5E9CA" w14:textId="77777777" w:rsidR="009E3FB9" w:rsidRDefault="00000000" w:rsidP="0004322B">
      <w:pPr>
        <w:pStyle w:val="1"/>
        <w:pBdr>
          <w:bottom w:val="single" w:sz="6" w:space="6" w:color="B8860B"/>
        </w:pBdr>
        <w:bidi/>
      </w:pPr>
      <w:r>
        <w:rPr>
          <w:sz w:val="42"/>
          <w:szCs w:val="42"/>
        </w:rPr>
        <w:t>الفصل السادس: الاستشراق الذاتي والاختزالية في خطاب نقد الإرهاب</w:t>
      </w:r>
    </w:p>
    <w:p w14:paraId="3F7699D0" w14:textId="77777777" w:rsidR="009E3FB9" w:rsidRDefault="00000000" w:rsidP="0004322B">
      <w:pPr>
        <w:pStyle w:val="2"/>
        <w:pBdr>
          <w:right w:val="thick" w:sz="8" w:space="6" w:color="2E6B7B"/>
        </w:pBdr>
        <w:bidi/>
        <w:spacing w:before="360" w:after="180"/>
        <w:ind w:right="200"/>
      </w:pPr>
      <w:r>
        <w:rPr>
          <w:sz w:val="34"/>
          <w:szCs w:val="34"/>
        </w:rPr>
        <w:t>الإشكالية: خطاب النقد بين التشخيص والمشاركة</w:t>
      </w:r>
    </w:p>
    <w:p w14:paraId="43F79994" w14:textId="77777777" w:rsidR="009E3FB9" w:rsidRDefault="00000000" w:rsidP="0004322B">
      <w:pPr>
        <w:spacing w:before="80" w:after="80" w:line="340" w:lineRule="auto"/>
      </w:pPr>
      <w:r>
        <w:rPr>
          <w:color w:val="000000"/>
        </w:rPr>
        <w:t>يُشكّل التحول الدرامي في الخطاب الفكري العربي المعاصر — من نقد الاستبداد إلى التركيز المكثف على نقد التطرف الديني — ظاهرة تستحق الدراسة. هذا الفصل لا يناقش ظاهرة التطرف مباشرة، بل يحلل الخطاب الفكري الذي يزعم تشخيصها وعلاجها.</w:t>
      </w:r>
    </w:p>
    <w:p w14:paraId="0CCB9484" w14:textId="77777777" w:rsidR="009E3FB9" w:rsidRDefault="00000000" w:rsidP="0004322B">
      <w:pPr>
        <w:pStyle w:val="2"/>
        <w:pBdr>
          <w:right w:val="thick" w:sz="8" w:space="6" w:color="2E6B7B"/>
        </w:pBdr>
        <w:bidi/>
        <w:spacing w:before="360" w:after="180"/>
        <w:ind w:right="200"/>
      </w:pPr>
      <w:r>
        <w:rPr>
          <w:sz w:val="34"/>
          <w:szCs w:val="34"/>
        </w:rPr>
        <w:t>الاستشراق الذاتي: عندما تتبنى الذات عين المستعمِر</w:t>
      </w:r>
    </w:p>
    <w:p w14:paraId="790D45F2" w14:textId="77777777" w:rsidR="009E3FB9" w:rsidRDefault="00000000" w:rsidP="0004322B">
      <w:pPr>
        <w:spacing w:before="80" w:after="80" w:line="340" w:lineRule="auto"/>
      </w:pPr>
      <w:r>
        <w:rPr>
          <w:color w:val="000000"/>
        </w:rPr>
        <w:t>يتجلى الاستشراق الذاتي في خطاب نقد الإرهاب عبر ثلاث آليات كبرى:</w:t>
      </w:r>
    </w:p>
    <w:p w14:paraId="0D414563" w14:textId="77777777" w:rsidR="009E3FB9" w:rsidRDefault="00000000" w:rsidP="0004322B">
      <w:pPr>
        <w:spacing w:before="50" w:after="50" w:line="320" w:lineRule="auto"/>
        <w:ind w:left="200" w:right="400"/>
      </w:pPr>
      <w:r>
        <w:rPr>
          <w:color w:val="2E6B7B"/>
          <w:sz w:val="24"/>
          <w:szCs w:val="24"/>
        </w:rPr>
        <w:t xml:space="preserve">◆ </w:t>
      </w:r>
      <w:r>
        <w:rPr>
          <w:color w:val="000000"/>
          <w:sz w:val="24"/>
          <w:szCs w:val="24"/>
        </w:rPr>
        <w:t>أولاً: استعارة نموذج «الصراع الحضاري» — تحويل التطرف من ظاهرة سياسية-اجتماعية معقدة إلى تعبير عن صدام قيمي بين الحداثة وما قبلها.</w:t>
      </w:r>
    </w:p>
    <w:p w14:paraId="1C0F8CCE" w14:textId="77777777" w:rsidR="009E3FB9" w:rsidRDefault="00000000" w:rsidP="0004322B">
      <w:pPr>
        <w:spacing w:before="50" w:after="50" w:line="320" w:lineRule="auto"/>
        <w:ind w:left="200" w:right="400"/>
      </w:pPr>
      <w:r>
        <w:rPr>
          <w:color w:val="2E6B7B"/>
          <w:sz w:val="24"/>
          <w:szCs w:val="24"/>
        </w:rPr>
        <w:t xml:space="preserve">◆ </w:t>
      </w:r>
      <w:r>
        <w:rPr>
          <w:color w:val="000000"/>
          <w:sz w:val="24"/>
          <w:szCs w:val="24"/>
        </w:rPr>
        <w:t>ثانياً: التبعية المنهجية — الاعتماد الحصري على أدوات التحليل النفسي الفرويدي واللاكاني دون مساءلة ملاءمتها السياقية.</w:t>
      </w:r>
    </w:p>
    <w:p w14:paraId="1B998A43" w14:textId="77777777" w:rsidR="009E3FB9" w:rsidRDefault="00000000" w:rsidP="0004322B">
      <w:pPr>
        <w:spacing w:before="50" w:after="50" w:line="320" w:lineRule="auto"/>
        <w:ind w:left="200" w:right="400"/>
      </w:pPr>
      <w:r>
        <w:rPr>
          <w:color w:val="2E6B7B"/>
          <w:sz w:val="24"/>
          <w:szCs w:val="24"/>
        </w:rPr>
        <w:t xml:space="preserve">◆ </w:t>
      </w:r>
      <w:r>
        <w:rPr>
          <w:color w:val="000000"/>
          <w:sz w:val="24"/>
          <w:szCs w:val="24"/>
        </w:rPr>
        <w:t>ثالثاً: الموقع المؤسسي المزدوج — إنتاج المعرفة تحت رعاية مؤسسات بحثية غربية تُحدد أولوياتها.</w:t>
      </w:r>
    </w:p>
    <w:p w14:paraId="6C59F47E" w14:textId="77777777" w:rsidR="009E3FB9" w:rsidRDefault="00000000" w:rsidP="0004322B">
      <w:pPr>
        <w:pStyle w:val="2"/>
        <w:pBdr>
          <w:right w:val="thick" w:sz="8" w:space="6" w:color="2E6B7B"/>
        </w:pBdr>
        <w:bidi/>
        <w:spacing w:before="360" w:after="180"/>
        <w:ind w:right="200"/>
      </w:pPr>
      <w:r>
        <w:rPr>
          <w:sz w:val="34"/>
          <w:szCs w:val="34"/>
        </w:rPr>
        <w:t>النتائج العكسية: توليد الكراهية وإعاقة الفهم</w:t>
      </w:r>
    </w:p>
    <w:p w14:paraId="520582E7" w14:textId="77777777" w:rsidR="009E3FB9" w:rsidRDefault="009E3FB9" w:rsidP="0004322B">
      <w:pPr>
        <w:spacing w:before="80"/>
      </w:pPr>
    </w:p>
    <w:tbl>
      <w:tblPr>
        <w:tblW w:w="90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00"/>
      </w:tblGrid>
      <w:tr w:rsidR="009E3FB9" w14:paraId="5EC9512B" w14:textId="77777777">
        <w:trPr>
          <w:tblHeader/>
        </w:trPr>
        <w:tc>
          <w:tcPr>
            <w:tcW w:w="45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387BBECC" w14:textId="77777777" w:rsidR="009E3FB9" w:rsidRDefault="00000000" w:rsidP="0004322B">
            <w:r>
              <w:rPr>
                <w:b/>
                <w:bCs/>
                <w:color w:val="FFFFFF"/>
                <w:sz w:val="23"/>
                <w:szCs w:val="23"/>
              </w:rPr>
              <w:t>الطرف</w:t>
            </w:r>
          </w:p>
        </w:tc>
        <w:tc>
          <w:tcPr>
            <w:tcW w:w="45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7E535AA4" w14:textId="77777777" w:rsidR="009E3FB9" w:rsidRDefault="00000000" w:rsidP="0004322B">
            <w:r>
              <w:rPr>
                <w:b/>
                <w:bCs/>
                <w:color w:val="FFFFFF"/>
                <w:sz w:val="23"/>
                <w:szCs w:val="23"/>
              </w:rPr>
              <w:t>الأثر السلبي للخطاب</w:t>
            </w:r>
          </w:p>
        </w:tc>
      </w:tr>
      <w:tr w:rsidR="009E3FB9" w14:paraId="360DE138" w14:textId="77777777">
        <w:tc>
          <w:tcPr>
            <w:tcW w:w="45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6C3BC7BE" w14:textId="77777777" w:rsidR="009E3FB9" w:rsidRDefault="00000000" w:rsidP="0004322B">
            <w:r>
              <w:rPr>
                <w:color w:val="333333"/>
                <w:sz w:val="22"/>
                <w:szCs w:val="22"/>
              </w:rPr>
              <w:t>المتطرفون الإسلاميون</w:t>
            </w:r>
          </w:p>
        </w:tc>
        <w:tc>
          <w:tcPr>
            <w:tcW w:w="45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4C6ABE28" w14:textId="77777777" w:rsidR="009E3FB9" w:rsidRDefault="00000000" w:rsidP="0004322B">
            <w:r>
              <w:rPr>
                <w:color w:val="333333"/>
                <w:sz w:val="22"/>
                <w:szCs w:val="22"/>
              </w:rPr>
              <w:t>يصبح الخطاب «دليل» على الحرب الثقافية الغربية، يُغذي التعبئة</w:t>
            </w:r>
          </w:p>
        </w:tc>
      </w:tr>
      <w:tr w:rsidR="009E3FB9" w14:paraId="73CDB328" w14:textId="77777777">
        <w:tc>
          <w:tcPr>
            <w:tcW w:w="45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4D85EF45" w14:textId="77777777" w:rsidR="009E3FB9" w:rsidRDefault="00000000" w:rsidP="0004322B">
            <w:r>
              <w:rPr>
                <w:color w:val="333333"/>
                <w:sz w:val="22"/>
                <w:szCs w:val="22"/>
              </w:rPr>
              <w:t>الرأي العام الغربي</w:t>
            </w:r>
          </w:p>
        </w:tc>
        <w:tc>
          <w:tcPr>
            <w:tcW w:w="45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26390050" w14:textId="77777777" w:rsidR="009E3FB9" w:rsidRDefault="00000000" w:rsidP="0004322B">
            <w:r>
              <w:rPr>
                <w:color w:val="333333"/>
                <w:sz w:val="22"/>
                <w:szCs w:val="22"/>
              </w:rPr>
              <w:t>يعزز الصورة النمطية عن الإسلام، يُبرر سياسات تمييزية</w:t>
            </w:r>
          </w:p>
        </w:tc>
      </w:tr>
      <w:tr w:rsidR="009E3FB9" w14:paraId="384D5544" w14:textId="77777777">
        <w:tc>
          <w:tcPr>
            <w:tcW w:w="45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355F0B47" w14:textId="77777777" w:rsidR="009E3FB9" w:rsidRDefault="00000000" w:rsidP="0004322B">
            <w:r>
              <w:rPr>
                <w:color w:val="333333"/>
                <w:sz w:val="22"/>
                <w:szCs w:val="22"/>
              </w:rPr>
              <w:t>المثقفون المعتدلون</w:t>
            </w:r>
          </w:p>
        </w:tc>
        <w:tc>
          <w:tcPr>
            <w:tcW w:w="45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1A40857A" w14:textId="77777777" w:rsidR="009E3FB9" w:rsidRDefault="00000000" w:rsidP="0004322B">
            <w:r>
              <w:rPr>
                <w:color w:val="333333"/>
                <w:sz w:val="22"/>
                <w:szCs w:val="22"/>
              </w:rPr>
              <w:t>يخلق مأزقاً وجودياً: قبول التشويه أو انكفاء هوياتي</w:t>
            </w:r>
          </w:p>
        </w:tc>
      </w:tr>
    </w:tbl>
    <w:p w14:paraId="09CCD12C" w14:textId="77777777" w:rsidR="009E3FB9" w:rsidRDefault="009E3FB9" w:rsidP="0004322B">
      <w:pPr>
        <w:spacing w:before="120"/>
      </w:pPr>
    </w:p>
    <w:p w14:paraId="118132B2" w14:textId="77777777" w:rsidR="009E3FB9" w:rsidRDefault="00000000" w:rsidP="0004322B">
      <w:pPr>
        <w:pStyle w:val="2"/>
        <w:pBdr>
          <w:right w:val="thick" w:sz="8" w:space="6" w:color="2E6B7B"/>
        </w:pBdr>
        <w:bidi/>
        <w:spacing w:before="360" w:after="180"/>
        <w:ind w:right="200"/>
      </w:pPr>
      <w:r>
        <w:rPr>
          <w:sz w:val="34"/>
          <w:szCs w:val="34"/>
        </w:rPr>
        <w:t>نحو منهجية متوازنة: اقتراحات نقدية</w:t>
      </w:r>
    </w:p>
    <w:p w14:paraId="24828280" w14:textId="77777777" w:rsidR="009E3FB9" w:rsidRDefault="00000000" w:rsidP="0004322B">
      <w:pPr>
        <w:spacing w:before="50" w:after="50" w:line="320" w:lineRule="auto"/>
        <w:ind w:left="200" w:right="400"/>
      </w:pPr>
      <w:r>
        <w:rPr>
          <w:color w:val="2E6B7B"/>
          <w:sz w:val="24"/>
          <w:szCs w:val="24"/>
        </w:rPr>
        <w:t xml:space="preserve">◆ </w:t>
      </w:r>
      <w:r>
        <w:rPr>
          <w:color w:val="000000"/>
          <w:sz w:val="24"/>
          <w:szCs w:val="24"/>
        </w:rPr>
        <w:t>النقد الداخلي الأصيل: تطوير أدوات نقدية من صلب التراث الإسلامي نفسه مع الانفتاح النقدي — لا التبعي — على المناهج الحديثة.</w:t>
      </w:r>
    </w:p>
    <w:p w14:paraId="3DD525F1" w14:textId="77777777" w:rsidR="009E3FB9" w:rsidRDefault="00000000" w:rsidP="0004322B">
      <w:pPr>
        <w:spacing w:before="50" w:after="50" w:line="320" w:lineRule="auto"/>
        <w:ind w:left="200" w:right="400"/>
      </w:pPr>
      <w:r>
        <w:rPr>
          <w:color w:val="2E6B7B"/>
          <w:sz w:val="24"/>
          <w:szCs w:val="24"/>
        </w:rPr>
        <w:t xml:space="preserve">◆ </w:t>
      </w:r>
      <w:r>
        <w:rPr>
          <w:color w:val="000000"/>
          <w:sz w:val="24"/>
          <w:szCs w:val="24"/>
        </w:rPr>
        <w:t>السياقنة الشاملة: رفض القراءات الأحادية والربط بين العوامل الدينية والنفسية والسياسية والاقتصادية.</w:t>
      </w:r>
    </w:p>
    <w:p w14:paraId="351D664B" w14:textId="77777777" w:rsidR="009E3FB9" w:rsidRDefault="00000000" w:rsidP="0004322B">
      <w:pPr>
        <w:spacing w:before="50" w:after="50" w:line="320" w:lineRule="auto"/>
        <w:ind w:left="200" w:right="400"/>
      </w:pPr>
      <w:r>
        <w:rPr>
          <w:color w:val="2E6B7B"/>
          <w:sz w:val="24"/>
          <w:szCs w:val="24"/>
        </w:rPr>
        <w:t xml:space="preserve">◆ </w:t>
      </w:r>
      <w:r>
        <w:rPr>
          <w:color w:val="000000"/>
          <w:sz w:val="24"/>
          <w:szCs w:val="24"/>
        </w:rPr>
        <w:t>التمييز الجذري بين الدين وتأويلاته: الفصل التحليلي الواضح بين النصوص المؤسسة وبين القراءات البشرية التاريخية.</w:t>
      </w:r>
    </w:p>
    <w:p w14:paraId="43EA199F" w14:textId="77777777" w:rsidR="009E3FB9" w:rsidRDefault="00000000" w:rsidP="0004322B">
      <w:pPr>
        <w:spacing w:before="50" w:after="50" w:line="320" w:lineRule="auto"/>
        <w:ind w:left="200" w:right="400"/>
      </w:pPr>
      <w:r>
        <w:rPr>
          <w:color w:val="2E6B7B"/>
          <w:sz w:val="24"/>
          <w:szCs w:val="24"/>
        </w:rPr>
        <w:t xml:space="preserve">◆ </w:t>
      </w:r>
      <w:r>
        <w:rPr>
          <w:color w:val="000000"/>
          <w:sz w:val="24"/>
          <w:szCs w:val="24"/>
        </w:rPr>
        <w:t>النقد المزدوج: نقد التراث بنفس الجذرية التي ننقد بها الخطاب الاستعماري.</w:t>
      </w:r>
    </w:p>
    <w:p w14:paraId="06E5C274" w14:textId="77777777" w:rsidR="009E3FB9" w:rsidRDefault="00000000" w:rsidP="0004322B">
      <w:r>
        <w:br w:type="page"/>
      </w:r>
    </w:p>
    <w:p w14:paraId="37619FE0" w14:textId="77777777" w:rsidR="009E3FB9" w:rsidRDefault="00000000" w:rsidP="0004322B">
      <w:pPr>
        <w:pStyle w:val="1"/>
        <w:pBdr>
          <w:bottom w:val="single" w:sz="6" w:space="6" w:color="B8860B"/>
        </w:pBdr>
        <w:bidi/>
      </w:pPr>
      <w:r>
        <w:rPr>
          <w:sz w:val="42"/>
          <w:szCs w:val="42"/>
        </w:rPr>
        <w:t>الفصل التاسع: الجد الأصلي — نقطة الارتكاز المفقودة</w:t>
      </w:r>
    </w:p>
    <w:p w14:paraId="373F3602" w14:textId="77777777" w:rsidR="009E3FB9" w:rsidRDefault="00000000" w:rsidP="0004322B">
      <w:pPr>
        <w:pStyle w:val="2"/>
        <w:pBdr>
          <w:right w:val="thick" w:sz="8" w:space="6" w:color="2E6B7B"/>
        </w:pBdr>
        <w:bidi/>
        <w:spacing w:before="360" w:after="180"/>
        <w:ind w:right="200"/>
      </w:pPr>
      <w:r>
        <w:rPr>
          <w:sz w:val="34"/>
          <w:szCs w:val="34"/>
        </w:rPr>
        <w:t>9.1 المقدمة: البحث عن الأصول</w:t>
      </w:r>
    </w:p>
    <w:p w14:paraId="0F07B835" w14:textId="77777777" w:rsidR="009E3FB9" w:rsidRDefault="00000000" w:rsidP="0004322B">
      <w:pPr>
        <w:spacing w:before="80" w:after="80" w:line="340" w:lineRule="auto"/>
      </w:pPr>
      <w:r>
        <w:rPr>
          <w:color w:val="000000"/>
        </w:rPr>
        <w:t>بعد أن تتبعنا مظاهر الجرح النفسي والتماهيات الاستعاضية، نصل إلى الطبقة التحليلية الأعمق: مفهوم «الجد الأصلي» الذي يمثل البحث المتواصل عن نقطة ارتكاز مفقودة، عن أصل لا يمكن تطليقه، عن أب ما قبل الأب. هذا البحث ليس مجرد نزعة نظرية، بل هو محاولة يائسة لإعادة بناء سلسلة نسب نفسية انقطع خيطها.</w:t>
      </w:r>
    </w:p>
    <w:p w14:paraId="363275B0" w14:textId="77777777" w:rsidR="009E3FB9" w:rsidRDefault="00000000" w:rsidP="0004322B">
      <w:pPr>
        <w:pStyle w:val="2"/>
        <w:pBdr>
          <w:right w:val="thick" w:sz="8" w:space="6" w:color="2E6B7B"/>
        </w:pBdr>
        <w:bidi/>
        <w:spacing w:before="360" w:after="180"/>
        <w:ind w:right="200"/>
      </w:pPr>
      <w:r>
        <w:rPr>
          <w:sz w:val="34"/>
          <w:szCs w:val="34"/>
        </w:rPr>
        <w:t>9.2 وظائف البحث عن الجد</w:t>
      </w:r>
    </w:p>
    <w:p w14:paraId="48D9AFC3" w14:textId="77777777" w:rsidR="009E3FB9" w:rsidRDefault="00000000" w:rsidP="0004322B">
      <w:pPr>
        <w:spacing w:before="50" w:after="50" w:line="320" w:lineRule="auto"/>
        <w:ind w:left="200" w:right="400"/>
      </w:pPr>
      <w:r>
        <w:rPr>
          <w:color w:val="2E6B7B"/>
          <w:sz w:val="24"/>
          <w:szCs w:val="24"/>
        </w:rPr>
        <w:t xml:space="preserve">◆ </w:t>
      </w:r>
      <w:r>
        <w:rPr>
          <w:color w:val="000000"/>
          <w:sz w:val="24"/>
          <w:szCs w:val="24"/>
        </w:rPr>
        <w:t>وظيفة التعويض عن الأب المفقود: إذا كان الأب في «التطليق» قد خان، فابحث عن جد لم يخن.</w:t>
      </w:r>
    </w:p>
    <w:p w14:paraId="6238A8F9" w14:textId="77777777" w:rsidR="009E3FB9" w:rsidRDefault="00000000" w:rsidP="0004322B">
      <w:pPr>
        <w:spacing w:before="50" w:after="50" w:line="320" w:lineRule="auto"/>
        <w:ind w:left="200" w:right="400"/>
      </w:pPr>
      <w:r>
        <w:rPr>
          <w:color w:val="2E6B7B"/>
          <w:sz w:val="24"/>
          <w:szCs w:val="24"/>
        </w:rPr>
        <w:t xml:space="preserve">◆ </w:t>
      </w:r>
      <w:r>
        <w:rPr>
          <w:color w:val="000000"/>
          <w:sz w:val="24"/>
          <w:szCs w:val="24"/>
        </w:rPr>
        <w:t>وظيفة تخطي الصراع الأوديبي الفاشل: بدلاً من محاربة الأب، انتقل مباشرة إلى الجد، تجاوز الأب الفاشل.</w:t>
      </w:r>
    </w:p>
    <w:p w14:paraId="32B75032" w14:textId="77777777" w:rsidR="009E3FB9" w:rsidRDefault="00000000" w:rsidP="0004322B">
      <w:pPr>
        <w:spacing w:before="50" w:after="50" w:line="320" w:lineRule="auto"/>
        <w:ind w:left="200" w:right="400"/>
      </w:pPr>
      <w:r>
        <w:rPr>
          <w:color w:val="2E6B7B"/>
          <w:sz w:val="24"/>
          <w:szCs w:val="24"/>
        </w:rPr>
        <w:t xml:space="preserve">◆ </w:t>
      </w:r>
      <w:r>
        <w:rPr>
          <w:color w:val="000000"/>
          <w:sz w:val="24"/>
          <w:szCs w:val="24"/>
        </w:rPr>
        <w:t>وظيفة إعادة بناء الشرعية: ابنِ شرعيتك من الجد مباشرة، اقطع الواسطة الفاشلة.</w:t>
      </w:r>
    </w:p>
    <w:p w14:paraId="3D8C4BAE" w14:textId="77777777" w:rsidR="009E3FB9" w:rsidRDefault="00000000" w:rsidP="0004322B">
      <w:pPr>
        <w:pStyle w:val="2"/>
        <w:pBdr>
          <w:right w:val="thick" w:sz="8" w:space="6" w:color="2E6B7B"/>
        </w:pBdr>
        <w:bidi/>
        <w:spacing w:before="360" w:after="180"/>
        <w:ind w:right="200"/>
      </w:pPr>
      <w:r>
        <w:rPr>
          <w:sz w:val="34"/>
          <w:szCs w:val="34"/>
        </w:rPr>
        <w:t>9.3 الدائرة المفرغة</w:t>
      </w:r>
    </w:p>
    <w:p w14:paraId="4A4030EC" w14:textId="77777777" w:rsidR="009E3FB9" w:rsidRDefault="009E3FB9" w:rsidP="0004322B">
      <w:pPr>
        <w:spacing w:before="8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9E3FB9" w14:paraId="21509EFA" w14:textId="77777777">
        <w:tc>
          <w:tcPr>
            <w:tcW w:w="9000" w:type="dxa"/>
            <w:tcBorders>
              <w:top w:val="single" w:sz="4" w:space="0" w:color="2E6B7B"/>
              <w:left w:val="single" w:sz="4" w:space="0" w:color="2E6B7B"/>
              <w:bottom w:val="single" w:sz="4" w:space="0" w:color="2E6B7B"/>
              <w:right w:val="single" w:sz="4" w:space="0" w:color="2E6B7B"/>
            </w:tcBorders>
            <w:shd w:val="clear" w:color="auto" w:fill="EAF2F8"/>
            <w:tcMar>
              <w:top w:w="120" w:type="dxa"/>
              <w:left w:w="180" w:type="dxa"/>
              <w:bottom w:w="40" w:type="dxa"/>
              <w:right w:w="180" w:type="dxa"/>
            </w:tcMar>
          </w:tcPr>
          <w:p w14:paraId="1BA197FE" w14:textId="77777777" w:rsidR="009E3FB9" w:rsidRDefault="00000000" w:rsidP="0004322B">
            <w:r>
              <w:rPr>
                <w:b/>
                <w:bCs/>
                <w:color w:val="2E6B7B"/>
                <w:sz w:val="28"/>
                <w:szCs w:val="28"/>
              </w:rPr>
              <w:t>مسار البحث اللانهائي عن الجد</w:t>
            </w:r>
          </w:p>
        </w:tc>
      </w:tr>
      <w:tr w:rsidR="009E3FB9" w14:paraId="69499558" w14:textId="77777777">
        <w:tc>
          <w:tcPr>
            <w:tcW w:w="9000" w:type="dxa"/>
            <w:tcBorders>
              <w:top w:val="single" w:sz="4" w:space="0" w:color="2E6B7B"/>
              <w:left w:val="single" w:sz="4" w:space="0" w:color="2E6B7B"/>
              <w:bottom w:val="single" w:sz="4" w:space="0" w:color="2E6B7B"/>
              <w:right w:val="single" w:sz="4" w:space="0" w:color="2E6B7B"/>
            </w:tcBorders>
            <w:tcMar>
              <w:top w:w="80" w:type="dxa"/>
              <w:left w:w="180" w:type="dxa"/>
              <w:bottom w:w="100" w:type="dxa"/>
              <w:right w:w="180" w:type="dxa"/>
            </w:tcMar>
          </w:tcPr>
          <w:p w14:paraId="2CEF9D09" w14:textId="77777777" w:rsidR="009E3FB9" w:rsidRDefault="00000000" w:rsidP="0004322B">
            <w:pPr>
              <w:spacing w:before="40" w:after="40" w:line="320" w:lineRule="auto"/>
            </w:pPr>
            <w:r>
              <w:rPr>
                <w:color w:val="222222"/>
                <w:sz w:val="24"/>
                <w:szCs w:val="24"/>
              </w:rPr>
              <w:t>المرحلة 1: الجرح (التطليق الأصلي) ← يدفع نحو البحث عن أب بديل.</w:t>
            </w:r>
          </w:p>
          <w:p w14:paraId="7F682F4B" w14:textId="77777777" w:rsidR="009E3FB9" w:rsidRDefault="00000000" w:rsidP="0004322B">
            <w:pPr>
              <w:spacing w:before="40" w:after="40" w:line="320" w:lineRule="auto"/>
            </w:pPr>
            <w:r>
              <w:rPr>
                <w:color w:val="222222"/>
                <w:sz w:val="24"/>
                <w:szCs w:val="24"/>
              </w:rPr>
              <w:t>المرحلة 2: البحث عن أب بديل (كليرامبو/بورقيبة/رشدي) ← يفشل لأن البدائل الخارجية لا تشفي.</w:t>
            </w:r>
          </w:p>
          <w:p w14:paraId="5AEB45F5" w14:textId="77777777" w:rsidR="009E3FB9" w:rsidRDefault="00000000" w:rsidP="0004322B">
            <w:pPr>
              <w:spacing w:before="40" w:after="40" w:line="320" w:lineRule="auto"/>
            </w:pPr>
            <w:r>
              <w:rPr>
                <w:color w:val="222222"/>
                <w:sz w:val="24"/>
                <w:szCs w:val="24"/>
              </w:rPr>
              <w:t>المرحلة 3: البحث عن الجد الأصلي (إسلام نقي، صوفيون) ← يتبين أن الجد متخيَّل لا حقيقي.</w:t>
            </w:r>
          </w:p>
          <w:p w14:paraId="0EE7AFA2" w14:textId="77777777" w:rsidR="009E3FB9" w:rsidRDefault="00000000" w:rsidP="0004322B">
            <w:pPr>
              <w:spacing w:before="40" w:after="40" w:line="320" w:lineRule="auto"/>
            </w:pPr>
            <w:r>
              <w:rPr>
                <w:color w:val="222222"/>
                <w:sz w:val="24"/>
                <w:szCs w:val="24"/>
              </w:rPr>
              <w:t>العودة للمرحلة 1: الجرح لا يندمل → الدائرة تتكرر إلى ما لا نهاية.</w:t>
            </w:r>
          </w:p>
        </w:tc>
      </w:tr>
    </w:tbl>
    <w:p w14:paraId="46F33359" w14:textId="77777777" w:rsidR="009E3FB9" w:rsidRDefault="009E3FB9" w:rsidP="0004322B">
      <w:pPr>
        <w:spacing w:before="120"/>
      </w:pPr>
    </w:p>
    <w:p w14:paraId="7B05CA20" w14:textId="77777777" w:rsidR="009E3FB9" w:rsidRDefault="00000000" w:rsidP="0004322B">
      <w:pPr>
        <w:pStyle w:val="2"/>
        <w:pBdr>
          <w:right w:val="thick" w:sz="8" w:space="6" w:color="2E6B7B"/>
        </w:pBdr>
        <w:bidi/>
        <w:spacing w:before="360" w:after="180"/>
        <w:ind w:right="200"/>
      </w:pPr>
      <w:r>
        <w:rPr>
          <w:sz w:val="34"/>
          <w:szCs w:val="34"/>
        </w:rPr>
        <w:t>9.4 إشكاليات نفسية ومنهجية</w:t>
      </w:r>
    </w:p>
    <w:p w14:paraId="282823F0" w14:textId="77777777" w:rsidR="009E3FB9" w:rsidRDefault="00000000" w:rsidP="0004322B">
      <w:pPr>
        <w:spacing w:before="80" w:after="80" w:line="340" w:lineRule="auto"/>
      </w:pPr>
      <w:r>
        <w:rPr>
          <w:color w:val="000000"/>
        </w:rPr>
        <w:t>يقع بن سلامة في ما يمكن تسميته «نرجسية الأصول»: شعور بالفخر بالانتماء إلى أجداد عظماء، مع الخزي من «خيانة» الحاضرين لهم. كما يتناقض مع منهجه الدريدي الذي يشكك في كل الأصول، بينما يسعى في الوقت ذاته إلى بناء أصل متخيل.</w:t>
      </w:r>
    </w:p>
    <w:p w14:paraId="26F780D6" w14:textId="77777777" w:rsidR="009E3FB9" w:rsidRDefault="00000000" w:rsidP="0004322B">
      <w:pPr>
        <w:pBdr>
          <w:right w:val="thick" w:sz="8" w:space="8" w:color="B8860B"/>
        </w:pBdr>
        <w:shd w:val="clear" w:color="auto" w:fill="EAF2F8"/>
        <w:spacing w:before="120" w:after="120" w:line="320" w:lineRule="auto"/>
        <w:ind w:left="600" w:right="600"/>
      </w:pPr>
      <w:r>
        <w:rPr>
          <w:i/>
          <w:iCs/>
          <w:color w:val="1A2A4A"/>
          <w:sz w:val="25"/>
          <w:szCs w:val="25"/>
        </w:rPr>
        <w:t>«الجد الذي يبحث عنه بن سلامة ليس شخصية تاريخية بل بناء مثالي. كلما اقتربت منه، اكتشفت أنه بناءك أنت.»</w:t>
      </w:r>
    </w:p>
    <w:p w14:paraId="001652A2" w14:textId="77777777" w:rsidR="009E3FB9" w:rsidRDefault="00000000" w:rsidP="0004322B">
      <w:r>
        <w:br w:type="page"/>
      </w:r>
    </w:p>
    <w:p w14:paraId="736CCFDD" w14:textId="77777777" w:rsidR="009E3FB9" w:rsidRDefault="00000000" w:rsidP="0004322B">
      <w:pPr>
        <w:pStyle w:val="1"/>
        <w:pBdr>
          <w:bottom w:val="single" w:sz="6" w:space="6" w:color="B8860B"/>
        </w:pBdr>
        <w:bidi/>
      </w:pPr>
      <w:r>
        <w:rPr>
          <w:sz w:val="42"/>
          <w:szCs w:val="42"/>
        </w:rPr>
        <w:t>الفصل الحادي عشر: الضيف كرهينة — الضيافة المشروطة الغربية</w:t>
      </w:r>
    </w:p>
    <w:p w14:paraId="306F4846" w14:textId="77777777" w:rsidR="009E3FB9" w:rsidRDefault="00000000" w:rsidP="0004322B">
      <w:pPr>
        <w:pStyle w:val="2"/>
        <w:pBdr>
          <w:right w:val="thick" w:sz="8" w:space="6" w:color="2E6B7B"/>
        </w:pBdr>
        <w:bidi/>
        <w:spacing w:before="360" w:after="180"/>
        <w:ind w:right="200"/>
      </w:pPr>
      <w:r>
        <w:rPr>
          <w:sz w:val="34"/>
          <w:szCs w:val="34"/>
        </w:rPr>
        <w:t>11.1 مقدمة: من ضيافة النص إلى ضيافة الواقع</w:t>
      </w:r>
    </w:p>
    <w:p w14:paraId="383477A0" w14:textId="77777777" w:rsidR="009E3FB9" w:rsidRDefault="00000000" w:rsidP="0004322B">
      <w:pPr>
        <w:spacing w:before="80" w:after="80" w:line="340" w:lineRule="auto"/>
      </w:pPr>
      <w:r>
        <w:rPr>
          <w:color w:val="000000"/>
        </w:rPr>
        <w:t>بعد أن تتبعنا أركيولوجيا الجرح النفسي والعائلي، نصل إلى تحليل السياق الوجودي الذي ينتج هذا الخطاب. إذا كان دريدا قد طرح سؤال الضيافة كإشكالية أخلاقية مطلقة، فإن حالة بن سلامة تقدم نموذجاً ملموساً للضيافة المشروطة في الواقع.</w:t>
      </w:r>
    </w:p>
    <w:p w14:paraId="4FDE18EE" w14:textId="77777777" w:rsidR="009E3FB9" w:rsidRDefault="00000000" w:rsidP="0004322B">
      <w:pPr>
        <w:pStyle w:val="2"/>
        <w:pBdr>
          <w:right w:val="thick" w:sz="8" w:space="6" w:color="2E6B7B"/>
        </w:pBdr>
        <w:bidi/>
        <w:spacing w:before="360" w:after="180"/>
        <w:ind w:right="200"/>
      </w:pPr>
      <w:r>
        <w:rPr>
          <w:sz w:val="34"/>
          <w:szCs w:val="34"/>
        </w:rPr>
        <w:t>11.2 نموذج دريدا والانقلاب في حالة بن سلامة</w:t>
      </w:r>
    </w:p>
    <w:p w14:paraId="166F3A34" w14:textId="77777777" w:rsidR="009E3FB9" w:rsidRDefault="009E3FB9" w:rsidP="0004322B">
      <w:pPr>
        <w:spacing w:before="80"/>
      </w:pPr>
    </w:p>
    <w:tbl>
      <w:tblPr>
        <w:tblW w:w="90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00"/>
      </w:tblGrid>
      <w:tr w:rsidR="009E3FB9" w14:paraId="60EFF63B" w14:textId="77777777">
        <w:trPr>
          <w:tblHeader/>
        </w:trPr>
        <w:tc>
          <w:tcPr>
            <w:tcW w:w="30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4418AB44" w14:textId="77777777" w:rsidR="009E3FB9" w:rsidRDefault="00000000" w:rsidP="0004322B">
            <w:r>
              <w:rPr>
                <w:b/>
                <w:bCs/>
                <w:color w:val="FFFFFF"/>
                <w:sz w:val="23"/>
                <w:szCs w:val="23"/>
              </w:rPr>
              <w:t>العنصر</w:t>
            </w:r>
          </w:p>
        </w:tc>
        <w:tc>
          <w:tcPr>
            <w:tcW w:w="30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016F2965" w14:textId="77777777" w:rsidR="009E3FB9" w:rsidRDefault="00000000" w:rsidP="0004322B">
            <w:r>
              <w:rPr>
                <w:b/>
                <w:bCs/>
                <w:color w:val="FFFFFF"/>
                <w:sz w:val="23"/>
                <w:szCs w:val="23"/>
              </w:rPr>
              <w:t>الضيافة الدريدية (المطلقة)</w:t>
            </w:r>
          </w:p>
        </w:tc>
        <w:tc>
          <w:tcPr>
            <w:tcW w:w="30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2093CB6E" w14:textId="77777777" w:rsidR="009E3FB9" w:rsidRDefault="00000000" w:rsidP="0004322B">
            <w:r>
              <w:rPr>
                <w:b/>
                <w:bCs/>
                <w:color w:val="FFFFFF"/>
                <w:sz w:val="23"/>
                <w:szCs w:val="23"/>
              </w:rPr>
              <w:t>حالة بن سلامة (المشروطة)</w:t>
            </w:r>
          </w:p>
        </w:tc>
      </w:tr>
      <w:tr w:rsidR="009E3FB9" w14:paraId="75E4B286" w14:textId="77777777">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70C60E69" w14:textId="77777777" w:rsidR="009E3FB9" w:rsidRDefault="00000000" w:rsidP="0004322B">
            <w:r>
              <w:rPr>
                <w:color w:val="333333"/>
                <w:sz w:val="22"/>
                <w:szCs w:val="22"/>
              </w:rPr>
              <w:t>المضيف</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7923B3A0" w14:textId="77777777" w:rsidR="009E3FB9" w:rsidRDefault="00000000" w:rsidP="0004322B">
            <w:r>
              <w:rPr>
                <w:color w:val="333333"/>
                <w:sz w:val="22"/>
                <w:szCs w:val="22"/>
              </w:rPr>
              <w:t>مسؤول أخلاقي يقبل اللاشرط</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69AEE71A" w14:textId="77777777" w:rsidR="009E3FB9" w:rsidRDefault="00000000" w:rsidP="0004322B">
            <w:r>
              <w:rPr>
                <w:color w:val="333333"/>
                <w:sz w:val="22"/>
                <w:szCs w:val="22"/>
              </w:rPr>
              <w:t>الجامعة/الناشر/المؤسسة الغربية</w:t>
            </w:r>
          </w:p>
        </w:tc>
      </w:tr>
      <w:tr w:rsidR="009E3FB9" w14:paraId="7F433DE2" w14:textId="77777777">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61A1B5F7" w14:textId="77777777" w:rsidR="009E3FB9" w:rsidRDefault="00000000" w:rsidP="0004322B">
            <w:r>
              <w:rPr>
                <w:color w:val="333333"/>
                <w:sz w:val="22"/>
                <w:szCs w:val="22"/>
              </w:rPr>
              <w:t>الضيف</w:t>
            </w:r>
          </w:p>
        </w:tc>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13CEA52B" w14:textId="77777777" w:rsidR="009E3FB9" w:rsidRDefault="00000000" w:rsidP="0004322B">
            <w:r>
              <w:rPr>
                <w:color w:val="333333"/>
                <w:sz w:val="22"/>
                <w:szCs w:val="22"/>
              </w:rPr>
              <w:t>حرية كاملة</w:t>
            </w:r>
          </w:p>
        </w:tc>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79A30D54" w14:textId="77777777" w:rsidR="009E3FB9" w:rsidRDefault="00000000" w:rsidP="0004322B">
            <w:r>
              <w:rPr>
                <w:color w:val="333333"/>
                <w:sz w:val="22"/>
                <w:szCs w:val="22"/>
              </w:rPr>
              <w:t>بن سلامة: ضيف خطابي مقيّد</w:t>
            </w:r>
          </w:p>
        </w:tc>
      </w:tr>
      <w:tr w:rsidR="009E3FB9" w14:paraId="7665EC30" w14:textId="77777777">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51A9F65F" w14:textId="77777777" w:rsidR="009E3FB9" w:rsidRDefault="00000000" w:rsidP="0004322B">
            <w:r>
              <w:rPr>
                <w:color w:val="333333"/>
                <w:sz w:val="22"/>
                <w:szCs w:val="22"/>
              </w:rPr>
              <w:t>السيادة</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005D6A51" w14:textId="77777777" w:rsidR="009E3FB9" w:rsidRDefault="00000000" w:rsidP="0004322B">
            <w:r>
              <w:rPr>
                <w:color w:val="333333"/>
                <w:sz w:val="22"/>
                <w:szCs w:val="22"/>
              </w:rPr>
              <w:t>مشتركة</w:t>
            </w:r>
          </w:p>
        </w:tc>
        <w:tc>
          <w:tcPr>
            <w:tcW w:w="30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1AC443B3" w14:textId="77777777" w:rsidR="009E3FB9" w:rsidRDefault="00000000" w:rsidP="0004322B">
            <w:r>
              <w:rPr>
                <w:color w:val="333333"/>
                <w:sz w:val="22"/>
                <w:szCs w:val="22"/>
              </w:rPr>
              <w:t>يمتلكها المضيف تماماً</w:t>
            </w:r>
          </w:p>
        </w:tc>
      </w:tr>
      <w:tr w:rsidR="009E3FB9" w14:paraId="5A9E1744" w14:textId="77777777">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3F22E493" w14:textId="77777777" w:rsidR="009E3FB9" w:rsidRDefault="00000000" w:rsidP="0004322B">
            <w:r>
              <w:rPr>
                <w:color w:val="333333"/>
                <w:sz w:val="22"/>
                <w:szCs w:val="22"/>
              </w:rPr>
              <w:t>الشروط</w:t>
            </w:r>
          </w:p>
        </w:tc>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38A7ADE6" w14:textId="77777777" w:rsidR="009E3FB9" w:rsidRDefault="00000000" w:rsidP="0004322B">
            <w:r>
              <w:rPr>
                <w:color w:val="333333"/>
                <w:sz w:val="22"/>
                <w:szCs w:val="22"/>
              </w:rPr>
              <w:t>تجاوز القانون للترحيب</w:t>
            </w:r>
          </w:p>
        </w:tc>
        <w:tc>
          <w:tcPr>
            <w:tcW w:w="30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13C729DF" w14:textId="77777777" w:rsidR="009E3FB9" w:rsidRDefault="00000000" w:rsidP="0004322B">
            <w:r>
              <w:rPr>
                <w:color w:val="333333"/>
                <w:sz w:val="22"/>
                <w:szCs w:val="22"/>
              </w:rPr>
              <w:t>الإنتاج في حدود أجندة المضيف</w:t>
            </w:r>
          </w:p>
        </w:tc>
      </w:tr>
    </w:tbl>
    <w:p w14:paraId="7DEF81F0" w14:textId="77777777" w:rsidR="009E3FB9" w:rsidRDefault="009E3FB9" w:rsidP="0004322B">
      <w:pPr>
        <w:spacing w:before="120"/>
      </w:pPr>
    </w:p>
    <w:p w14:paraId="6858C627" w14:textId="77777777" w:rsidR="009E3FB9" w:rsidRDefault="00000000" w:rsidP="0004322B">
      <w:pPr>
        <w:pStyle w:val="2"/>
        <w:pBdr>
          <w:right w:val="thick" w:sz="8" w:space="6" w:color="2E6B7B"/>
        </w:pBdr>
        <w:bidi/>
        <w:spacing w:before="360" w:after="180"/>
        <w:ind w:right="200"/>
      </w:pPr>
      <w:r>
        <w:rPr>
          <w:sz w:val="34"/>
          <w:szCs w:val="34"/>
        </w:rPr>
        <w:t>11.3 رهينة الشروط: الانزياح الخطابي</w:t>
      </w:r>
    </w:p>
    <w:p w14:paraId="30B6AAA6" w14:textId="77777777" w:rsidR="009E3FB9" w:rsidRDefault="00000000" w:rsidP="0004322B">
      <w:pPr>
        <w:spacing w:before="80" w:after="80" w:line="340" w:lineRule="auto"/>
      </w:pPr>
      <w:r>
        <w:rPr>
          <w:color w:val="000000"/>
        </w:rPr>
        <w:t>يكشف تحليل خطاب بن سلامة عن انزياح دقيق: ما ينتقده يتوافق مع الأجندة الأمنية-الفكرية للغرب ما بعد 11 سبتمبر، بينما يتجنب نقد العلمانية الفرنسية العدوانية والسياسات الاستعمارية الجديدة. يكتب بالفرنسية — بلغة المضيف — مما يضمن وصوله، لكنه يفقده جمهوره الأصلي.</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9E3FB9" w14:paraId="7FE664EA" w14:textId="77777777">
        <w:tc>
          <w:tcPr>
            <w:tcW w:w="9000" w:type="dxa"/>
            <w:tcBorders>
              <w:top w:val="single" w:sz="4" w:space="0" w:color="2E6B7B"/>
              <w:left w:val="single" w:sz="4" w:space="0" w:color="2E6B7B"/>
              <w:bottom w:val="single" w:sz="4" w:space="0" w:color="2E6B7B"/>
              <w:right w:val="single" w:sz="4" w:space="0" w:color="2E6B7B"/>
            </w:tcBorders>
            <w:shd w:val="clear" w:color="auto" w:fill="EAF2F8"/>
            <w:tcMar>
              <w:top w:w="120" w:type="dxa"/>
              <w:left w:w="180" w:type="dxa"/>
              <w:bottom w:w="40" w:type="dxa"/>
              <w:right w:w="180" w:type="dxa"/>
            </w:tcMar>
          </w:tcPr>
          <w:p w14:paraId="6ABD6C08" w14:textId="77777777" w:rsidR="009E3FB9" w:rsidRDefault="00000000" w:rsidP="0004322B">
            <w:r>
              <w:rPr>
                <w:b/>
                <w:bCs/>
                <w:color w:val="2E6B7B"/>
                <w:sz w:val="28"/>
                <w:szCs w:val="28"/>
              </w:rPr>
              <w:t>الضيف-الرهينة: الأبعاد الأربعة</w:t>
            </w:r>
          </w:p>
        </w:tc>
      </w:tr>
      <w:tr w:rsidR="009E3FB9" w14:paraId="29FDD6A7" w14:textId="77777777">
        <w:tc>
          <w:tcPr>
            <w:tcW w:w="9000" w:type="dxa"/>
            <w:tcBorders>
              <w:top w:val="single" w:sz="4" w:space="0" w:color="2E6B7B"/>
              <w:left w:val="single" w:sz="4" w:space="0" w:color="2E6B7B"/>
              <w:bottom w:val="single" w:sz="4" w:space="0" w:color="2E6B7B"/>
              <w:right w:val="single" w:sz="4" w:space="0" w:color="2E6B7B"/>
            </w:tcBorders>
            <w:tcMar>
              <w:top w:w="80" w:type="dxa"/>
              <w:left w:w="180" w:type="dxa"/>
              <w:bottom w:w="100" w:type="dxa"/>
              <w:right w:w="180" w:type="dxa"/>
            </w:tcMar>
          </w:tcPr>
          <w:p w14:paraId="44BA686F" w14:textId="77777777" w:rsidR="009E3FB9" w:rsidRDefault="00000000" w:rsidP="0004322B">
            <w:pPr>
              <w:spacing w:before="40" w:after="40" w:line="320" w:lineRule="auto"/>
            </w:pPr>
            <w:r>
              <w:rPr>
                <w:color w:val="222222"/>
                <w:sz w:val="24"/>
                <w:szCs w:val="24"/>
              </w:rPr>
              <w:t>رهينة السياق السياسي: خطابه يجب أن يكون «مفيداً» للغرب في «حربه على الإرهاب».</w:t>
            </w:r>
          </w:p>
          <w:p w14:paraId="3E4534BA" w14:textId="77777777" w:rsidR="009E3FB9" w:rsidRDefault="00000000" w:rsidP="0004322B">
            <w:pPr>
              <w:spacing w:before="40" w:after="40" w:line="320" w:lineRule="auto"/>
            </w:pPr>
            <w:r>
              <w:rPr>
                <w:color w:val="222222"/>
                <w:sz w:val="24"/>
                <w:szCs w:val="24"/>
              </w:rPr>
              <w:t>رهينة التوقعات الأكاديمية: الالتزام بمناهج ومعايير البحث الغربية.</w:t>
            </w:r>
          </w:p>
          <w:p w14:paraId="0004AB93" w14:textId="77777777" w:rsidR="009E3FB9" w:rsidRDefault="00000000" w:rsidP="0004322B">
            <w:pPr>
              <w:spacing w:before="40" w:after="40" w:line="320" w:lineRule="auto"/>
            </w:pPr>
            <w:r>
              <w:rPr>
                <w:color w:val="222222"/>
                <w:sz w:val="24"/>
                <w:szCs w:val="24"/>
              </w:rPr>
              <w:t>رهينة السوق الفكرية: إنتاج معرفة «قابلة للبيع» للناشرين والجمهور الغربي.</w:t>
            </w:r>
          </w:p>
          <w:p w14:paraId="4E36DE60" w14:textId="77777777" w:rsidR="009E3FB9" w:rsidRDefault="00000000" w:rsidP="0004322B">
            <w:pPr>
              <w:spacing w:before="40" w:after="40" w:line="320" w:lineRule="auto"/>
            </w:pPr>
            <w:r>
              <w:rPr>
                <w:color w:val="222222"/>
                <w:sz w:val="24"/>
                <w:szCs w:val="24"/>
              </w:rPr>
              <w:t>الاستعمار الناعم: تحويل النخبة العربية إلى «عملاء ثقافيين» ينتجون الخطاب الذي يحتاجه المركز.</w:t>
            </w:r>
          </w:p>
        </w:tc>
      </w:tr>
    </w:tbl>
    <w:p w14:paraId="0A209AD7" w14:textId="77777777" w:rsidR="009E3FB9" w:rsidRDefault="009E3FB9" w:rsidP="0004322B">
      <w:pPr>
        <w:spacing w:before="120"/>
      </w:pPr>
    </w:p>
    <w:p w14:paraId="1FE0D93D" w14:textId="77777777" w:rsidR="009E3FB9" w:rsidRDefault="00000000" w:rsidP="0004322B">
      <w:pPr>
        <w:pStyle w:val="2"/>
        <w:pBdr>
          <w:right w:val="thick" w:sz="8" w:space="6" w:color="2E6B7B"/>
        </w:pBdr>
        <w:bidi/>
        <w:spacing w:before="360" w:after="180"/>
        <w:ind w:right="200"/>
      </w:pPr>
      <w:r>
        <w:rPr>
          <w:sz w:val="34"/>
          <w:szCs w:val="34"/>
        </w:rPr>
        <w:t>11.4 هل من مخرج؟</w:t>
      </w:r>
    </w:p>
    <w:p w14:paraId="0FFAB64E" w14:textId="77777777" w:rsidR="009E3FB9" w:rsidRDefault="00000000" w:rsidP="0004322B">
      <w:pPr>
        <w:spacing w:before="80" w:after="80" w:line="340" w:lineRule="auto"/>
      </w:pPr>
      <w:r>
        <w:rPr>
          <w:color w:val="000000"/>
        </w:rPr>
        <w:t>يكشف التحليل عن قصور في نموذج دريدا: إنه يتحدث من موقع المضيف القوي الذي يستطيع أن يختار أن يكون كريماً، بينما يظل الضيف الضعيف يفتقر إلى هذا الخيار. تبقى إمكانيات المقاومة محدودة: استخدام المنصة لنقد أكثر جذرية، والكشف عن ازدواجية المعايير الغربية، وخلق لغة ثالثة هجينة نقدية تعترف بموقعها المأزوم.</w:t>
      </w:r>
    </w:p>
    <w:p w14:paraId="20308A35" w14:textId="77777777" w:rsidR="009E3FB9" w:rsidRDefault="00000000" w:rsidP="0004322B">
      <w:r>
        <w:br w:type="page"/>
      </w:r>
    </w:p>
    <w:p w14:paraId="0132CBC1" w14:textId="77777777" w:rsidR="009E3FB9" w:rsidRDefault="00000000">
      <w:pPr>
        <w:pStyle w:val="1"/>
        <w:pBdr>
          <w:bottom w:val="single" w:sz="6" w:space="6" w:color="B8860B"/>
        </w:pBdr>
        <w:bidi/>
        <w:jc w:val="center"/>
      </w:pPr>
      <w:r>
        <w:rPr>
          <w:sz w:val="42"/>
          <w:szCs w:val="42"/>
        </w:rPr>
        <w:t>الفصل الثالث عشر: المنهج يطبق على نفسه</w:t>
      </w:r>
    </w:p>
    <w:p w14:paraId="14BF5CF2" w14:textId="77777777" w:rsidR="009E3FB9" w:rsidRDefault="00000000">
      <w:pPr>
        <w:pStyle w:val="2"/>
        <w:pBdr>
          <w:right w:val="thick" w:sz="8" w:space="6" w:color="2E6B7B"/>
        </w:pBdr>
        <w:bidi/>
        <w:spacing w:before="360" w:after="180"/>
        <w:ind w:right="200"/>
        <w:jc w:val="right"/>
      </w:pPr>
      <w:r>
        <w:rPr>
          <w:sz w:val="34"/>
          <w:szCs w:val="34"/>
        </w:rPr>
        <w:t>13.1 لحظة التأمل الذاتي النقدي</w:t>
      </w:r>
    </w:p>
    <w:p w14:paraId="0C5D5B61" w14:textId="77777777" w:rsidR="009E3FB9" w:rsidRDefault="00000000" w:rsidP="007A6913">
      <w:pPr>
        <w:spacing w:before="80" w:after="80" w:line="340" w:lineRule="auto"/>
      </w:pPr>
      <w:r>
        <w:rPr>
          <w:color w:val="000000"/>
        </w:rPr>
        <w:t>يمثل هذا الفصل لحظة منهجية فارقة: تطبيق منهج «أركيولوجيا الجرح الخطابي» على التحليل الذي أنتجناه نحن. إنها دعوة لأن يكون الناقد أول من ينتقد نفسه. المنهج العلمي الحقيقي ليس الذي يعطي نتائج «نقية»، بل الذي يمتلك أدوات نقد ذاته.</w:t>
      </w:r>
    </w:p>
    <w:p w14:paraId="74873E56" w14:textId="77777777" w:rsidR="009E3FB9" w:rsidRDefault="00000000" w:rsidP="007A6913">
      <w:pPr>
        <w:pStyle w:val="2"/>
        <w:pBdr>
          <w:right w:val="thick" w:sz="8" w:space="6" w:color="2E6B7B"/>
        </w:pBdr>
        <w:bidi/>
        <w:spacing w:before="360" w:after="180"/>
        <w:ind w:right="200"/>
      </w:pPr>
      <w:r>
        <w:rPr>
          <w:sz w:val="34"/>
          <w:szCs w:val="34"/>
        </w:rPr>
        <w:t>13.2 مبادئ المنهج</w:t>
      </w:r>
    </w:p>
    <w:p w14:paraId="036F643E" w14:textId="77777777" w:rsidR="009E3FB9" w:rsidRDefault="009E3FB9" w:rsidP="007A6913">
      <w:pPr>
        <w:spacing w:before="80"/>
      </w:pPr>
    </w:p>
    <w:tbl>
      <w:tblPr>
        <w:tblW w:w="90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00"/>
      </w:tblGrid>
      <w:tr w:rsidR="009E3FB9" w14:paraId="449CC9AE" w14:textId="77777777">
        <w:trPr>
          <w:tblHeader/>
        </w:trPr>
        <w:tc>
          <w:tcPr>
            <w:tcW w:w="45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6365451C" w14:textId="77777777" w:rsidR="009E3FB9" w:rsidRDefault="00000000" w:rsidP="007A6913">
            <w:r>
              <w:rPr>
                <w:b/>
                <w:bCs/>
                <w:color w:val="FFFFFF"/>
                <w:sz w:val="23"/>
                <w:szCs w:val="23"/>
              </w:rPr>
              <w:t>المبدأ</w:t>
            </w:r>
          </w:p>
        </w:tc>
        <w:tc>
          <w:tcPr>
            <w:tcW w:w="4500" w:type="dxa"/>
            <w:tcBorders>
              <w:top w:val="single" w:sz="2" w:space="0" w:color="2E6B7B"/>
              <w:left w:val="single" w:sz="2" w:space="0" w:color="2E6B7B"/>
              <w:bottom w:val="single" w:sz="2" w:space="0" w:color="2E6B7B"/>
              <w:right w:val="single" w:sz="2" w:space="0" w:color="2E6B7B"/>
            </w:tcBorders>
            <w:shd w:val="clear" w:color="auto" w:fill="1A2A4A"/>
            <w:tcMar>
              <w:top w:w="80" w:type="dxa"/>
              <w:left w:w="120" w:type="dxa"/>
              <w:bottom w:w="80" w:type="dxa"/>
              <w:right w:w="120" w:type="dxa"/>
            </w:tcMar>
          </w:tcPr>
          <w:p w14:paraId="3F1931EB" w14:textId="77777777" w:rsidR="009E3FB9" w:rsidRDefault="00000000" w:rsidP="007A6913">
            <w:r>
              <w:rPr>
                <w:b/>
                <w:bCs/>
                <w:color w:val="FFFFFF"/>
                <w:sz w:val="23"/>
                <w:szCs w:val="23"/>
              </w:rPr>
              <w:t>الشرح الموجز</w:t>
            </w:r>
          </w:p>
        </w:tc>
      </w:tr>
      <w:tr w:rsidR="009E3FB9" w14:paraId="61ABEB18" w14:textId="77777777">
        <w:tc>
          <w:tcPr>
            <w:tcW w:w="45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4DF1F2B9" w14:textId="77777777" w:rsidR="009E3FB9" w:rsidRDefault="00000000" w:rsidP="007A6913">
            <w:r>
              <w:rPr>
                <w:color w:val="333333"/>
                <w:sz w:val="22"/>
                <w:szCs w:val="22"/>
              </w:rPr>
              <w:t>مبدأ الطبقات الجيولوجية</w:t>
            </w:r>
          </w:p>
        </w:tc>
        <w:tc>
          <w:tcPr>
            <w:tcW w:w="45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55F98D3B" w14:textId="77777777" w:rsidR="009E3FB9" w:rsidRDefault="00000000" w:rsidP="007A6913">
            <w:r>
              <w:rPr>
                <w:color w:val="333333"/>
                <w:sz w:val="22"/>
                <w:szCs w:val="22"/>
              </w:rPr>
              <w:t>الخطاب ليس سطحاً واحداً، بل طبقات متراكمة من الجروح والتماهيات.</w:t>
            </w:r>
          </w:p>
        </w:tc>
      </w:tr>
      <w:tr w:rsidR="009E3FB9" w14:paraId="1188F133" w14:textId="77777777">
        <w:tc>
          <w:tcPr>
            <w:tcW w:w="45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1B66EFAE" w14:textId="77777777" w:rsidR="009E3FB9" w:rsidRDefault="00000000" w:rsidP="007A6913">
            <w:r>
              <w:rPr>
                <w:color w:val="333333"/>
                <w:sz w:val="22"/>
                <w:szCs w:val="22"/>
              </w:rPr>
              <w:t>مبدأ العَرَضية</w:t>
            </w:r>
          </w:p>
        </w:tc>
        <w:tc>
          <w:tcPr>
            <w:tcW w:w="45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5705B8A2" w14:textId="77777777" w:rsidR="009E3FB9" w:rsidRDefault="00000000" w:rsidP="007A6913">
            <w:r>
              <w:rPr>
                <w:color w:val="333333"/>
                <w:sz w:val="22"/>
                <w:szCs w:val="22"/>
              </w:rPr>
              <w:t>الأفكار والمفاهيم ليست مجرد خيارات معرفية، بل أعراض لجروح نفسية لا واعية.</w:t>
            </w:r>
          </w:p>
        </w:tc>
      </w:tr>
      <w:tr w:rsidR="009E3FB9" w14:paraId="2C380AC8" w14:textId="77777777">
        <w:tc>
          <w:tcPr>
            <w:tcW w:w="45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4D99FCE8" w14:textId="77777777" w:rsidR="009E3FB9" w:rsidRDefault="00000000" w:rsidP="007A6913">
            <w:r>
              <w:rPr>
                <w:color w:val="333333"/>
                <w:sz w:val="22"/>
                <w:szCs w:val="22"/>
              </w:rPr>
              <w:t>مبدأ الإسقاط</w:t>
            </w:r>
          </w:p>
        </w:tc>
        <w:tc>
          <w:tcPr>
            <w:tcW w:w="45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27881FC8" w14:textId="77777777" w:rsidR="009E3FB9" w:rsidRDefault="00000000" w:rsidP="007A6913">
            <w:r>
              <w:rPr>
                <w:color w:val="333333"/>
                <w:sz w:val="22"/>
                <w:szCs w:val="22"/>
              </w:rPr>
              <w:t>المثقف المجروح يُسقط جرحه على موضوع دراسته.</w:t>
            </w:r>
          </w:p>
        </w:tc>
      </w:tr>
      <w:tr w:rsidR="009E3FB9" w14:paraId="581D1215" w14:textId="77777777">
        <w:tc>
          <w:tcPr>
            <w:tcW w:w="45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7D026D4C" w14:textId="77777777" w:rsidR="009E3FB9" w:rsidRDefault="00000000" w:rsidP="007A6913">
            <w:r>
              <w:rPr>
                <w:color w:val="333333"/>
                <w:sz w:val="22"/>
                <w:szCs w:val="22"/>
              </w:rPr>
              <w:t>مبدأ التماهي الاستعاضي</w:t>
            </w:r>
          </w:p>
        </w:tc>
        <w:tc>
          <w:tcPr>
            <w:tcW w:w="4500" w:type="dxa"/>
            <w:tcBorders>
              <w:top w:val="single" w:sz="2" w:space="0" w:color="2E6B7B"/>
              <w:left w:val="single" w:sz="2" w:space="0" w:color="2E6B7B"/>
              <w:bottom w:val="single" w:sz="2" w:space="0" w:color="2E6B7B"/>
              <w:right w:val="single" w:sz="2" w:space="0" w:color="2E6B7B"/>
            </w:tcBorders>
            <w:shd w:val="clear" w:color="auto" w:fill="FFFFFF"/>
            <w:tcMar>
              <w:top w:w="60" w:type="dxa"/>
              <w:left w:w="120" w:type="dxa"/>
              <w:bottom w:w="60" w:type="dxa"/>
              <w:right w:w="120" w:type="dxa"/>
            </w:tcMar>
          </w:tcPr>
          <w:p w14:paraId="61280A39" w14:textId="77777777" w:rsidR="009E3FB9" w:rsidRDefault="00000000" w:rsidP="007A6913">
            <w:r>
              <w:rPr>
                <w:color w:val="333333"/>
                <w:sz w:val="22"/>
                <w:szCs w:val="22"/>
              </w:rPr>
              <w:t>البحث عن آباء بديلين لتعويض فشل/غياب النماذج الأصلية.</w:t>
            </w:r>
          </w:p>
        </w:tc>
      </w:tr>
      <w:tr w:rsidR="009E3FB9" w14:paraId="2D27FBA3" w14:textId="77777777">
        <w:tc>
          <w:tcPr>
            <w:tcW w:w="45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6E4BA69D" w14:textId="77777777" w:rsidR="009E3FB9" w:rsidRDefault="00000000" w:rsidP="007A6913">
            <w:r>
              <w:rPr>
                <w:color w:val="333333"/>
                <w:sz w:val="22"/>
                <w:szCs w:val="22"/>
              </w:rPr>
              <w:t>مبدأ السيرة الذاتية اللاواعية</w:t>
            </w:r>
          </w:p>
        </w:tc>
        <w:tc>
          <w:tcPr>
            <w:tcW w:w="4500" w:type="dxa"/>
            <w:tcBorders>
              <w:top w:val="single" w:sz="2" w:space="0" w:color="2E6B7B"/>
              <w:left w:val="single" w:sz="2" w:space="0" w:color="2E6B7B"/>
              <w:bottom w:val="single" w:sz="2" w:space="0" w:color="2E6B7B"/>
              <w:right w:val="single" w:sz="2" w:space="0" w:color="2E6B7B"/>
            </w:tcBorders>
            <w:shd w:val="clear" w:color="auto" w:fill="F5F8FA"/>
            <w:tcMar>
              <w:top w:w="60" w:type="dxa"/>
              <w:left w:w="120" w:type="dxa"/>
              <w:bottom w:w="60" w:type="dxa"/>
              <w:right w:w="120" w:type="dxa"/>
            </w:tcMar>
          </w:tcPr>
          <w:p w14:paraId="6743BFF5" w14:textId="77777777" w:rsidR="009E3FB9" w:rsidRDefault="00000000" w:rsidP="007A6913">
            <w:r>
              <w:rPr>
                <w:color w:val="333333"/>
                <w:sz w:val="22"/>
                <w:szCs w:val="22"/>
              </w:rPr>
              <w:t>كل خطاب نظري هو، في العمق، سيرة ذاتية لا واعية لصاحبه.</w:t>
            </w:r>
          </w:p>
        </w:tc>
      </w:tr>
    </w:tbl>
    <w:p w14:paraId="71ED69B0" w14:textId="77777777" w:rsidR="009E3FB9" w:rsidRDefault="009E3FB9" w:rsidP="007A6913">
      <w:pPr>
        <w:spacing w:before="120"/>
      </w:pPr>
    </w:p>
    <w:p w14:paraId="3BFC7E19" w14:textId="77777777" w:rsidR="009E3FB9" w:rsidRDefault="00000000" w:rsidP="007A6913">
      <w:pPr>
        <w:pStyle w:val="2"/>
        <w:pBdr>
          <w:right w:val="thick" w:sz="8" w:space="6" w:color="2E6B7B"/>
        </w:pBdr>
        <w:bidi/>
        <w:spacing w:before="360" w:after="180"/>
        <w:ind w:right="200"/>
      </w:pPr>
      <w:r>
        <w:rPr>
          <w:sz w:val="34"/>
          <w:szCs w:val="34"/>
        </w:rPr>
        <w:t>13.3 تطبيق المنهج على الفصل العاشر — حفر في حفرياتنا</w:t>
      </w:r>
    </w:p>
    <w:p w14:paraId="607E53FB" w14:textId="77777777" w:rsidR="009E3FB9" w:rsidRDefault="00000000" w:rsidP="007A6913">
      <w:pPr>
        <w:spacing w:before="80" w:after="80" w:line="340" w:lineRule="auto"/>
      </w:pPr>
      <w:r>
        <w:rPr>
          <w:color w:val="000000"/>
        </w:rPr>
        <w:t>السؤال الأول: من يكتب هذا التحليل؟ من أي موقع وجودي يكتب؟ وما جرحه هو الذي قد يُسقطه على موضوع دراسته؟ ثمة تماهيات محتملة للباحث: مع البشير (الشاهد الصادق الذي كسر الصمت)، ومع الضحية (من يكشف خيانة الآخر وينصف المهمش)، ومع المحلل النفسي (يزعم أنه أكثر وعياً بأسراره).</w:t>
      </w:r>
    </w:p>
    <w:p w14:paraId="6968A849" w14:textId="77777777" w:rsidR="009E3FB9" w:rsidRDefault="00000000" w:rsidP="007A6913">
      <w:pPr>
        <w:spacing w:before="80" w:after="80" w:line="340" w:lineRule="auto"/>
      </w:pPr>
      <w:r>
        <w:rPr>
          <w:color w:val="000000"/>
        </w:rPr>
        <w:t>لغة الفصل العاشر تستخدم استعارات قضائية من قبيل: «الوثيقة المؤسسة»، «الاعتراف الذي لا يُرد»، «الأدلة على الطاولة». هذه النبرة توحي بأن الباحث يمارس محاكمة لفتحي بن سلامة، مما يكشف عن شحنة انفعالية تجاه الموضوع قد تكون مصدر قوة تحليلية، لكنها قد تكون أيضاً مصدر تحيز غير واعٍ.</w:t>
      </w:r>
    </w:p>
    <w:p w14:paraId="6F0CEC22" w14:textId="77777777" w:rsidR="009E3FB9" w:rsidRDefault="00000000" w:rsidP="007A6913">
      <w:pPr>
        <w:pBdr>
          <w:right w:val="thick" w:sz="8" w:space="8" w:color="B8860B"/>
        </w:pBdr>
        <w:shd w:val="clear" w:color="auto" w:fill="EAF2F8"/>
        <w:spacing w:before="120" w:after="120" w:line="320" w:lineRule="auto"/>
        <w:ind w:left="600" w:right="600"/>
      </w:pPr>
      <w:r>
        <w:rPr>
          <w:i/>
          <w:iCs/>
          <w:color w:val="1A2A4A"/>
          <w:sz w:val="25"/>
          <w:szCs w:val="25"/>
        </w:rPr>
        <w:t>«المفارقة الكبرى: الباحث الذي ينتقد «التماهيات الاستعاضية» عند فتحي يمارس تماهياً استعاضياً مع البشير. الفرق أن تماهيه واعٍ، بينما تماهي فتحي مع كليرامبو كان لا واعياً.»</w:t>
      </w:r>
    </w:p>
    <w:p w14:paraId="5DCBB89B" w14:textId="77777777" w:rsidR="009E3FB9" w:rsidRDefault="00000000" w:rsidP="007A6913">
      <w:pPr>
        <w:pStyle w:val="2"/>
        <w:pBdr>
          <w:right w:val="thick" w:sz="8" w:space="6" w:color="2E6B7B"/>
        </w:pBdr>
        <w:bidi/>
        <w:spacing w:before="360" w:after="180"/>
        <w:ind w:right="200"/>
      </w:pPr>
      <w:r>
        <w:rPr>
          <w:sz w:val="34"/>
          <w:szCs w:val="34"/>
        </w:rPr>
        <w:t>13.4 الخلاصة: المنهج يكتمل بانعطافه على ذاته</w:t>
      </w:r>
    </w:p>
    <w:p w14:paraId="6B75ED7E" w14:textId="77777777" w:rsidR="009E3FB9" w:rsidRDefault="00000000" w:rsidP="007A6913">
      <w:pPr>
        <w:spacing w:before="80" w:after="80" w:line="340" w:lineRule="auto"/>
      </w:pPr>
      <w:r>
        <w:rPr>
          <w:color w:val="000000"/>
        </w:rPr>
        <w:t>هذا لا يُبطل التحليل إطلاقاً، بل هو أقوى دليل على فعالية المنهج. حين يُطبق على نفسه، يتحول من مجرد أداة لاتهام الآخرين إلى ممارسة تأملية نقدية تعترف بحدودها وتحيزاتها. الفرق بين الزراع وفتحي: فتحي لم يحلل سر عائلته، والزراع بهذا التساؤل يحلل تحليله هو.</w:t>
      </w:r>
    </w:p>
    <w:p w14:paraId="2624FD27" w14:textId="77777777" w:rsidR="009E3FB9" w:rsidRDefault="00000000" w:rsidP="007A6913">
      <w:r>
        <w:br w:type="page"/>
      </w:r>
    </w:p>
    <w:p w14:paraId="741076BD" w14:textId="77777777" w:rsidR="009E3FB9" w:rsidRDefault="00000000" w:rsidP="007A6913">
      <w:pPr>
        <w:pStyle w:val="1"/>
        <w:pBdr>
          <w:bottom w:val="single" w:sz="6" w:space="6" w:color="B8860B"/>
        </w:pBdr>
        <w:bidi/>
      </w:pPr>
      <w:r>
        <w:rPr>
          <w:sz w:val="42"/>
          <w:szCs w:val="42"/>
        </w:rPr>
        <w:t>الخاتمة الأخلاقية: نحو تواضع نقدي حقيقي</w:t>
      </w:r>
    </w:p>
    <w:p w14:paraId="36A82BFE" w14:textId="77777777" w:rsidR="009E3FB9" w:rsidRDefault="00000000" w:rsidP="007A6913">
      <w:pPr>
        <w:pStyle w:val="2"/>
        <w:pBdr>
          <w:right w:val="thick" w:sz="8" w:space="6" w:color="2E6B7B"/>
        </w:pBdr>
        <w:bidi/>
        <w:spacing w:before="360" w:after="180"/>
        <w:ind w:right="200"/>
      </w:pPr>
      <w:r>
        <w:rPr>
          <w:sz w:val="34"/>
          <w:szCs w:val="34"/>
        </w:rPr>
        <w:t>وهم الموضوعية المطلقة</w:t>
      </w:r>
    </w:p>
    <w:p w14:paraId="6CAC885C" w14:textId="77777777" w:rsidR="009E3FB9" w:rsidRDefault="00000000" w:rsidP="007A6913">
      <w:pPr>
        <w:spacing w:before="80" w:after="80" w:line="340" w:lineRule="auto"/>
      </w:pPr>
      <w:r>
        <w:rPr>
          <w:color w:val="000000"/>
        </w:rPr>
        <w:t>ادعاء التطهر من الذاتية هو أخطر أشكال الذاتية، لأنه ذاتية لا تعترف بنفسها. ما تقدمه هذه الأطروحة ليس ادعاءً بالموضوعية المطلقة، بل هو رفع واعٍ للحواجز بين الذاتي والموضوعي. الكشف ليس تهديداً للمعرفة، بل هو شرط إمكانها.</w:t>
      </w:r>
    </w:p>
    <w:p w14:paraId="31F83080" w14:textId="77777777" w:rsidR="009E3FB9" w:rsidRDefault="00000000" w:rsidP="007A6913">
      <w:pPr>
        <w:pStyle w:val="2"/>
        <w:pBdr>
          <w:right w:val="thick" w:sz="8" w:space="6" w:color="2E6B7B"/>
        </w:pBdr>
        <w:bidi/>
        <w:spacing w:before="360" w:after="180"/>
        <w:ind w:right="200"/>
      </w:pPr>
      <w:r>
        <w:rPr>
          <w:sz w:val="34"/>
          <w:szCs w:val="34"/>
        </w:rPr>
        <w:t>الدرس الأعمق من حالة بن سلامة</w:t>
      </w:r>
    </w:p>
    <w:p w14:paraId="19697ABD" w14:textId="77777777" w:rsidR="009E3FB9" w:rsidRDefault="00000000" w:rsidP="007A6913">
      <w:pPr>
        <w:spacing w:before="50" w:after="50" w:line="320" w:lineRule="auto"/>
        <w:ind w:left="200" w:right="400"/>
      </w:pPr>
      <w:r>
        <w:rPr>
          <w:color w:val="2E6B7B"/>
          <w:sz w:val="24"/>
          <w:szCs w:val="24"/>
        </w:rPr>
        <w:t xml:space="preserve">◆ </w:t>
      </w:r>
      <w:r>
        <w:rPr>
          <w:color w:val="000000"/>
          <w:sz w:val="24"/>
          <w:szCs w:val="24"/>
        </w:rPr>
        <w:t>نحن جميعاً أبناء جروحنا: الفرق بين المفكر الحقيقي والمفكر الإيديولوجي ليس في غياب الجروح، بل في درجة الوعي بها.</w:t>
      </w:r>
    </w:p>
    <w:p w14:paraId="7E966F23" w14:textId="77777777" w:rsidR="009E3FB9" w:rsidRDefault="00000000" w:rsidP="007A6913">
      <w:pPr>
        <w:spacing w:before="50" w:after="50" w:line="320" w:lineRule="auto"/>
        <w:ind w:left="200" w:right="400"/>
      </w:pPr>
      <w:r>
        <w:rPr>
          <w:color w:val="2E6B7B"/>
          <w:sz w:val="24"/>
          <w:szCs w:val="24"/>
        </w:rPr>
        <w:t xml:space="preserve">◆ </w:t>
      </w:r>
      <w:r>
        <w:rPr>
          <w:color w:val="000000"/>
          <w:sz w:val="24"/>
          <w:szCs w:val="24"/>
        </w:rPr>
        <w:t>القطيعة مع التراث مستحيلة: كل محاولة «لقتل الأب» تنتهي باستدعائه في صورة أخرى.</w:t>
      </w:r>
    </w:p>
    <w:p w14:paraId="6C3280AE" w14:textId="77777777" w:rsidR="009E3FB9" w:rsidRDefault="00000000" w:rsidP="007A6913">
      <w:pPr>
        <w:spacing w:before="50" w:after="50" w:line="320" w:lineRule="auto"/>
        <w:ind w:left="200" w:right="400"/>
      </w:pPr>
      <w:r>
        <w:rPr>
          <w:color w:val="2E6B7B"/>
          <w:sz w:val="24"/>
          <w:szCs w:val="24"/>
        </w:rPr>
        <w:t xml:space="preserve">◆ </w:t>
      </w:r>
      <w:r>
        <w:rPr>
          <w:color w:val="000000"/>
          <w:sz w:val="24"/>
          <w:szCs w:val="24"/>
        </w:rPr>
        <w:t>الغرب ليس بريئاً: استيراد أدوات التحليل لا يعني استيراد البراءة.</w:t>
      </w:r>
    </w:p>
    <w:p w14:paraId="687F93DC" w14:textId="77777777" w:rsidR="009E3FB9" w:rsidRDefault="00000000" w:rsidP="007A6913">
      <w:pPr>
        <w:spacing w:before="50" w:after="50" w:line="320" w:lineRule="auto"/>
        <w:ind w:left="200" w:right="400"/>
      </w:pPr>
      <w:r>
        <w:rPr>
          <w:color w:val="2E6B7B"/>
          <w:sz w:val="24"/>
          <w:szCs w:val="24"/>
        </w:rPr>
        <w:t xml:space="preserve">◆ </w:t>
      </w:r>
      <w:r>
        <w:rPr>
          <w:color w:val="000000"/>
          <w:sz w:val="24"/>
          <w:szCs w:val="24"/>
        </w:rPr>
        <w:t>المرأة تنتظر: بين خطاب «تحرير» المرأة وخطاب «حمايتها»، تبقى صامتة تنتظر من يسمع صوتها.</w:t>
      </w:r>
    </w:p>
    <w:p w14:paraId="01585A7C" w14:textId="77777777" w:rsidR="009E3FB9" w:rsidRDefault="00000000" w:rsidP="007A6913">
      <w:pPr>
        <w:spacing w:before="200" w:after="200"/>
      </w:pPr>
      <w:r>
        <w:rPr>
          <w:rFonts w:ascii="Garamond" w:eastAsia="Garamond" w:hAnsi="Garamond" w:cs="Garamond"/>
          <w:color w:val="B8860B"/>
          <w:sz w:val="22"/>
          <w:szCs w:val="22"/>
        </w:rPr>
        <w:t>✦  ✦  ✦</w:t>
      </w:r>
    </w:p>
    <w:p w14:paraId="3593E851" w14:textId="77777777" w:rsidR="009E3FB9" w:rsidRDefault="00000000" w:rsidP="007A6913">
      <w:pPr>
        <w:spacing w:before="240" w:after="80"/>
      </w:pPr>
      <w:r>
        <w:rPr>
          <w:b/>
          <w:bCs/>
          <w:color w:val="1A2A4A"/>
          <w:sz w:val="30"/>
          <w:szCs w:val="30"/>
        </w:rPr>
        <w:t>ميثاق الناقد مع ذاته</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9E3FB9" w14:paraId="021CB61F" w14:textId="77777777">
        <w:tc>
          <w:tcPr>
            <w:tcW w:w="9000" w:type="dxa"/>
            <w:tcBorders>
              <w:top w:val="single" w:sz="4" w:space="0" w:color="2E6B7B"/>
              <w:left w:val="single" w:sz="4" w:space="0" w:color="2E6B7B"/>
              <w:bottom w:val="single" w:sz="4" w:space="0" w:color="2E6B7B"/>
              <w:right w:val="single" w:sz="4" w:space="0" w:color="2E6B7B"/>
            </w:tcBorders>
            <w:shd w:val="clear" w:color="auto" w:fill="EAF2F8"/>
            <w:tcMar>
              <w:top w:w="120" w:type="dxa"/>
              <w:left w:w="180" w:type="dxa"/>
              <w:bottom w:w="40" w:type="dxa"/>
              <w:right w:w="180" w:type="dxa"/>
            </w:tcMar>
          </w:tcPr>
          <w:p w14:paraId="064437C8" w14:textId="77777777" w:rsidR="009E3FB9" w:rsidRDefault="00000000" w:rsidP="007A6913">
            <w:r>
              <w:rPr>
                <w:b/>
                <w:bCs/>
                <w:color w:val="2E6B7B"/>
                <w:sz w:val="28"/>
                <w:szCs w:val="28"/>
              </w:rPr>
              <w:t>المبادئ العشرة للناقد المتواضع</w:t>
            </w:r>
          </w:p>
        </w:tc>
      </w:tr>
      <w:tr w:rsidR="009E3FB9" w14:paraId="29B99395" w14:textId="77777777">
        <w:tc>
          <w:tcPr>
            <w:tcW w:w="9000" w:type="dxa"/>
            <w:tcBorders>
              <w:top w:val="single" w:sz="4" w:space="0" w:color="2E6B7B"/>
              <w:left w:val="single" w:sz="4" w:space="0" w:color="2E6B7B"/>
              <w:bottom w:val="single" w:sz="4" w:space="0" w:color="2E6B7B"/>
              <w:right w:val="single" w:sz="4" w:space="0" w:color="2E6B7B"/>
            </w:tcBorders>
            <w:tcMar>
              <w:top w:w="80" w:type="dxa"/>
              <w:left w:w="180" w:type="dxa"/>
              <w:bottom w:w="100" w:type="dxa"/>
              <w:right w:w="180" w:type="dxa"/>
            </w:tcMar>
          </w:tcPr>
          <w:p w14:paraId="22837B29" w14:textId="77777777" w:rsidR="009E3FB9" w:rsidRDefault="00000000" w:rsidP="007A6913">
            <w:pPr>
              <w:spacing w:before="40" w:after="40" w:line="320" w:lineRule="auto"/>
            </w:pPr>
            <w:r>
              <w:rPr>
                <w:color w:val="222222"/>
                <w:sz w:val="24"/>
                <w:szCs w:val="24"/>
              </w:rPr>
              <w:t>١. سأذكر دائماً أنني أكتب من موقع محدد.</w:t>
            </w:r>
          </w:p>
          <w:p w14:paraId="29189AB5" w14:textId="77777777" w:rsidR="009E3FB9" w:rsidRDefault="00000000" w:rsidP="007A6913">
            <w:pPr>
              <w:spacing w:before="40" w:after="40" w:line="320" w:lineRule="auto"/>
            </w:pPr>
            <w:r>
              <w:rPr>
                <w:color w:val="222222"/>
                <w:sz w:val="24"/>
                <w:szCs w:val="24"/>
              </w:rPr>
              <w:t>٢. سأُفرّق بين ما أُثبته وما أظنه.</w:t>
            </w:r>
          </w:p>
          <w:p w14:paraId="2FF3CED2" w14:textId="77777777" w:rsidR="009E3FB9" w:rsidRDefault="00000000" w:rsidP="007A6913">
            <w:pPr>
              <w:spacing w:before="40" w:after="40" w:line="320" w:lineRule="auto"/>
            </w:pPr>
            <w:r>
              <w:rPr>
                <w:color w:val="222222"/>
                <w:sz w:val="24"/>
                <w:szCs w:val="24"/>
              </w:rPr>
              <w:t>٣. سأترك للقارئ مساحة ليخالفني الرأي.</w:t>
            </w:r>
          </w:p>
          <w:p w14:paraId="3752298D" w14:textId="77777777" w:rsidR="009E3FB9" w:rsidRDefault="00000000" w:rsidP="007A6913">
            <w:pPr>
              <w:spacing w:before="40" w:after="40" w:line="320" w:lineRule="auto"/>
            </w:pPr>
            <w:r>
              <w:rPr>
                <w:color w:val="222222"/>
                <w:sz w:val="24"/>
                <w:szCs w:val="24"/>
              </w:rPr>
              <w:t>٤. سأذكر فضائل من أنقدهم كما أذكر نقائصهم.</w:t>
            </w:r>
          </w:p>
          <w:p w14:paraId="6610E933" w14:textId="77777777" w:rsidR="009E3FB9" w:rsidRDefault="00000000" w:rsidP="007A6913">
            <w:pPr>
              <w:spacing w:before="40" w:after="40" w:line="320" w:lineRule="auto"/>
            </w:pPr>
            <w:r>
              <w:rPr>
                <w:color w:val="222222"/>
                <w:sz w:val="24"/>
                <w:szCs w:val="24"/>
              </w:rPr>
              <w:t>٥. سأتذكر أن من أنقده قد يقرأ كلماتي يوماً.</w:t>
            </w:r>
          </w:p>
          <w:p w14:paraId="31CF47B5" w14:textId="77777777" w:rsidR="009E3FB9" w:rsidRDefault="00000000" w:rsidP="007A6913">
            <w:pPr>
              <w:spacing w:before="40" w:after="40" w:line="320" w:lineRule="auto"/>
            </w:pPr>
            <w:r>
              <w:rPr>
                <w:color w:val="222222"/>
                <w:sz w:val="24"/>
                <w:szCs w:val="24"/>
              </w:rPr>
              <w:t>٦. سأتقبل أن يُطبَّق عليّ ما أطبقه على غيري.</w:t>
            </w:r>
          </w:p>
          <w:p w14:paraId="77FEC018" w14:textId="77777777" w:rsidR="009E3FB9" w:rsidRDefault="00000000" w:rsidP="007A6913">
            <w:pPr>
              <w:spacing w:before="40" w:after="40" w:line="320" w:lineRule="auto"/>
            </w:pPr>
            <w:r>
              <w:rPr>
                <w:color w:val="222222"/>
                <w:sz w:val="24"/>
                <w:szCs w:val="24"/>
              </w:rPr>
              <w:t>٧. سأعرف ما يكفيني من حجج.</w:t>
            </w:r>
          </w:p>
          <w:p w14:paraId="031C54A7" w14:textId="77777777" w:rsidR="009E3FB9" w:rsidRDefault="00000000" w:rsidP="007A6913">
            <w:pPr>
              <w:spacing w:before="40" w:after="40" w:line="320" w:lineRule="auto"/>
            </w:pPr>
            <w:r>
              <w:rPr>
                <w:color w:val="222222"/>
                <w:sz w:val="24"/>
                <w:szCs w:val="24"/>
              </w:rPr>
              <w:t>٨. سأصمت حين لا أملك علماً.</w:t>
            </w:r>
          </w:p>
          <w:p w14:paraId="70E84EC6" w14:textId="77777777" w:rsidR="009E3FB9" w:rsidRDefault="00000000" w:rsidP="007A6913">
            <w:pPr>
              <w:spacing w:before="40" w:after="40" w:line="320" w:lineRule="auto"/>
            </w:pPr>
            <w:r>
              <w:rPr>
                <w:color w:val="222222"/>
                <w:sz w:val="24"/>
                <w:szCs w:val="24"/>
              </w:rPr>
              <w:t>٩. سأعترف بخطئي إن تبيّن لي.</w:t>
            </w:r>
          </w:p>
          <w:p w14:paraId="1B230668" w14:textId="77777777" w:rsidR="009E3FB9" w:rsidRDefault="00000000" w:rsidP="007A6913">
            <w:pPr>
              <w:spacing w:before="40" w:after="40" w:line="320" w:lineRule="auto"/>
            </w:pPr>
            <w:r>
              <w:rPr>
                <w:color w:val="222222"/>
                <w:sz w:val="24"/>
                <w:szCs w:val="24"/>
              </w:rPr>
              <w:t>١٠. سأبقى متعلماً دائماً.</w:t>
            </w:r>
          </w:p>
        </w:tc>
      </w:tr>
    </w:tbl>
    <w:p w14:paraId="4F5F7FC3" w14:textId="77777777" w:rsidR="009E3FB9" w:rsidRDefault="009E3FB9" w:rsidP="007A6913">
      <w:pPr>
        <w:spacing w:before="240"/>
      </w:pPr>
    </w:p>
    <w:p w14:paraId="1DB5445E" w14:textId="77777777" w:rsidR="009E3FB9" w:rsidRDefault="00000000" w:rsidP="007A6913">
      <w:pPr>
        <w:pBdr>
          <w:top w:val="double" w:sz="4" w:space="6" w:color="B8860B"/>
          <w:bottom w:val="double" w:sz="4" w:space="6" w:color="B8860B"/>
        </w:pBdr>
        <w:spacing w:before="80" w:after="80"/>
      </w:pPr>
      <w:r>
        <w:rPr>
          <w:i/>
          <w:iCs/>
          <w:color w:val="1A2A4A"/>
          <w:sz w:val="24"/>
          <w:szCs w:val="24"/>
        </w:rPr>
        <w:t>كل معرفة بشرية ناقصة.  كل خطاب يحمل صاحبه في ثناياه.  كل نقد يخون لاوعي ناقده.</w:t>
      </w:r>
    </w:p>
    <w:p w14:paraId="4E0C8C89" w14:textId="77777777" w:rsidR="009E3FB9" w:rsidRDefault="009E3FB9" w:rsidP="007A6913">
      <w:pPr>
        <w:spacing w:before="120"/>
      </w:pPr>
    </w:p>
    <w:p w14:paraId="04E8A46A" w14:textId="77777777" w:rsidR="008C5C59" w:rsidRDefault="008C5C59" w:rsidP="00AD44A9">
      <w:pPr>
        <w:spacing w:before="80" w:after="40"/>
        <w:rPr>
          <w:rFonts w:asciiTheme="minorBidi" w:eastAsia="Garamond" w:hAnsiTheme="minorBidi" w:cstheme="minorBidi" w:hint="cs"/>
          <w:i/>
          <w:iCs/>
          <w:color w:val="B8860B"/>
          <w:sz w:val="22"/>
          <w:szCs w:val="22"/>
        </w:rPr>
      </w:pPr>
      <w:r>
        <w:rPr>
          <w:rFonts w:ascii="Garamond" w:eastAsia="Garamond" w:hAnsi="Garamond" w:cs="Times New Roman" w:hint="cs"/>
          <w:i/>
          <w:iCs/>
          <w:color w:val="B8860B"/>
          <w:sz w:val="22"/>
          <w:szCs w:val="22"/>
          <w:rtl/>
        </w:rPr>
        <w:t>قائمة المراجع للمحلل  النفسي التونسي **فتحي بن سلامة (</w:t>
      </w:r>
      <w:r>
        <w:rPr>
          <w:rFonts w:asciiTheme="minorBidi" w:eastAsia="Garamond" w:hAnsiTheme="minorBidi" w:cstheme="minorBidi" w:hint="cs"/>
          <w:i/>
          <w:iCs/>
          <w:color w:val="B8860B"/>
          <w:sz w:val="22"/>
          <w:szCs w:val="22"/>
        </w:rPr>
        <w:t xml:space="preserve">Fethi Benslama)** </w:t>
      </w:r>
      <w:r>
        <w:rPr>
          <w:rFonts w:ascii="Garamond" w:eastAsia="Garamond" w:hAnsi="Garamond" w:cs="Times New Roman" w:hint="cs"/>
          <w:i/>
          <w:iCs/>
          <w:color w:val="B8860B"/>
          <w:sz w:val="22"/>
          <w:szCs w:val="22"/>
          <w:rtl/>
        </w:rPr>
        <w:t>باللغة الفرنسية، متضمنة اسم دار النشر وتاريخ النشر:</w:t>
      </w:r>
    </w:p>
    <w:p w14:paraId="6BF81C7E" w14:textId="77777777" w:rsidR="008C5C59" w:rsidRDefault="008C5C59" w:rsidP="00AD44A9">
      <w:pPr>
        <w:spacing w:before="80" w:after="40"/>
        <w:rPr>
          <w:rFonts w:hint="cs"/>
          <w:rtl/>
        </w:rPr>
      </w:pPr>
      <w:r>
        <w:rPr>
          <w:rFonts w:hint="cs"/>
          <w:rtl/>
        </w:rPr>
        <w:t xml:space="preserve"> * **</w:t>
      </w:r>
      <w:r>
        <w:rPr>
          <w:rFonts w:hint="cs"/>
        </w:rPr>
        <w:t>La nuit des origines** — Éditions du Seuil, 1998</w:t>
      </w:r>
    </w:p>
    <w:p w14:paraId="286A1180" w14:textId="77777777" w:rsidR="008C5C59" w:rsidRDefault="008C5C59" w:rsidP="00AD44A9">
      <w:pPr>
        <w:spacing w:before="80" w:after="40"/>
        <w:rPr>
          <w:rFonts w:hint="cs"/>
          <w:rtl/>
        </w:rPr>
      </w:pPr>
      <w:r>
        <w:rPr>
          <w:rFonts w:hint="cs"/>
          <w:rtl/>
        </w:rPr>
        <w:t xml:space="preserve"> * **</w:t>
      </w:r>
      <w:r>
        <w:rPr>
          <w:rFonts w:hint="cs"/>
        </w:rPr>
        <w:t>Une fiction troublante** — Éditions du Seuil, 1999</w:t>
      </w:r>
    </w:p>
    <w:p w14:paraId="082E1B6B" w14:textId="77777777" w:rsidR="008C5C59" w:rsidRDefault="008C5C59" w:rsidP="00AD44A9">
      <w:pPr>
        <w:spacing w:before="80" w:after="40"/>
        <w:rPr>
          <w:rFonts w:hint="cs"/>
          <w:rtl/>
        </w:rPr>
      </w:pPr>
      <w:r>
        <w:rPr>
          <w:rFonts w:hint="cs"/>
          <w:rtl/>
        </w:rPr>
        <w:t xml:space="preserve"> * **</w:t>
      </w:r>
      <w:r>
        <w:rPr>
          <w:rFonts w:hint="cs"/>
        </w:rPr>
        <w:t>Psychanalyse des mythologies contemporaines** — Éditions Cliniques méditerranéennes, 2000</w:t>
      </w:r>
    </w:p>
    <w:p w14:paraId="6BDE8906" w14:textId="77777777" w:rsidR="008C5C59" w:rsidRDefault="008C5C59" w:rsidP="00AD44A9">
      <w:pPr>
        <w:spacing w:before="80" w:after="40"/>
        <w:rPr>
          <w:rFonts w:hint="cs"/>
          <w:rtl/>
        </w:rPr>
      </w:pPr>
      <w:r>
        <w:rPr>
          <w:rFonts w:hint="cs"/>
          <w:rtl/>
        </w:rPr>
        <w:t xml:space="preserve"> * **</w:t>
      </w:r>
      <w:r>
        <w:rPr>
          <w:rFonts w:hint="cs"/>
        </w:rPr>
        <w:t>La psychanalyse à l'épreuve de l'Islam** — Éditions Aubier, 2002</w:t>
      </w:r>
      <w:r>
        <w:rPr>
          <w:rFonts w:hint="cs"/>
          <w:rtl/>
        </w:rPr>
        <w:t xml:space="preserve"> (ثم رُوجع وأُعيد نشره عن طريق </w:t>
      </w:r>
      <w:r>
        <w:rPr>
          <w:rFonts w:hint="cs"/>
        </w:rPr>
        <w:t>Éditions du Seuil, 2004</w:t>
      </w:r>
      <w:r>
        <w:rPr>
          <w:rFonts w:hint="cs"/>
          <w:rtl/>
        </w:rPr>
        <w:t>)</w:t>
      </w:r>
    </w:p>
    <w:p w14:paraId="533B8B03" w14:textId="77777777" w:rsidR="008C5C59" w:rsidRDefault="008C5C59" w:rsidP="00AD44A9">
      <w:pPr>
        <w:spacing w:before="80" w:after="40"/>
        <w:rPr>
          <w:rFonts w:hint="cs"/>
          <w:rtl/>
        </w:rPr>
      </w:pPr>
      <w:r>
        <w:rPr>
          <w:rFonts w:hint="cs"/>
          <w:rtl/>
        </w:rPr>
        <w:t xml:space="preserve"> * **</w:t>
      </w:r>
      <w:r>
        <w:rPr>
          <w:rFonts w:hint="cs"/>
        </w:rPr>
        <w:t>Déclaration d'insoumission : À l'usage des musulmans et de ceux qui ne le sont pas** — Éditions Flammarion, 2005</w:t>
      </w:r>
    </w:p>
    <w:p w14:paraId="2E50D838" w14:textId="77777777" w:rsidR="008C5C59" w:rsidRDefault="008C5C59" w:rsidP="00AD44A9">
      <w:pPr>
        <w:spacing w:before="80" w:after="40"/>
        <w:rPr>
          <w:rFonts w:hint="cs"/>
          <w:rtl/>
        </w:rPr>
      </w:pPr>
      <w:r>
        <w:rPr>
          <w:rFonts w:hint="cs"/>
          <w:rtl/>
        </w:rPr>
        <w:t xml:space="preserve"> * **</w:t>
      </w:r>
      <w:r>
        <w:rPr>
          <w:rFonts w:hint="cs"/>
        </w:rPr>
        <w:t>La soudaine mélancolie** — Éditions Denoël, 2006</w:t>
      </w:r>
    </w:p>
    <w:p w14:paraId="6E83A5EC" w14:textId="77777777" w:rsidR="008C5C59" w:rsidRDefault="008C5C59" w:rsidP="00AD44A9">
      <w:pPr>
        <w:spacing w:before="80" w:after="40"/>
        <w:rPr>
          <w:rFonts w:hint="cs"/>
          <w:rtl/>
        </w:rPr>
      </w:pPr>
      <w:r>
        <w:rPr>
          <w:rFonts w:hint="cs"/>
          <w:rtl/>
        </w:rPr>
        <w:t xml:space="preserve"> * **</w:t>
      </w:r>
      <w:r>
        <w:rPr>
          <w:rFonts w:hint="cs"/>
        </w:rPr>
        <w:t>Soudain la révolution** — Éditions Denoël, 2011</w:t>
      </w:r>
    </w:p>
    <w:p w14:paraId="4B8136CF" w14:textId="77777777" w:rsidR="008C5C59" w:rsidRDefault="008C5C59" w:rsidP="00AD44A9">
      <w:pPr>
        <w:spacing w:before="80" w:after="40"/>
        <w:rPr>
          <w:rFonts w:hint="cs"/>
          <w:rtl/>
        </w:rPr>
      </w:pPr>
      <w:r>
        <w:rPr>
          <w:rFonts w:hint="cs"/>
          <w:rtl/>
        </w:rPr>
        <w:t xml:space="preserve"> * **</w:t>
      </w:r>
      <w:r>
        <w:rPr>
          <w:rFonts w:hint="cs"/>
        </w:rPr>
        <w:t>La guerre des subjectivités en Islam** — Éditions Lignes, 2014</w:t>
      </w:r>
    </w:p>
    <w:p w14:paraId="37208894" w14:textId="77777777" w:rsidR="008C5C59" w:rsidRDefault="008C5C59" w:rsidP="00AD44A9">
      <w:pPr>
        <w:spacing w:before="80" w:after="40"/>
        <w:rPr>
          <w:rFonts w:hint="cs"/>
          <w:rtl/>
        </w:rPr>
      </w:pPr>
      <w:r>
        <w:rPr>
          <w:rFonts w:hint="cs"/>
          <w:rtl/>
        </w:rPr>
        <w:t xml:space="preserve"> * **</w:t>
      </w:r>
      <w:r>
        <w:rPr>
          <w:rFonts w:hint="cs"/>
        </w:rPr>
        <w:t>Un furieux désir de sacrifice : Le surmusulman** — Éditions du Seuil, 2016</w:t>
      </w:r>
    </w:p>
    <w:p w14:paraId="76246663" w14:textId="77777777" w:rsidR="008C5C59" w:rsidRDefault="008C5C59" w:rsidP="00AD44A9">
      <w:pPr>
        <w:spacing w:before="80" w:after="40"/>
        <w:rPr>
          <w:rFonts w:hint="cs"/>
          <w:rtl/>
        </w:rPr>
      </w:pPr>
      <w:r>
        <w:rPr>
          <w:rFonts w:hint="cs"/>
          <w:rtl/>
        </w:rPr>
        <w:t xml:space="preserve"> * **</w:t>
      </w:r>
      <w:r>
        <w:rPr>
          <w:rFonts w:hint="cs"/>
        </w:rPr>
        <w:t>Le saut de l'ange** — Éditions In Press, 2019</w:t>
      </w:r>
    </w:p>
    <w:p w14:paraId="6D78CEE3" w14:textId="77777777" w:rsidR="008C5C59" w:rsidRDefault="008C5C59" w:rsidP="00AD44A9">
      <w:pPr>
        <w:spacing w:before="80" w:after="40"/>
        <w:rPr>
          <w:rtl/>
        </w:rPr>
      </w:pPr>
      <w:r>
        <w:rPr>
          <w:rFonts w:hint="cs"/>
          <w:rtl/>
        </w:rPr>
        <w:t xml:space="preserve"> * **</w:t>
      </w:r>
      <w:r>
        <w:rPr>
          <w:rFonts w:hint="cs"/>
        </w:rPr>
        <w:t>Le pacte sacrificiel : psychopathologie du djihadisme</w:t>
      </w:r>
      <w:r>
        <w:rPr>
          <w:rFonts w:hint="cs"/>
          <w:rtl/>
        </w:rPr>
        <w:t xml:space="preserve">** (بالاشتراك مع </w:t>
      </w:r>
      <w:r>
        <w:rPr>
          <w:rFonts w:hint="cs"/>
        </w:rPr>
        <w:t>Farhad Khosrokhavar</w:t>
      </w:r>
      <w:r>
        <w:rPr>
          <w:rFonts w:hint="cs"/>
          <w:rtl/>
        </w:rPr>
        <w:t xml:space="preserve">) — </w:t>
      </w:r>
      <w:r>
        <w:rPr>
          <w:rFonts w:hint="cs"/>
        </w:rPr>
        <w:t>Éditions Odile Jacob, 2020</w:t>
      </w:r>
    </w:p>
    <w:p w14:paraId="472DD8A2" w14:textId="513966CB" w:rsidR="008C5C59" w:rsidRDefault="008C5C59" w:rsidP="00AD44A9">
      <w:pPr>
        <w:spacing w:before="80" w:after="40"/>
      </w:pPr>
      <w:r>
        <w:rPr>
          <w:rFonts w:hint="cs"/>
          <w:rtl/>
        </w:rPr>
        <w:t xml:space="preserve">اما الزراع : </w:t>
      </w:r>
      <w:r>
        <w:rPr>
          <w:rFonts w:hint="cs"/>
          <w:lang w:bidi="ar-EG"/>
        </w:rPr>
        <w:t>zaraa</w:t>
      </w:r>
      <w:r w:rsidR="00631353">
        <w:rPr>
          <w:rFonts w:hint="cs"/>
          <w:lang w:bidi="ar-EG"/>
        </w:rPr>
        <w:t>psychology.com</w:t>
      </w:r>
    </w:p>
    <w:p w14:paraId="697E9FBD" w14:textId="2379D769" w:rsidR="009E3FB9" w:rsidRDefault="009E3FB9" w:rsidP="00AD44A9">
      <w:pPr>
        <w:spacing w:before="80" w:after="40"/>
      </w:pPr>
    </w:p>
    <w:sectPr w:rsidR="009E3FB9">
      <w:headerReference w:type="default" r:id="rId7"/>
      <w:footerReference w:type="default" r:id="rId8"/>
      <w:pgSz w:w="11906" w:h="16838"/>
      <w:pgMar w:top="1200" w:right="1200" w:bottom="12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403A1" w14:textId="77777777" w:rsidR="00AB5572" w:rsidRDefault="00AB5572">
      <w:r>
        <w:separator/>
      </w:r>
    </w:p>
  </w:endnote>
  <w:endnote w:type="continuationSeparator" w:id="0">
    <w:p w14:paraId="402F8EDE" w14:textId="77777777" w:rsidR="00AB5572" w:rsidRDefault="00AB5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820FE" w14:textId="77777777" w:rsidR="009E3FB9" w:rsidRDefault="00000000">
    <w:pPr>
      <w:pBdr>
        <w:top w:val="single" w:sz="2" w:space="4" w:color="B8860B"/>
      </w:pBdr>
      <w:jc w:val="center"/>
    </w:pPr>
    <w:r>
      <w:rPr>
        <w:rFonts w:ascii="Garamond" w:eastAsia="Garamond" w:hAnsi="Garamond" w:cs="Garamond"/>
        <w:color w:val="B8860B"/>
        <w:sz w:val="18"/>
        <w:szCs w:val="18"/>
      </w:rPr>
      <w:t xml:space="preserve">— </w:t>
    </w:r>
    <w:r>
      <w:rPr>
        <w:rFonts w:ascii="Garamond" w:eastAsia="Garamond" w:hAnsi="Garamond" w:cs="Garamond"/>
        <w:color w:val="1A2A4A"/>
        <w:sz w:val="18"/>
        <w:szCs w:val="18"/>
      </w:rPr>
      <w:fldChar w:fldCharType="begin"/>
    </w:r>
    <w:r>
      <w:rPr>
        <w:rFonts w:ascii="Garamond" w:eastAsia="Garamond" w:hAnsi="Garamond" w:cs="Garamond"/>
        <w:color w:val="1A2A4A"/>
        <w:sz w:val="18"/>
        <w:szCs w:val="18"/>
      </w:rPr>
      <w:instrText>PAGE</w:instrText>
    </w:r>
    <w:r>
      <w:rPr>
        <w:rFonts w:ascii="Garamond" w:eastAsia="Garamond" w:hAnsi="Garamond" w:cs="Garamond"/>
        <w:color w:val="1A2A4A"/>
        <w:sz w:val="18"/>
        <w:szCs w:val="18"/>
      </w:rPr>
      <w:fldChar w:fldCharType="separate"/>
    </w:r>
    <w:r>
      <w:rPr>
        <w:rFonts w:ascii="Garamond" w:eastAsia="Garamond" w:hAnsi="Garamond" w:cs="Garamond"/>
        <w:color w:val="1A2A4A"/>
        <w:sz w:val="18"/>
        <w:szCs w:val="18"/>
      </w:rPr>
      <w:fldChar w:fldCharType="end"/>
    </w:r>
    <w:r>
      <w:rPr>
        <w:rFonts w:ascii="Garamond" w:eastAsia="Garamond" w:hAnsi="Garamond" w:cs="Garamond"/>
        <w:color w:val="B8860B"/>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6BEAA" w14:textId="77777777" w:rsidR="00AB5572" w:rsidRDefault="00AB5572">
      <w:r>
        <w:separator/>
      </w:r>
    </w:p>
  </w:footnote>
  <w:footnote w:type="continuationSeparator" w:id="0">
    <w:p w14:paraId="42893FD2" w14:textId="77777777" w:rsidR="00AB5572" w:rsidRDefault="00AB5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421B" w14:textId="77777777" w:rsidR="009E3FB9" w:rsidRDefault="00000000">
    <w:pPr>
      <w:pBdr>
        <w:bottom w:val="single" w:sz="2" w:space="4" w:color="B8860B"/>
      </w:pBdr>
      <w:jc w:val="right"/>
    </w:pPr>
    <w:r>
      <w:rPr>
        <w:color w:val="2E6B7B"/>
        <w:sz w:val="18"/>
        <w:szCs w:val="18"/>
      </w:rPr>
      <w:t>أركيولوجيا الجرح الخطابي — عبد السلام الزراع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4F2EB6"/>
    <w:multiLevelType w:val="hybridMultilevel"/>
    <w:tmpl w:val="FFFFFFFF"/>
    <w:lvl w:ilvl="0" w:tplc="6B7859EC">
      <w:start w:val="1"/>
      <w:numFmt w:val="bullet"/>
      <w:lvlText w:val="●"/>
      <w:lvlJc w:val="left"/>
      <w:pPr>
        <w:ind w:left="720" w:hanging="360"/>
      </w:pPr>
    </w:lvl>
    <w:lvl w:ilvl="1" w:tplc="1332EA56">
      <w:start w:val="1"/>
      <w:numFmt w:val="bullet"/>
      <w:lvlText w:val="○"/>
      <w:lvlJc w:val="left"/>
      <w:pPr>
        <w:ind w:left="1440" w:hanging="360"/>
      </w:pPr>
    </w:lvl>
    <w:lvl w:ilvl="2" w:tplc="A0A2D1F2">
      <w:start w:val="1"/>
      <w:numFmt w:val="bullet"/>
      <w:lvlText w:val="■"/>
      <w:lvlJc w:val="left"/>
      <w:pPr>
        <w:ind w:left="2160" w:hanging="360"/>
      </w:pPr>
    </w:lvl>
    <w:lvl w:ilvl="3" w:tplc="C436FBB2">
      <w:start w:val="1"/>
      <w:numFmt w:val="bullet"/>
      <w:lvlText w:val="●"/>
      <w:lvlJc w:val="left"/>
      <w:pPr>
        <w:ind w:left="2880" w:hanging="360"/>
      </w:pPr>
    </w:lvl>
    <w:lvl w:ilvl="4" w:tplc="8C2E4E96">
      <w:start w:val="1"/>
      <w:numFmt w:val="bullet"/>
      <w:lvlText w:val="○"/>
      <w:lvlJc w:val="left"/>
      <w:pPr>
        <w:ind w:left="3600" w:hanging="360"/>
      </w:pPr>
    </w:lvl>
    <w:lvl w:ilvl="5" w:tplc="4B149BDC">
      <w:start w:val="1"/>
      <w:numFmt w:val="bullet"/>
      <w:lvlText w:val="■"/>
      <w:lvlJc w:val="left"/>
      <w:pPr>
        <w:ind w:left="4320" w:hanging="360"/>
      </w:pPr>
    </w:lvl>
    <w:lvl w:ilvl="6" w:tplc="DECA81EE">
      <w:start w:val="1"/>
      <w:numFmt w:val="bullet"/>
      <w:lvlText w:val="●"/>
      <w:lvlJc w:val="left"/>
      <w:pPr>
        <w:ind w:left="5040" w:hanging="360"/>
      </w:pPr>
    </w:lvl>
    <w:lvl w:ilvl="7" w:tplc="F43E9576">
      <w:start w:val="1"/>
      <w:numFmt w:val="bullet"/>
      <w:lvlText w:val="●"/>
      <w:lvlJc w:val="left"/>
      <w:pPr>
        <w:ind w:left="5760" w:hanging="360"/>
      </w:pPr>
    </w:lvl>
    <w:lvl w:ilvl="8" w:tplc="45E4D1C8">
      <w:start w:val="1"/>
      <w:numFmt w:val="bullet"/>
      <w:lvlText w:val="●"/>
      <w:lvlJc w:val="left"/>
      <w:pPr>
        <w:ind w:left="6480" w:hanging="360"/>
      </w:pPr>
    </w:lvl>
  </w:abstractNum>
  <w:num w:numId="1" w16cid:durableId="15327206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FB9"/>
    <w:rsid w:val="00004977"/>
    <w:rsid w:val="0004322B"/>
    <w:rsid w:val="003103F4"/>
    <w:rsid w:val="00442A2F"/>
    <w:rsid w:val="00631353"/>
    <w:rsid w:val="007872B9"/>
    <w:rsid w:val="007A6913"/>
    <w:rsid w:val="008C5C59"/>
    <w:rsid w:val="00912171"/>
    <w:rsid w:val="009E3FB9"/>
    <w:rsid w:val="00A66DFF"/>
    <w:rsid w:val="00AB5572"/>
    <w:rsid w:val="00AD44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6EEA23E"/>
  <w15:docId w15:val="{B8EB13F7-EBCC-9E46-B236-C0451BA3A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color w:val="111111"/>
        <w:sz w:val="26"/>
        <w:szCs w:val="2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spacing w:before="480" w:after="240"/>
      <w:outlineLvl w:val="0"/>
    </w:pPr>
    <w:rPr>
      <w:b/>
      <w:bCs/>
      <w:color w:val="1A2A4A"/>
      <w:sz w:val="44"/>
      <w:szCs w:val="44"/>
    </w:rPr>
  </w:style>
  <w:style w:type="paragraph" w:styleId="2">
    <w:name w:val="heading 2"/>
    <w:uiPriority w:val="9"/>
    <w:unhideWhenUsed/>
    <w:qFormat/>
    <w:pPr>
      <w:spacing w:before="320" w:after="160"/>
      <w:outlineLvl w:val="1"/>
    </w:pPr>
    <w:rPr>
      <w:b/>
      <w:bCs/>
      <w:color w:val="2E6B7B"/>
      <w:sz w:val="32"/>
      <w:szCs w:val="32"/>
    </w:rPr>
  </w:style>
  <w:style w:type="paragraph" w:styleId="3">
    <w:name w:val="heading 3"/>
    <w:uiPriority w:val="9"/>
    <w:unhideWhenUsed/>
    <w:qFormat/>
    <w:pPr>
      <w:spacing w:before="240" w:after="120"/>
      <w:outlineLvl w:val="2"/>
    </w:pPr>
    <w:rPr>
      <w:b/>
      <w:bCs/>
      <w:color w:val="B8860B"/>
      <w:sz w:val="28"/>
      <w:szCs w:val="2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2314</Words>
  <Characters>13190</Characters>
  <Application>Microsoft Office Word</Application>
  <DocSecurity>0</DocSecurity>
  <Lines>109</Lines>
  <Paragraphs>30</Paragraphs>
  <ScaleCrop>false</ScaleCrop>
  <Company/>
  <LinksUpToDate>false</LinksUpToDate>
  <CharactersWithSpaces>15474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9</cp:revision>
  <dcterms:created xsi:type="dcterms:W3CDTF">2026-06-18T06:58:00Z</dcterms:created>
  <dcterms:modified xsi:type="dcterms:W3CDTF">2026-06-18T15:17:00Z</dcterms:modified>
</cp:coreProperties>
</file>