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5A29" w14:textId="77777777" w:rsidR="00251567" w:rsidRDefault="002006A7">
      <w:pPr>
        <w:spacing w:before="200" w:after="200"/>
        <w:jc w:val="center"/>
      </w:pPr>
      <w:r>
        <w:rPr>
          <w:rFonts w:hint="cs"/>
          <w:b/>
          <w:bCs/>
          <w:color w:val="1B2A4A"/>
          <w:sz w:val="56"/>
          <w:szCs w:val="56"/>
          <w:rtl/>
        </w:rPr>
        <w:t>م</w:t>
      </w:r>
      <w:r>
        <w:rPr>
          <w:b/>
          <w:bCs/>
          <w:color w:val="1B2A4A"/>
          <w:sz w:val="56"/>
          <w:szCs w:val="56"/>
          <w:rtl/>
        </w:rPr>
        <w:t>ن "الجسد الآلة" إلى "الجسد الأمانة"</w:t>
      </w:r>
    </w:p>
    <w:p w14:paraId="661FAA5D" w14:textId="77777777" w:rsidR="00251567" w:rsidRDefault="002006A7">
      <w:pPr>
        <w:pBdr>
          <w:bottom w:val="single" w:sz="6" w:space="0" w:color="B8860B"/>
        </w:pBdr>
        <w:spacing w:after="200"/>
        <w:jc w:val="center"/>
      </w:pPr>
      <w:r>
        <w:rPr>
          <w:b/>
          <w:bCs/>
          <w:color w:val="116466"/>
          <w:sz w:val="30"/>
          <w:szCs w:val="30"/>
          <w:rtl/>
        </w:rPr>
        <w:t>نحو نظرية استخلافية للجسد – دراسة في أنطولوجيا "التجسيد" و"فسيولوجيا الأخلاق"</w:t>
      </w:r>
    </w:p>
    <w:p w14:paraId="67D798F6" w14:textId="13B31F88" w:rsidR="00251567" w:rsidRDefault="002006A7">
      <w:pPr>
        <w:spacing w:before="400" w:after="800"/>
        <w:jc w:val="center"/>
        <w:rPr>
          <w:rtl/>
        </w:rPr>
      </w:pPr>
      <w:r>
        <w:rPr>
          <w:i/>
          <w:iCs/>
          <w:color w:val="B8860B"/>
          <w:rtl/>
        </w:rPr>
        <w:t xml:space="preserve">دراسة أكاديمية </w:t>
      </w:r>
      <w:r>
        <w:rPr>
          <w:i/>
          <w:iCs/>
          <w:color w:val="B8860B"/>
          <w:rtl/>
        </w:rPr>
        <w:t xml:space="preserve"> </w:t>
      </w:r>
    </w:p>
    <w:p w14:paraId="64071F5E" w14:textId="617BB825" w:rsidR="006E1307" w:rsidRDefault="006E1307">
      <w:pPr>
        <w:spacing w:before="400" w:after="800"/>
        <w:jc w:val="center"/>
      </w:pPr>
      <w:r>
        <w:rPr>
          <w:rFonts w:hint="cs"/>
          <w:rtl/>
        </w:rPr>
        <w:t xml:space="preserve">بقلم الباحث : عبد السلام الزراع </w:t>
      </w:r>
    </w:p>
    <w:p w14:paraId="5513F3C7" w14:textId="77777777" w:rsidR="00251567" w:rsidRDefault="002006A7">
      <w:r>
        <w:br w:type="page"/>
      </w:r>
    </w:p>
    <w:p w14:paraId="797BEE09" w14:textId="77777777" w:rsidR="00251567" w:rsidRDefault="002006A7" w:rsidP="007D1F30">
      <w:pPr>
        <w:pStyle w:val="1"/>
        <w:pBdr>
          <w:left w:val="single" w:sz="24" w:space="0" w:color="B8860B"/>
        </w:pBdr>
        <w:shd w:val="clear" w:color="auto" w:fill="1B2A4A"/>
        <w:bidi/>
        <w:spacing w:before="480" w:after="240"/>
      </w:pPr>
      <w:r>
        <w:rPr>
          <w:b/>
          <w:bCs/>
          <w:color w:val="FFFFFF"/>
          <w:rtl/>
        </w:rPr>
        <w:t xml:space="preserve">  تمهيد: الجسد بوصفه "الغائب الحاضر" في علم النفس الحديث – لماذا نحتاج إلى "أنطولوجيا" جديدة؟</w:t>
      </w:r>
    </w:p>
    <w:p w14:paraId="2267B9D2" w14:textId="77777777" w:rsidR="00251567" w:rsidRDefault="002006A7" w:rsidP="007D1F30">
      <w:pPr>
        <w:spacing w:after="200" w:line="340" w:lineRule="auto"/>
        <w:ind w:firstLine="340"/>
      </w:pPr>
      <w:r>
        <w:rPr>
          <w:color w:val="222222"/>
          <w:rtl/>
        </w:rPr>
        <w:t>في "تاريخ" "علم النفس" و"الطب النفسي"، "عُومل" "الجسد" – في "كثير" من "الأحيان" – كـ"مجرد" "وعاء" "للنفس"، أو "آلة" "بيولوجية" "معقدة" "تحتاج" إلى "صيانة" و"إصلاح". فـ"الطب" "يُعالج" "الجسد" (الأعضاء، الخلايا، الهرمونات)، و"علم النفس" "يُعالج" "النفس" (الأفكار، المشاعر، السلوكيات)، وكأن "الإنسان" "كيانان" "منفصلان" لا "يلتقيان".</w:t>
      </w:r>
    </w:p>
    <w:p w14:paraId="00506C02" w14:textId="77777777" w:rsidR="00251567" w:rsidRDefault="002006A7" w:rsidP="007D1F30">
      <w:pPr>
        <w:spacing w:after="200" w:line="340" w:lineRule="auto"/>
        <w:ind w:firstLine="340"/>
      </w:pPr>
      <w:r>
        <w:rPr>
          <w:color w:val="222222"/>
          <w:rtl/>
        </w:rPr>
        <w:t xml:space="preserve">لكن "علم النفس الاستخلافي" – "يَرفض" هذه "الثنائية" "الضيقة"، </w:t>
      </w:r>
      <w:proofErr w:type="spellStart"/>
      <w:r>
        <w:rPr>
          <w:color w:val="222222"/>
          <w:rtl/>
        </w:rPr>
        <w:t>و"يُقدم</w:t>
      </w:r>
      <w:proofErr w:type="spellEnd"/>
      <w:r>
        <w:rPr>
          <w:color w:val="222222"/>
          <w:rtl/>
        </w:rPr>
        <w:t xml:space="preserve">" "رؤية" "مُغايرة" و"ثورية" للجسد. فـ"الجسد" – عنده – ليس "مجرد" "آلة" أو "وعاء"، بل هو – في "جوهره" – "حامل الأمانة الوجودية"، و"مسرح" "تتجلى" فيه "آثار" "التفاعل" بين "النفس" و"الروح" و"الوحي"، و"نظام تشغيل أخلاقي" "يَستجيب" – "فسيولوجيًا" – لـ"الانحرافات" </w:t>
      </w:r>
      <w:proofErr w:type="spellStart"/>
      <w:r>
        <w:rPr>
          <w:color w:val="222222"/>
          <w:rtl/>
        </w:rPr>
        <w:t>و"الاستقامات</w:t>
      </w:r>
      <w:proofErr w:type="spellEnd"/>
      <w:r>
        <w:rPr>
          <w:color w:val="222222"/>
          <w:rtl/>
        </w:rPr>
        <w:t>" "الأخلاقية" [795، 807، 928].</w:t>
      </w:r>
    </w:p>
    <w:p w14:paraId="284C3D7A" w14:textId="77777777" w:rsidR="00251567" w:rsidRDefault="002006A7" w:rsidP="007D1F30">
      <w:pPr>
        <w:spacing w:after="200" w:line="340" w:lineRule="auto"/>
        <w:ind w:firstLine="340"/>
      </w:pPr>
      <w:r>
        <w:rPr>
          <w:color w:val="222222"/>
          <w:rtl/>
        </w:rPr>
        <w:t>هذه "الدراسة" – التي تتجاوز "الوصف" إلى "التحليل" و"التأصيل" – تسعى إلى "تفكيك" "مفهوم" "الجسد" في "النظرية الاستخلافية"، و"إعادة بنائه" في ضوء "النموذج الهرمي القرآني" و"الأضلاع الثمانية"، و"مقارنته" بـ"النماذج" "الأخرى" في "تاريخ" "الفكر"، و"تتبعه" في "مراحل" "العلاج" كما "يُطبقها" بروتوكول TLRT.</w:t>
      </w:r>
    </w:p>
    <w:p w14:paraId="0FDF465E" w14:textId="77777777" w:rsidR="00251567" w:rsidRDefault="002006A7" w:rsidP="007D1F30">
      <w:pPr>
        <w:spacing w:after="200" w:line="340" w:lineRule="auto"/>
        <w:ind w:firstLine="340"/>
      </w:pPr>
      <w:r>
        <w:rPr>
          <w:color w:val="222222"/>
          <w:rtl/>
        </w:rPr>
        <w:t xml:space="preserve">وتضيف هذه الصيغة الموسّعة ثلاثة مستويات تحليلية جديدة لم يتسع لها العرض الأول: أولًا، مواجهة نقدية أعمق مع "الجسد </w:t>
      </w:r>
      <w:proofErr w:type="spellStart"/>
      <w:r>
        <w:rPr>
          <w:color w:val="222222"/>
          <w:rtl/>
        </w:rPr>
        <w:t>الظاهراتي</w:t>
      </w:r>
      <w:proofErr w:type="spellEnd"/>
      <w:r>
        <w:rPr>
          <w:color w:val="222222"/>
          <w:rtl/>
        </w:rPr>
        <w:t xml:space="preserve">" عند </w:t>
      </w:r>
      <w:proofErr w:type="spellStart"/>
      <w:r>
        <w:rPr>
          <w:color w:val="222222"/>
          <w:rtl/>
        </w:rPr>
        <w:t>ميرلو</w:t>
      </w:r>
      <w:proofErr w:type="spellEnd"/>
      <w:r>
        <w:rPr>
          <w:color w:val="222222"/>
          <w:rtl/>
        </w:rPr>
        <w:t xml:space="preserve">-بونتي بوصفه أقرب النماذج الغربية إلى الرؤية الاستخلافية وأبعدها عنها في آن؛ ثانيًا، ربط "أنطولوجيا الجسد" بالمعجم الاصطلاحي الدقيق في التراث الإسلامي (جسد/جسم/بدن)؛ ثالثًا، فتح باب النقد </w:t>
      </w:r>
      <w:proofErr w:type="spellStart"/>
      <w:r>
        <w:rPr>
          <w:color w:val="222222"/>
          <w:rtl/>
        </w:rPr>
        <w:t>الإبستمولوجي</w:t>
      </w:r>
      <w:proofErr w:type="spellEnd"/>
      <w:r>
        <w:rPr>
          <w:color w:val="222222"/>
          <w:rtl/>
        </w:rPr>
        <w:t xml:space="preserve"> الذاتي، بحيث لا تكتفي الدراسة بعرض النموذج بل تُساءله في حدوده ومخاطر توظيفه.</w:t>
      </w:r>
    </w:p>
    <w:p w14:paraId="039B4C3C" w14:textId="77777777" w:rsidR="00251567" w:rsidRDefault="002006A7" w:rsidP="007D1F30">
      <w:pPr>
        <w:pStyle w:val="1"/>
        <w:pBdr>
          <w:left w:val="single" w:sz="24" w:space="0" w:color="B8860B"/>
        </w:pBdr>
        <w:shd w:val="clear" w:color="auto" w:fill="1B2A4A"/>
        <w:bidi/>
        <w:spacing w:before="480" w:after="240"/>
      </w:pPr>
      <w:r>
        <w:rPr>
          <w:b/>
          <w:bCs/>
          <w:color w:val="FFFFFF"/>
          <w:rtl/>
        </w:rPr>
        <w:t xml:space="preserve">  الفصل الأول: "أركيولوجيا" الجسد – "تفكيك" النماذج و"بيان" قصورها</w:t>
      </w:r>
    </w:p>
    <w:p w14:paraId="77C8433B" w14:textId="77777777" w:rsidR="00251567" w:rsidRDefault="002006A7" w:rsidP="007D1F30">
      <w:pPr>
        <w:pStyle w:val="2"/>
        <w:pBdr>
          <w:bottom w:val="single" w:sz="8" w:space="0" w:color="116466"/>
        </w:pBdr>
        <w:bidi/>
        <w:spacing w:before="360" w:after="180"/>
      </w:pPr>
      <w:r>
        <w:rPr>
          <w:b/>
          <w:bCs/>
          <w:color w:val="116466"/>
          <w:sz w:val="27"/>
          <w:szCs w:val="27"/>
          <w:rtl/>
        </w:rPr>
        <w:t>1.1 "الجسد" في "الفلسفة الغربية": "سجن" الروح و"آلة" المادة</w:t>
      </w:r>
    </w:p>
    <w:p w14:paraId="58C8196E" w14:textId="77777777" w:rsidR="00251567" w:rsidRDefault="002006A7" w:rsidP="007D1F30">
      <w:pPr>
        <w:spacing w:after="200" w:line="340" w:lineRule="auto"/>
        <w:ind w:firstLine="340"/>
      </w:pPr>
      <w:r>
        <w:rPr>
          <w:color w:val="222222"/>
          <w:rtl/>
        </w:rPr>
        <w:t>في "تاريخ" "الفلسفة الغربية"، "تَأرجح" "مفهوم" "الجسد" بين "نقيضين":</w:t>
      </w:r>
    </w:p>
    <w:p w14:paraId="0F84797D" w14:textId="77777777" w:rsidR="00251567" w:rsidRDefault="002006A7" w:rsidP="007D1F30">
      <w:pPr>
        <w:spacing w:after="200" w:line="340" w:lineRule="auto"/>
        <w:ind w:firstLine="340"/>
      </w:pPr>
      <w:r>
        <w:rPr>
          <w:color w:val="222222"/>
          <w:rtl/>
        </w:rPr>
        <w:t>• "الجسد كسجن": في "الفلسفة الأفلاطونية" و"الغنوصية"، "نُظر" إلى "الجسد" (</w:t>
      </w:r>
      <w:proofErr w:type="spellStart"/>
      <w:r>
        <w:rPr>
          <w:color w:val="222222"/>
          <w:rtl/>
        </w:rPr>
        <w:t>Soma</w:t>
      </w:r>
      <w:proofErr w:type="spellEnd"/>
      <w:r>
        <w:rPr>
          <w:color w:val="222222"/>
          <w:rtl/>
        </w:rPr>
        <w:t>) بوصفه "سجنًا" (</w:t>
      </w:r>
      <w:proofErr w:type="spellStart"/>
      <w:r>
        <w:rPr>
          <w:color w:val="222222"/>
          <w:rtl/>
        </w:rPr>
        <w:t>Sema</w:t>
      </w:r>
      <w:proofErr w:type="spellEnd"/>
      <w:r>
        <w:rPr>
          <w:color w:val="222222"/>
          <w:rtl/>
        </w:rPr>
        <w:t xml:space="preserve">) للروح، </w:t>
      </w:r>
      <w:proofErr w:type="spellStart"/>
      <w:r>
        <w:rPr>
          <w:color w:val="222222"/>
          <w:rtl/>
        </w:rPr>
        <w:t>و"عائقًا</w:t>
      </w:r>
      <w:proofErr w:type="spellEnd"/>
      <w:r>
        <w:rPr>
          <w:color w:val="222222"/>
          <w:rtl/>
        </w:rPr>
        <w:t>" أمام "معرفتها" و"خلاصها". و"الهدف" كان "التخلص" من "الجسد" أو "تطهيره" عبر "الزهد" و"التقشف".</w:t>
      </w:r>
    </w:p>
    <w:p w14:paraId="683572CB" w14:textId="77777777" w:rsidR="00251567" w:rsidRDefault="002006A7" w:rsidP="007D1F30">
      <w:pPr>
        <w:spacing w:after="200" w:line="340" w:lineRule="auto"/>
        <w:ind w:firstLine="340"/>
      </w:pPr>
      <w:r>
        <w:rPr>
          <w:color w:val="222222"/>
          <w:rtl/>
        </w:rPr>
        <w:t xml:space="preserve">• "الجسد كآلة": في "الفلسفة الحديثة" (خاصة مع "ديكارت" </w:t>
      </w:r>
      <w:proofErr w:type="spellStart"/>
      <w:r>
        <w:rPr>
          <w:color w:val="222222"/>
          <w:rtl/>
        </w:rPr>
        <w:t>و"لامتري</w:t>
      </w:r>
      <w:proofErr w:type="spellEnd"/>
      <w:r>
        <w:rPr>
          <w:color w:val="222222"/>
          <w:rtl/>
        </w:rPr>
        <w:t>")، "أصبح" "الجسد" "آلة" (</w:t>
      </w:r>
      <w:proofErr w:type="spellStart"/>
      <w:r>
        <w:rPr>
          <w:color w:val="222222"/>
          <w:rtl/>
        </w:rPr>
        <w:t>Machine</w:t>
      </w:r>
      <w:proofErr w:type="spellEnd"/>
      <w:r>
        <w:rPr>
          <w:color w:val="222222"/>
          <w:rtl/>
        </w:rPr>
        <w:t>) "مُعقدة" "يُمكن" "فهمها" و"إصلاحها" عبر "العلم" و"التقنية". و"المرض" – هنا – هو "عطل" "ميكانيكي" أو "كيميائي" يجب "إصلاحه".</w:t>
      </w:r>
    </w:p>
    <w:p w14:paraId="6581D366" w14:textId="77777777" w:rsidR="00251567" w:rsidRDefault="002006A7" w:rsidP="007D1F30">
      <w:pPr>
        <w:spacing w:after="200" w:line="340" w:lineRule="auto"/>
        <w:ind w:firstLine="340"/>
      </w:pPr>
      <w:r>
        <w:rPr>
          <w:color w:val="222222"/>
          <w:rtl/>
        </w:rPr>
        <w:t xml:space="preserve">كلا "النموذجين" – كما نرى – "يُعاني" من "قصور" "أنطولوجي" "جوهري": "الأول" "يَزدري" "الجسد" </w:t>
      </w:r>
      <w:proofErr w:type="spellStart"/>
      <w:r>
        <w:rPr>
          <w:color w:val="222222"/>
          <w:rtl/>
        </w:rPr>
        <w:t>و"يُنكر</w:t>
      </w:r>
      <w:proofErr w:type="spellEnd"/>
      <w:r>
        <w:rPr>
          <w:color w:val="222222"/>
          <w:rtl/>
        </w:rPr>
        <w:t xml:space="preserve">" "قيمته"، و"الثاني" "يُقدسه" </w:t>
      </w:r>
      <w:proofErr w:type="spellStart"/>
      <w:r>
        <w:rPr>
          <w:color w:val="222222"/>
          <w:rtl/>
        </w:rPr>
        <w:t>و"يُختزله</w:t>
      </w:r>
      <w:proofErr w:type="spellEnd"/>
      <w:r>
        <w:rPr>
          <w:color w:val="222222"/>
          <w:rtl/>
        </w:rPr>
        <w:t xml:space="preserve">" في "المادة". وكلاهما "يَفصل" بين "الجسد" و"النفس" و"الروح"، </w:t>
      </w:r>
      <w:proofErr w:type="spellStart"/>
      <w:r>
        <w:rPr>
          <w:color w:val="222222"/>
          <w:rtl/>
        </w:rPr>
        <w:t>و"يُهمل</w:t>
      </w:r>
      <w:proofErr w:type="spellEnd"/>
      <w:r>
        <w:rPr>
          <w:color w:val="222222"/>
          <w:rtl/>
        </w:rPr>
        <w:t>" "البُعد" "الأخلاقي" و"الوجودي" لـ"التجسيد".</w:t>
      </w:r>
    </w:p>
    <w:p w14:paraId="4097E159" w14:textId="77777777" w:rsidR="00251567" w:rsidRDefault="002006A7" w:rsidP="007D1F30">
      <w:pPr>
        <w:spacing w:after="200" w:line="340" w:lineRule="auto"/>
        <w:ind w:firstLine="340"/>
      </w:pPr>
      <w:r>
        <w:rPr>
          <w:color w:val="222222"/>
          <w:rtl/>
        </w:rPr>
        <w:t xml:space="preserve">ويجدر التنبيه هنا إلى أن </w:t>
      </w:r>
      <w:proofErr w:type="spellStart"/>
      <w:r>
        <w:rPr>
          <w:color w:val="222222"/>
          <w:rtl/>
        </w:rPr>
        <w:t>نيتشه</w:t>
      </w:r>
      <w:proofErr w:type="spellEnd"/>
      <w:r>
        <w:rPr>
          <w:color w:val="222222"/>
          <w:rtl/>
        </w:rPr>
        <w:t xml:space="preserve"> نفسه، رغم بعده الكامل عن أي أفق إيماني، كان من أوائل من انتقدوا هذه الثنائية من داخل الفلسفة الغربية ذاتها، حين وصف "العقل" بأنه "أداة صغيرة" في خدمة "الجسد" الذي أسماه "العقل الأعظم" (</w:t>
      </w:r>
      <w:proofErr w:type="spellStart"/>
      <w:r>
        <w:rPr>
          <w:color w:val="222222"/>
          <w:rtl/>
        </w:rPr>
        <w:t>die</w:t>
      </w:r>
      <w:proofErr w:type="spellEnd"/>
      <w:r>
        <w:rPr>
          <w:color w:val="222222"/>
          <w:rtl/>
        </w:rPr>
        <w:t xml:space="preserve"> </w:t>
      </w:r>
      <w:proofErr w:type="spellStart"/>
      <w:r>
        <w:rPr>
          <w:color w:val="222222"/>
          <w:rtl/>
        </w:rPr>
        <w:t>große</w:t>
      </w:r>
      <w:proofErr w:type="spellEnd"/>
      <w:r>
        <w:rPr>
          <w:color w:val="222222"/>
          <w:rtl/>
        </w:rPr>
        <w:t xml:space="preserve"> </w:t>
      </w:r>
      <w:proofErr w:type="spellStart"/>
      <w:r>
        <w:rPr>
          <w:color w:val="222222"/>
          <w:rtl/>
        </w:rPr>
        <w:t>Vernunft</w:t>
      </w:r>
      <w:proofErr w:type="spellEnd"/>
      <w:r>
        <w:rPr>
          <w:color w:val="222222"/>
          <w:rtl/>
        </w:rPr>
        <w:t xml:space="preserve">). غير أن نقد </w:t>
      </w:r>
      <w:proofErr w:type="spellStart"/>
      <w:r>
        <w:rPr>
          <w:color w:val="222222"/>
          <w:rtl/>
        </w:rPr>
        <w:t>نيتشه</w:t>
      </w:r>
      <w:proofErr w:type="spellEnd"/>
      <w:r>
        <w:rPr>
          <w:color w:val="222222"/>
          <w:rtl/>
        </w:rPr>
        <w:t xml:space="preserve"> – على أهميته التاريخية – ظل نقدًا بلا أفق غائي: فقد أعاد الاعتبار لـ"الجسد" بوصفه مصدرًا للإرادة والقوة، لكنه جرّده من أي معنى "أماناتي" أو "تكليفي"، فبقي "جسدًا حرًا" بلا مسؤولية متعالية، وهو ما يُبقي المسافة شاسعة بينه وبين النموذج الاستخلافي رغم التقاطع الظاهري في رفض ثنائية ديكا</w:t>
      </w:r>
      <w:r>
        <w:rPr>
          <w:color w:val="222222"/>
          <w:rtl/>
        </w:rPr>
        <w:t>رت.</w:t>
      </w:r>
    </w:p>
    <w:p w14:paraId="1DACDF63" w14:textId="77777777" w:rsidR="00251567" w:rsidRDefault="002006A7" w:rsidP="007D1F30">
      <w:pPr>
        <w:pStyle w:val="2"/>
        <w:pBdr>
          <w:bottom w:val="single" w:sz="8" w:space="0" w:color="116466"/>
        </w:pBdr>
        <w:bidi/>
        <w:spacing w:before="360" w:after="180"/>
      </w:pPr>
      <w:r>
        <w:rPr>
          <w:b/>
          <w:bCs/>
          <w:color w:val="116466"/>
          <w:sz w:val="27"/>
          <w:szCs w:val="27"/>
          <w:rtl/>
        </w:rPr>
        <w:t>1.2 "الجسد" في "التراث الإسلامي": "أمانة" و"نعمة" و"شاهد"</w:t>
      </w:r>
    </w:p>
    <w:p w14:paraId="0C029A75" w14:textId="77777777" w:rsidR="00251567" w:rsidRDefault="002006A7" w:rsidP="007D1F30">
      <w:pPr>
        <w:spacing w:after="200" w:line="340" w:lineRule="auto"/>
        <w:ind w:firstLine="340"/>
      </w:pPr>
      <w:r>
        <w:rPr>
          <w:color w:val="222222"/>
          <w:rtl/>
        </w:rPr>
        <w:t xml:space="preserve">في "مُقابل" هذه "الاختزالات"، يقدم "التراث الإسلامي" – كما "يستعيده" "علم النفس الاستخلافي" – "تصورًا" "مُغايرًا" </w:t>
      </w:r>
      <w:proofErr w:type="spellStart"/>
      <w:r>
        <w:rPr>
          <w:color w:val="222222"/>
          <w:rtl/>
        </w:rPr>
        <w:t>و"متوازنًا</w:t>
      </w:r>
      <w:proofErr w:type="spellEnd"/>
      <w:r>
        <w:rPr>
          <w:color w:val="222222"/>
          <w:rtl/>
        </w:rPr>
        <w:t>" للجسد:</w:t>
      </w:r>
    </w:p>
    <w:p w14:paraId="5AEC248A" w14:textId="77777777" w:rsidR="00251567" w:rsidRDefault="002006A7" w:rsidP="007D1F30">
      <w:pPr>
        <w:spacing w:after="200" w:line="340" w:lineRule="auto"/>
        <w:ind w:firstLine="340"/>
      </w:pPr>
      <w:r>
        <w:rPr>
          <w:color w:val="222222"/>
          <w:rtl/>
        </w:rPr>
        <w:t xml:space="preserve">• "الجسد أمانة": "الجسد" ليس "ملكًا" للإنسان "يتصرف" فيه "كيف يشاء"، بل هو "أمانة" "استودعه" الله "إياها"، </w:t>
      </w:r>
      <w:proofErr w:type="spellStart"/>
      <w:r>
        <w:rPr>
          <w:color w:val="222222"/>
          <w:rtl/>
        </w:rPr>
        <w:t>و"سيُسأل</w:t>
      </w:r>
      <w:proofErr w:type="spellEnd"/>
      <w:r>
        <w:rPr>
          <w:color w:val="222222"/>
          <w:rtl/>
        </w:rPr>
        <w:t>" عنها "يوم القيامة".</w:t>
      </w:r>
    </w:p>
    <w:p w14:paraId="30429827" w14:textId="77777777" w:rsidR="00251567" w:rsidRDefault="002006A7" w:rsidP="007D1F30">
      <w:pPr>
        <w:pBdr>
          <w:top w:val="single" w:sz="12" w:space="0" w:color="B8860B"/>
          <w:left w:val="single" w:sz="12" w:space="0" w:color="B8860B"/>
          <w:bottom w:val="single" w:sz="12" w:space="0" w:color="B8860B"/>
          <w:right w:val="single" w:sz="12" w:space="0" w:color="B8860B"/>
        </w:pBdr>
        <w:shd w:val="clear" w:color="auto" w:fill="FBF3DE"/>
        <w:spacing w:before="200" w:after="200"/>
      </w:pPr>
      <w:r>
        <w:rPr>
          <w:b/>
          <w:bCs/>
          <w:color w:val="1B2A4A"/>
          <w:sz w:val="27"/>
          <w:szCs w:val="27"/>
          <w:rtl/>
        </w:rPr>
        <w:t>ثُمَّ لَتُسْأَلُنَّ يَوْمَئِذٍ عَنِ النَّعِيمِ [التكاثر: 8]</w:t>
      </w:r>
    </w:p>
    <w:p w14:paraId="05D3D7BA" w14:textId="77777777" w:rsidR="00251567" w:rsidRDefault="002006A7" w:rsidP="007D1F30">
      <w:pPr>
        <w:spacing w:after="200" w:line="340" w:lineRule="auto"/>
        <w:ind w:firstLine="340"/>
      </w:pPr>
      <w:r>
        <w:rPr>
          <w:color w:val="222222"/>
          <w:rtl/>
        </w:rPr>
        <w:t>وقد "فسر" "بعض" "المفسرين" "النعيم" بأنه "الصحة" و"الفراغ" و"الأمن".</w:t>
      </w:r>
    </w:p>
    <w:p w14:paraId="2B07BFF5" w14:textId="77777777" w:rsidR="00251567" w:rsidRDefault="002006A7" w:rsidP="007D1F30">
      <w:pPr>
        <w:spacing w:after="200" w:line="340" w:lineRule="auto"/>
        <w:ind w:firstLine="340"/>
      </w:pPr>
      <w:r>
        <w:rPr>
          <w:color w:val="222222"/>
          <w:rtl/>
        </w:rPr>
        <w:t>• "الجسد نعمة": "الجسد" – بما "فيه" من "أعضاء" و"حواس" و"قدرات" – هو "نعمة" "إلهية" "عظيمة" تستوجب "الشكر" لا "الكفران"، و"الصيانة" لا "الإهمال".</w:t>
      </w:r>
    </w:p>
    <w:p w14:paraId="635BD51F" w14:textId="77777777" w:rsidR="00251567" w:rsidRDefault="002006A7" w:rsidP="007D1F30">
      <w:pPr>
        <w:spacing w:after="200" w:line="340" w:lineRule="auto"/>
        <w:ind w:firstLine="340"/>
      </w:pPr>
      <w:r>
        <w:rPr>
          <w:color w:val="222222"/>
          <w:rtl/>
        </w:rPr>
        <w:t>• "الجسد شاهد": "الجسد" "سيَشهد" على "صاحبه" "يوم القيامة" بما "عمل".</w:t>
      </w:r>
    </w:p>
    <w:p w14:paraId="550BEC2A" w14:textId="77777777" w:rsidR="00251567" w:rsidRDefault="002006A7" w:rsidP="007D1F30">
      <w:pPr>
        <w:pBdr>
          <w:top w:val="single" w:sz="12" w:space="0" w:color="B8860B"/>
          <w:left w:val="single" w:sz="12" w:space="0" w:color="B8860B"/>
          <w:bottom w:val="single" w:sz="12" w:space="0" w:color="B8860B"/>
          <w:right w:val="single" w:sz="12" w:space="0" w:color="B8860B"/>
        </w:pBdr>
        <w:shd w:val="clear" w:color="auto" w:fill="FBF3DE"/>
        <w:spacing w:before="200" w:after="200"/>
      </w:pPr>
      <w:r>
        <w:rPr>
          <w:b/>
          <w:bCs/>
          <w:color w:val="1B2A4A"/>
          <w:sz w:val="27"/>
          <w:szCs w:val="27"/>
          <w:rtl/>
        </w:rPr>
        <w:t>يَوْمَ تَشْهَدُ عَلَيْهِمْ أَلْسِنَتُهُمْ وَأَيْدِيهِمْ وَأَرْجُلُهُم بِمَا كَانُوا يَعْمَلُونَ [النور: 24]</w:t>
      </w:r>
    </w:p>
    <w:p w14:paraId="456FE24C" w14:textId="77777777" w:rsidR="00251567" w:rsidRDefault="002006A7" w:rsidP="007D1F30">
      <w:pPr>
        <w:spacing w:after="200" w:line="340" w:lineRule="auto"/>
        <w:ind w:firstLine="340"/>
      </w:pPr>
      <w:r>
        <w:rPr>
          <w:color w:val="222222"/>
          <w:rtl/>
        </w:rPr>
        <w:t xml:space="preserve">وهذا – كما "يُعبر" عنه "الزراع" – "يَجعل" من "الجسد" "كيانًا أخلاقيًا" </w:t>
      </w:r>
      <w:proofErr w:type="spellStart"/>
      <w:r>
        <w:rPr>
          <w:color w:val="222222"/>
          <w:rtl/>
        </w:rPr>
        <w:t>و"شريكًا</w:t>
      </w:r>
      <w:proofErr w:type="spellEnd"/>
      <w:r>
        <w:rPr>
          <w:color w:val="222222"/>
          <w:rtl/>
        </w:rPr>
        <w:t>" في "المسؤولية"، لا "مجرد" "أداة" "محايدة".</w:t>
      </w:r>
    </w:p>
    <w:p w14:paraId="70494BAF" w14:textId="77777777" w:rsidR="00251567" w:rsidRDefault="002006A7" w:rsidP="007D1F30">
      <w:pPr>
        <w:pStyle w:val="2"/>
        <w:pBdr>
          <w:bottom w:val="single" w:sz="8" w:space="0" w:color="116466"/>
        </w:pBdr>
        <w:bidi/>
        <w:spacing w:before="360" w:after="180"/>
      </w:pPr>
      <w:r>
        <w:rPr>
          <w:b/>
          <w:bCs/>
          <w:color w:val="116466"/>
          <w:sz w:val="27"/>
          <w:szCs w:val="27"/>
          <w:rtl/>
        </w:rPr>
        <w:t xml:space="preserve">1.3 "الجسد المعيش" عند </w:t>
      </w:r>
      <w:proofErr w:type="spellStart"/>
      <w:r>
        <w:rPr>
          <w:b/>
          <w:bCs/>
          <w:color w:val="116466"/>
          <w:sz w:val="27"/>
          <w:szCs w:val="27"/>
          <w:rtl/>
        </w:rPr>
        <w:t>ميرلو</w:t>
      </w:r>
      <w:proofErr w:type="spellEnd"/>
      <w:r>
        <w:rPr>
          <w:b/>
          <w:bCs/>
          <w:color w:val="116466"/>
          <w:sz w:val="27"/>
          <w:szCs w:val="27"/>
          <w:rtl/>
        </w:rPr>
        <w:t>-بونتي: أقرب النماذج الغربية وأبعدها</w:t>
      </w:r>
    </w:p>
    <w:p w14:paraId="46E95CC1" w14:textId="77777777" w:rsidR="00251567" w:rsidRDefault="002006A7" w:rsidP="007D1F30">
      <w:pPr>
        <w:spacing w:after="200" w:line="340" w:lineRule="auto"/>
        <w:ind w:firstLine="340"/>
      </w:pPr>
      <w:r>
        <w:rPr>
          <w:color w:val="222222"/>
          <w:rtl/>
        </w:rPr>
        <w:t xml:space="preserve">من بين تيارات الفلسفة الغربية المعاصرة، يمثّل موريس </w:t>
      </w:r>
      <w:proofErr w:type="spellStart"/>
      <w:r>
        <w:rPr>
          <w:color w:val="222222"/>
          <w:rtl/>
        </w:rPr>
        <w:t>ميرلو</w:t>
      </w:r>
      <w:proofErr w:type="spellEnd"/>
      <w:r>
        <w:rPr>
          <w:color w:val="222222"/>
          <w:rtl/>
        </w:rPr>
        <w:t>-بونتي الاستثناء الأبرز لثنائية "السجن" و"الآلة": فهو يرفض في "ظاهريات الإدراك" اعتبار الجسد موضوعًا (</w:t>
      </w:r>
      <w:proofErr w:type="spellStart"/>
      <w:r>
        <w:rPr>
          <w:color w:val="222222"/>
          <w:rtl/>
        </w:rPr>
        <w:t>Körper</w:t>
      </w:r>
      <w:proofErr w:type="spellEnd"/>
      <w:r>
        <w:rPr>
          <w:color w:val="222222"/>
          <w:rtl/>
        </w:rPr>
        <w:t>) يُدرَك من الخارج، ويقترح بدلًا من ذلك مفهوم "الجسد المعيش" أو "الجسد الذات" (</w:t>
      </w:r>
      <w:proofErr w:type="spellStart"/>
      <w:r>
        <w:rPr>
          <w:color w:val="222222"/>
          <w:rtl/>
        </w:rPr>
        <w:t>corps</w:t>
      </w:r>
      <w:proofErr w:type="spellEnd"/>
      <w:r>
        <w:rPr>
          <w:color w:val="222222"/>
          <w:rtl/>
        </w:rPr>
        <w:t xml:space="preserve"> </w:t>
      </w:r>
      <w:proofErr w:type="spellStart"/>
      <w:r>
        <w:rPr>
          <w:color w:val="222222"/>
          <w:rtl/>
        </w:rPr>
        <w:t>propre</w:t>
      </w:r>
      <w:proofErr w:type="spellEnd"/>
      <w:r>
        <w:rPr>
          <w:color w:val="222222"/>
          <w:rtl/>
        </w:rPr>
        <w:t>)، الذي هو الشرط القبلي لكل إدراك وليس نتيجة له؛ فالإنسان لا "يملك" جسدًا بقدر ما "هو" جسده، والوعي – عنده – وعيٌ متجسّد (</w:t>
      </w:r>
      <w:proofErr w:type="spellStart"/>
      <w:r>
        <w:rPr>
          <w:color w:val="222222"/>
          <w:rtl/>
        </w:rPr>
        <w:t>embodied</w:t>
      </w:r>
      <w:proofErr w:type="spellEnd"/>
      <w:r>
        <w:rPr>
          <w:color w:val="222222"/>
          <w:rtl/>
        </w:rPr>
        <w:t xml:space="preserve"> </w:t>
      </w:r>
      <w:proofErr w:type="spellStart"/>
      <w:r>
        <w:rPr>
          <w:color w:val="222222"/>
          <w:rtl/>
        </w:rPr>
        <w:t>consciousness</w:t>
      </w:r>
      <w:proofErr w:type="spellEnd"/>
      <w:r>
        <w:rPr>
          <w:color w:val="222222"/>
          <w:rtl/>
        </w:rPr>
        <w:t>) لا ينفصل عن حركته في العالم.</w:t>
      </w:r>
    </w:p>
    <w:p w14:paraId="01982C69" w14:textId="77777777" w:rsidR="00251567" w:rsidRDefault="002006A7" w:rsidP="007D1F30">
      <w:pPr>
        <w:spacing w:after="200" w:line="340" w:lineRule="auto"/>
        <w:ind w:firstLine="340"/>
      </w:pPr>
      <w:r>
        <w:rPr>
          <w:color w:val="222222"/>
          <w:rtl/>
        </w:rPr>
        <w:t xml:space="preserve">وهذا الطرح يمثّل، من زاوية النموذج الاستخلافي، أقرب نقطة التقاء ممكنة مع الفلسفة الغربية المعاصرة: فكلاهما يرفض اختزال الجسد إلى آلة صامتة، وكلاهما يمنحه دورًا تأسيسيًا لا هامشيًا في تشكّل التجربة الإنسانية. غير أن الفارق الجوهري يبقى قائمًا في نقطتين: الأولى أن "الجسد المعيش" عند </w:t>
      </w:r>
      <w:proofErr w:type="spellStart"/>
      <w:r>
        <w:rPr>
          <w:color w:val="222222"/>
          <w:rtl/>
        </w:rPr>
        <w:t>ميرلو</w:t>
      </w:r>
      <w:proofErr w:type="spellEnd"/>
      <w:r>
        <w:rPr>
          <w:color w:val="222222"/>
          <w:rtl/>
        </w:rPr>
        <w:t xml:space="preserve">-بونتي أفق مغلق على ذاته، لا يتجاوز حدود التجربة </w:t>
      </w:r>
      <w:proofErr w:type="spellStart"/>
      <w:r>
        <w:rPr>
          <w:color w:val="222222"/>
          <w:rtl/>
        </w:rPr>
        <w:t>المعاشة</w:t>
      </w:r>
      <w:proofErr w:type="spellEnd"/>
      <w:r>
        <w:rPr>
          <w:color w:val="222222"/>
          <w:rtl/>
        </w:rPr>
        <w:t xml:space="preserve"> إلى أي مرجعية متعالية، بينما "الجسد </w:t>
      </w:r>
      <w:proofErr w:type="spellStart"/>
      <w:r>
        <w:rPr>
          <w:color w:val="222222"/>
          <w:rtl/>
        </w:rPr>
        <w:t>الأماناتي</w:t>
      </w:r>
      <w:proofErr w:type="spellEnd"/>
      <w:r>
        <w:rPr>
          <w:color w:val="222222"/>
          <w:rtl/>
        </w:rPr>
        <w:t xml:space="preserve">" في النموذج الاستخلافي مفتوح – بنيويًا – على علاقته بالخالق وبيوم الحساب؛ والثانية أن </w:t>
      </w:r>
      <w:proofErr w:type="spellStart"/>
      <w:r>
        <w:rPr>
          <w:color w:val="222222"/>
          <w:rtl/>
        </w:rPr>
        <w:t>الظاهراتية</w:t>
      </w:r>
      <w:proofErr w:type="spellEnd"/>
      <w:r>
        <w:rPr>
          <w:color w:val="222222"/>
          <w:rtl/>
        </w:rPr>
        <w:t xml:space="preserve"> تصف "كيف" يُدرَك الجسد ولا تُقدّم معيارًا أخلاقيًا لـ"ماذا ينبغي" أن يفعله، في حين أن "الوظيفة </w:t>
      </w:r>
      <w:proofErr w:type="spellStart"/>
      <w:r>
        <w:rPr>
          <w:color w:val="222222"/>
          <w:rtl/>
        </w:rPr>
        <w:t>السننية</w:t>
      </w:r>
      <w:proofErr w:type="spellEnd"/>
      <w:r>
        <w:rPr>
          <w:color w:val="222222"/>
          <w:rtl/>
        </w:rPr>
        <w:t>" – كما سيرد في الفصل الثالث – معيار معياري (</w:t>
      </w:r>
      <w:proofErr w:type="spellStart"/>
      <w:r>
        <w:rPr>
          <w:color w:val="222222"/>
          <w:rtl/>
        </w:rPr>
        <w:t>normative</w:t>
      </w:r>
      <w:proofErr w:type="spellEnd"/>
      <w:r>
        <w:rPr>
          <w:color w:val="222222"/>
          <w:rtl/>
        </w:rPr>
        <w:t>) لا وصفي فحسب.</w:t>
      </w:r>
    </w:p>
    <w:p w14:paraId="45EC78E2" w14:textId="77777777" w:rsidR="00251567" w:rsidRDefault="002006A7" w:rsidP="007D1F30">
      <w:pPr>
        <w:pStyle w:val="2"/>
        <w:pBdr>
          <w:bottom w:val="single" w:sz="8" w:space="0" w:color="116466"/>
        </w:pBdr>
        <w:bidi/>
        <w:spacing w:before="360" w:after="180"/>
      </w:pPr>
      <w:r>
        <w:rPr>
          <w:b/>
          <w:bCs/>
          <w:color w:val="116466"/>
          <w:sz w:val="27"/>
          <w:szCs w:val="27"/>
          <w:rtl/>
        </w:rPr>
        <w:t>1.4 مصطلحات "الجسد" في المعجم الإسلامي: جسد، جسم، بدن</w:t>
      </w:r>
    </w:p>
    <w:p w14:paraId="1BE64D8C" w14:textId="77777777" w:rsidR="00251567" w:rsidRDefault="002006A7" w:rsidP="007D1F30">
      <w:pPr>
        <w:spacing w:after="200" w:line="340" w:lineRule="auto"/>
        <w:ind w:firstLine="340"/>
      </w:pPr>
      <w:r>
        <w:rPr>
          <w:color w:val="222222"/>
          <w:rtl/>
        </w:rPr>
        <w:t>لا يكتفي التراث الإسلامي بموقف عام إزاء الجسد، بل يميّز – على مستوى المعجم ذاته – بين ألفاظ متقاربة تحمل ظلالًا دلالية دقيقة: فـ"الجسد" يغلب استعماله على الجثة أو البنية الظاهرة المشاهَدة، ومنه قوله تعالى في قصة العجل: "جَسَدًا لَهُ خُوَارٌ" [الأعراف: 148]، أي هيئة بلا حياة كاملة؛ أما "الجسم" فيشير إلى الحجم والامتداد المادي، ومنه "زَادَهُ بَسْطَةً فِي الْعِلْمِ وَالْجِسْمِ" [البقرة: 247]؛ في حين يُستعمل "البدن" غالبًا لما فيه حياة وحركة، كما في قوله: "فَالْيَوْمَ نُنَجِّيكَ بِبَدَنِكَ" [يونس: 92].</w:t>
      </w:r>
    </w:p>
    <w:p w14:paraId="6D39B1D3" w14:textId="77777777" w:rsidR="00251567" w:rsidRDefault="002006A7" w:rsidP="007D1F30">
      <w:pPr>
        <w:spacing w:after="200" w:line="340" w:lineRule="auto"/>
        <w:ind w:firstLine="340"/>
      </w:pPr>
      <w:r>
        <w:rPr>
          <w:color w:val="222222"/>
          <w:rtl/>
        </w:rPr>
        <w:t>وهذا التمايز المعجمي ليس ترفًا لغويًا، بل يخدم – في القراءة الاستخلافية – التمييز بين ثلاث مراتب لحضور الجسد: الجسد كهيئة قابلة للفناء والتفكك (ومنه معنى الابتلاء والفناء)، والجسم كامتداد مادي خاضع لسنن الخلق والنمو، والبدن كموطن للحياة والفعل والتكليف. وهذا التدرّج يمنح النموذج الاستخلافي أداة اصطلاحية أدق من المفهوم الغربي الموحّد لـ"</w:t>
      </w:r>
      <w:proofErr w:type="spellStart"/>
      <w:r>
        <w:rPr>
          <w:color w:val="222222"/>
          <w:rtl/>
        </w:rPr>
        <w:t>Body</w:t>
      </w:r>
      <w:proofErr w:type="spellEnd"/>
      <w:r>
        <w:rPr>
          <w:color w:val="222222"/>
          <w:rtl/>
        </w:rPr>
        <w:t>"، إذ يتيح الحديث عن "موت البدن" مع "بقاء أثر الجسد" (شهادةً)، وهو تمييز لا نظير له في المعجم الفلسفي الغربي الحديث.</w:t>
      </w:r>
    </w:p>
    <w:p w14:paraId="5967CDCF" w14:textId="77777777" w:rsidR="00251567" w:rsidRDefault="002006A7" w:rsidP="007D1F30">
      <w:pPr>
        <w:pStyle w:val="1"/>
        <w:pBdr>
          <w:left w:val="single" w:sz="24" w:space="0" w:color="B8860B"/>
        </w:pBdr>
        <w:shd w:val="clear" w:color="auto" w:fill="1B2A4A"/>
        <w:bidi/>
        <w:spacing w:before="480" w:after="240"/>
      </w:pPr>
      <w:r>
        <w:rPr>
          <w:b/>
          <w:bCs/>
          <w:color w:val="FFFFFF"/>
          <w:rtl/>
        </w:rPr>
        <w:t xml:space="preserve">  الفصل الثاني: "الجسد" و"نظام التشغيل الفطري" (</w:t>
      </w:r>
      <w:proofErr w:type="spellStart"/>
      <w:r>
        <w:rPr>
          <w:b/>
          <w:bCs/>
          <w:color w:val="FFFFFF"/>
          <w:rtl/>
        </w:rPr>
        <w:t>Moral</w:t>
      </w:r>
      <w:proofErr w:type="spellEnd"/>
      <w:r>
        <w:rPr>
          <w:b/>
          <w:bCs/>
          <w:color w:val="FFFFFF"/>
          <w:rtl/>
        </w:rPr>
        <w:t xml:space="preserve"> OS) – "الاستجابة الفسيولوجية للانحراف"</w:t>
      </w:r>
    </w:p>
    <w:p w14:paraId="7E4F5616" w14:textId="77777777" w:rsidR="00251567" w:rsidRDefault="002006A7" w:rsidP="007D1F30">
      <w:pPr>
        <w:pStyle w:val="2"/>
        <w:pBdr>
          <w:bottom w:val="single" w:sz="8" w:space="0" w:color="116466"/>
        </w:pBdr>
        <w:bidi/>
        <w:spacing w:before="360" w:after="180"/>
      </w:pPr>
      <w:r>
        <w:rPr>
          <w:b/>
          <w:bCs/>
          <w:color w:val="116466"/>
          <w:sz w:val="27"/>
          <w:szCs w:val="27"/>
          <w:rtl/>
        </w:rPr>
        <w:t>2.1 "الجسد" و"الفطرة": "التناغم" و"الاختلال"</w:t>
      </w:r>
    </w:p>
    <w:p w14:paraId="44A68CAB" w14:textId="77777777" w:rsidR="00251567" w:rsidRDefault="002006A7" w:rsidP="007D1F30">
      <w:pPr>
        <w:spacing w:after="200" w:line="340" w:lineRule="auto"/>
        <w:ind w:firstLine="340"/>
      </w:pPr>
      <w:r>
        <w:rPr>
          <w:color w:val="222222"/>
          <w:rtl/>
        </w:rPr>
        <w:t>ينطلق "علم النفس الاستخلافي" – في "تحليله" للجسد – من "مفهوم" "القاعدة الفطرية" (</w:t>
      </w:r>
      <w:proofErr w:type="spellStart"/>
      <w:r>
        <w:rPr>
          <w:color w:val="222222"/>
          <w:rtl/>
        </w:rPr>
        <w:t>Moral</w:t>
      </w:r>
      <w:proofErr w:type="spellEnd"/>
      <w:r>
        <w:rPr>
          <w:color w:val="222222"/>
          <w:rtl/>
        </w:rPr>
        <w:t xml:space="preserve"> OS). فـ"الجسد" – كما "يرى" – "مُصمم" "لينسجم" مع "الفطرة" و"الوحي". وعندما "يَلتزم" الإنسان بـ"أوامر" "الله" </w:t>
      </w:r>
      <w:proofErr w:type="spellStart"/>
      <w:r>
        <w:rPr>
          <w:color w:val="222222"/>
          <w:rtl/>
        </w:rPr>
        <w:t>و"يَجتنب</w:t>
      </w:r>
      <w:proofErr w:type="spellEnd"/>
      <w:r>
        <w:rPr>
          <w:color w:val="222222"/>
          <w:rtl/>
        </w:rPr>
        <w:t>" "نواهيه"، "يَعيش" "جسده" في "حالة" من "التناغم" و"التوازن" (</w:t>
      </w:r>
      <w:proofErr w:type="spellStart"/>
      <w:r>
        <w:rPr>
          <w:color w:val="222222"/>
          <w:rtl/>
        </w:rPr>
        <w:t>Homeostasis</w:t>
      </w:r>
      <w:proofErr w:type="spellEnd"/>
      <w:r>
        <w:rPr>
          <w:color w:val="222222"/>
          <w:rtl/>
        </w:rPr>
        <w:t xml:space="preserve">). أما عندما "يَنحرف" </w:t>
      </w:r>
      <w:proofErr w:type="spellStart"/>
      <w:r>
        <w:rPr>
          <w:color w:val="222222"/>
          <w:rtl/>
        </w:rPr>
        <w:t>و"يَرتكب</w:t>
      </w:r>
      <w:proofErr w:type="spellEnd"/>
      <w:r>
        <w:rPr>
          <w:color w:val="222222"/>
          <w:rtl/>
        </w:rPr>
        <w:t>" "المعاصي" و"الذنوب"، فإن "هذا الاختلال الأخلاقي" "يَنعكس" – "فسيولوجيًا" – على "الجسد" [770، 777].</w:t>
      </w:r>
    </w:p>
    <w:p w14:paraId="446F4D91" w14:textId="77777777" w:rsidR="00251567" w:rsidRDefault="002006A7" w:rsidP="007D1F30">
      <w:pPr>
        <w:spacing w:after="200" w:line="340" w:lineRule="auto"/>
        <w:ind w:firstLine="340"/>
      </w:pPr>
      <w:r>
        <w:rPr>
          <w:color w:val="222222"/>
          <w:rtl/>
        </w:rPr>
        <w:t xml:space="preserve">وهذا "الانعكاس" – كما "يُفسره" "علم النفس الاستخلافي" – يحدث عبر "سيادة الجهاز العصبي </w:t>
      </w:r>
      <w:proofErr w:type="spellStart"/>
      <w:r>
        <w:rPr>
          <w:color w:val="222222"/>
          <w:rtl/>
        </w:rPr>
        <w:t>السمبثاوي</w:t>
      </w:r>
      <w:proofErr w:type="spellEnd"/>
      <w:r>
        <w:rPr>
          <w:color w:val="222222"/>
          <w:rtl/>
        </w:rPr>
        <w:t xml:space="preserve">" (المسؤول عن "الاستجابة للضغط") و"ارتفاع مستويات الكورتيزول" (هرمون التوتر)، وهو ما يُعرف في الأدبيات النفس-عصبية بـ"محور الوطاء-النخامة-الكظر" (HPA </w:t>
      </w:r>
      <w:proofErr w:type="spellStart"/>
      <w:r>
        <w:rPr>
          <w:color w:val="222222"/>
          <w:rtl/>
        </w:rPr>
        <w:t>Axis</w:t>
      </w:r>
      <w:proofErr w:type="spellEnd"/>
      <w:r>
        <w:rPr>
          <w:color w:val="222222"/>
          <w:rtl/>
        </w:rPr>
        <w:t>). فـ"الكذب المزمن"، و"الظلم"، و"الحسد"، و"الغضب" – كلها "أمراض أخلاقية" "تُترجم" – في "الجسد" – إلى "أمراض عضوية" أو "نفس-جسدية" (</w:t>
      </w:r>
      <w:proofErr w:type="spellStart"/>
      <w:r>
        <w:rPr>
          <w:color w:val="222222"/>
          <w:rtl/>
        </w:rPr>
        <w:t>Psychosomatic</w:t>
      </w:r>
      <w:proofErr w:type="spellEnd"/>
      <w:r>
        <w:rPr>
          <w:color w:val="222222"/>
          <w:rtl/>
        </w:rPr>
        <w:t>). وهذا – كما "يُؤكد" – هو "معنى" "الحديث" "النبوي":</w:t>
      </w:r>
    </w:p>
    <w:p w14:paraId="7CFF9E85" w14:textId="77777777" w:rsidR="00251567" w:rsidRDefault="002006A7" w:rsidP="007D1F30">
      <w:pPr>
        <w:pBdr>
          <w:top w:val="single" w:sz="8" w:space="0" w:color="116466"/>
          <w:left w:val="single" w:sz="8" w:space="0" w:color="116466"/>
          <w:bottom w:val="single" w:sz="8" w:space="0" w:color="116466"/>
          <w:right w:val="single" w:sz="8" w:space="0" w:color="116466"/>
        </w:pBdr>
        <w:shd w:val="clear" w:color="auto" w:fill="E8F0EF"/>
        <w:spacing w:before="200" w:after="200"/>
      </w:pPr>
      <w:r>
        <w:rPr>
          <w:i/>
          <w:iCs/>
          <w:color w:val="116466"/>
          <w:rtl/>
        </w:rPr>
        <w:t>ألا وإن في الجسد مضغة إذا صلحت صلح الجسد كله، وإذا فسدت فسد الجسد كله، ألا وهي القلب (رواه البخاري ومسلم)</w:t>
      </w:r>
    </w:p>
    <w:p w14:paraId="75715544" w14:textId="77777777" w:rsidR="00251567" w:rsidRDefault="002006A7" w:rsidP="007D1F30">
      <w:pPr>
        <w:spacing w:after="200" w:line="340" w:lineRule="auto"/>
        <w:ind w:firstLine="340"/>
      </w:pPr>
      <w:r>
        <w:rPr>
          <w:color w:val="222222"/>
          <w:rtl/>
        </w:rPr>
        <w:t>فـ"القلب" – هنا – ليس "مجرد" "عضو"، بل هو "مركز" "الأخلاق" و"الإيمان". و"صلاحه" أو "فساده" "يُحدد" – بشكل "مُباشر" – "صحة" "الجسد" أو "مرضه" [772، 780، 781].</w:t>
      </w:r>
    </w:p>
    <w:p w14:paraId="17E102C6" w14:textId="77777777" w:rsidR="00251567" w:rsidRDefault="002006A7" w:rsidP="00264D53">
      <w:pPr>
        <w:pStyle w:val="2"/>
        <w:pBdr>
          <w:bottom w:val="single" w:sz="8" w:space="0" w:color="116466"/>
        </w:pBdr>
        <w:bidi/>
        <w:spacing w:before="360" w:after="180"/>
      </w:pPr>
      <w:r>
        <w:rPr>
          <w:b/>
          <w:bCs/>
          <w:color w:val="116466"/>
          <w:sz w:val="27"/>
          <w:szCs w:val="27"/>
          <w:rtl/>
        </w:rPr>
        <w:t>2.2 "نظرية الديون النفسية المحتجزة في الأنسجة": "الجسد" و"ذاكرة" "الألم"</w:t>
      </w:r>
    </w:p>
    <w:p w14:paraId="2E341D27" w14:textId="77777777" w:rsidR="00251567" w:rsidRDefault="002006A7" w:rsidP="00264D53">
      <w:pPr>
        <w:spacing w:after="200" w:line="340" w:lineRule="auto"/>
        <w:ind w:firstLine="340"/>
      </w:pPr>
      <w:r>
        <w:rPr>
          <w:color w:val="222222"/>
          <w:rtl/>
        </w:rPr>
        <w:t>من "أبرز" "إسهامات" "علم النفس الاستخلافي" في "فهم" "الجسد" هي "نظرية الديون النفسية المحتجزة في الأنسجة". وهذه "النظرية" "تُؤكد" أن "جراح" "النفس" (كالندم، والذنب غير المُعالج، والصدمات، والأحقاد) "لا تَبقى" "حبيسة" "الخيال" أو "الذاكرة"، بل "تتحول" – عبر "آليات" "نفس-عصبية-مناعية" معقدة – إلى "طاقة محتجزة" في "أنسجة" "الجسد" و"عضلاته" و"أحشائه" [770، 782].</w:t>
      </w:r>
    </w:p>
    <w:p w14:paraId="204F35FD" w14:textId="77777777" w:rsidR="00251567" w:rsidRDefault="002006A7" w:rsidP="00264D53">
      <w:pPr>
        <w:spacing w:after="200" w:line="340" w:lineRule="auto"/>
        <w:ind w:firstLine="340"/>
      </w:pPr>
      <w:r>
        <w:rPr>
          <w:color w:val="222222"/>
          <w:rtl/>
        </w:rPr>
        <w:t>فـ"القولون العصبي" (</w:t>
      </w:r>
      <w:proofErr w:type="spellStart"/>
      <w:r>
        <w:rPr>
          <w:color w:val="222222"/>
          <w:rtl/>
        </w:rPr>
        <w:t>Irritable</w:t>
      </w:r>
      <w:proofErr w:type="spellEnd"/>
      <w:r>
        <w:rPr>
          <w:color w:val="222222"/>
          <w:rtl/>
        </w:rPr>
        <w:t xml:space="preserve"> </w:t>
      </w:r>
      <w:proofErr w:type="spellStart"/>
      <w:r>
        <w:rPr>
          <w:color w:val="222222"/>
          <w:rtl/>
        </w:rPr>
        <w:t>Bowel</w:t>
      </w:r>
      <w:proofErr w:type="spellEnd"/>
      <w:r>
        <w:rPr>
          <w:color w:val="222222"/>
          <w:rtl/>
        </w:rPr>
        <w:t xml:space="preserve"> </w:t>
      </w:r>
      <w:proofErr w:type="spellStart"/>
      <w:r>
        <w:rPr>
          <w:color w:val="222222"/>
          <w:rtl/>
        </w:rPr>
        <w:t>Syndrome</w:t>
      </w:r>
      <w:proofErr w:type="spellEnd"/>
      <w:r>
        <w:rPr>
          <w:color w:val="222222"/>
          <w:rtl/>
        </w:rPr>
        <w:t xml:space="preserve">)، و"آلام الظهر المزمنة مجهولة السبب"، و"الصداع </w:t>
      </w:r>
      <w:proofErr w:type="spellStart"/>
      <w:r>
        <w:rPr>
          <w:color w:val="222222"/>
          <w:rtl/>
        </w:rPr>
        <w:t>التوتري</w:t>
      </w:r>
      <w:proofErr w:type="spellEnd"/>
      <w:r>
        <w:rPr>
          <w:color w:val="222222"/>
          <w:rtl/>
        </w:rPr>
        <w:t>" (</w:t>
      </w:r>
      <w:proofErr w:type="spellStart"/>
      <w:r>
        <w:rPr>
          <w:color w:val="222222"/>
          <w:rtl/>
        </w:rPr>
        <w:t>Tension</w:t>
      </w:r>
      <w:proofErr w:type="spellEnd"/>
      <w:r>
        <w:rPr>
          <w:color w:val="222222"/>
          <w:rtl/>
        </w:rPr>
        <w:t xml:space="preserve"> </w:t>
      </w:r>
      <w:proofErr w:type="spellStart"/>
      <w:r>
        <w:rPr>
          <w:color w:val="222222"/>
          <w:rtl/>
        </w:rPr>
        <w:t>Headache</w:t>
      </w:r>
      <w:proofErr w:type="spellEnd"/>
      <w:r>
        <w:rPr>
          <w:color w:val="222222"/>
          <w:rtl/>
        </w:rPr>
        <w:t>)، و"الألم العضلي الليفي" (</w:t>
      </w:r>
      <w:proofErr w:type="spellStart"/>
      <w:r>
        <w:rPr>
          <w:color w:val="222222"/>
          <w:rtl/>
        </w:rPr>
        <w:t>Fibromyalgia</w:t>
      </w:r>
      <w:proofErr w:type="spellEnd"/>
      <w:r>
        <w:rPr>
          <w:color w:val="222222"/>
          <w:rtl/>
        </w:rPr>
        <w:t>) – هي – في "كثير" من "الأحيان" – "لغة للفطرة" و"احتجاج" "جسدي" على "مخالفة السنن الأخلاقية"، و"تعبير" "مادي" عن "ديون نفسية" لم "تُسدد". وهذا – كما "يُلاحظ" – "يَتطابق" مع "أحدث" "ما توصل إليه" "علم المناعة العصبية النفسية" (</w:t>
      </w:r>
      <w:proofErr w:type="spellStart"/>
      <w:r>
        <w:rPr>
          <w:color w:val="222222"/>
          <w:rtl/>
        </w:rPr>
        <w:t>Psychoneuroimmunology</w:t>
      </w:r>
      <w:proofErr w:type="spellEnd"/>
      <w:r>
        <w:rPr>
          <w:color w:val="222222"/>
          <w:rtl/>
        </w:rPr>
        <w:t>) الذي "يُثبت" "الارتباط" "الوثيق" بين "الضغط النفسي" و"الالتهابات" و"الأمراض المزمنة" [783، 785، 794].</w:t>
      </w:r>
    </w:p>
    <w:p w14:paraId="19D6F611" w14:textId="77777777" w:rsidR="00251567" w:rsidRDefault="002006A7" w:rsidP="00264D53">
      <w:pPr>
        <w:pStyle w:val="2"/>
        <w:pBdr>
          <w:bottom w:val="single" w:sz="8" w:space="0" w:color="116466"/>
        </w:pBdr>
        <w:bidi/>
        <w:spacing w:before="360" w:after="180"/>
      </w:pPr>
      <w:r>
        <w:rPr>
          <w:b/>
          <w:bCs/>
          <w:color w:val="116466"/>
          <w:sz w:val="27"/>
          <w:szCs w:val="27"/>
          <w:rtl/>
        </w:rPr>
        <w:t>2.3 الجسد ضمن "النموذج الهرمي": الضلع الثامن ومساره الفسيولوجي</w:t>
      </w:r>
    </w:p>
    <w:p w14:paraId="66AAA4C5" w14:textId="77777777" w:rsidR="00251567" w:rsidRDefault="002006A7" w:rsidP="00264D53">
      <w:pPr>
        <w:spacing w:after="200" w:line="340" w:lineRule="auto"/>
        <w:ind w:firstLine="340"/>
      </w:pPr>
      <w:r>
        <w:rPr>
          <w:color w:val="222222"/>
          <w:rtl/>
        </w:rPr>
        <w:t>إذا كان "النموذج الهرمي" للأضلاع الثمانية يصف المسار النفسي-الروحي من "النفس الأمارة" إلى "النفس المطمئنة"، فإن ما تضيفه هذه القراءة الموسّعة هو تتبّع الترجمة الفسيولوجية لكل مرحلة من هذا المسار على مستوى الجسد لا الجهاز النفسي وحده. ففي مرحلة "الأمارة"، يغلب على الجسد نمط "الإثارة المزمنة" (</w:t>
      </w:r>
      <w:proofErr w:type="spellStart"/>
      <w:r>
        <w:rPr>
          <w:color w:val="222222"/>
          <w:rtl/>
        </w:rPr>
        <w:t>Chronic</w:t>
      </w:r>
      <w:proofErr w:type="spellEnd"/>
      <w:r>
        <w:rPr>
          <w:color w:val="222222"/>
          <w:rtl/>
        </w:rPr>
        <w:t xml:space="preserve"> </w:t>
      </w:r>
      <w:proofErr w:type="spellStart"/>
      <w:r>
        <w:rPr>
          <w:color w:val="222222"/>
          <w:rtl/>
        </w:rPr>
        <w:t>Arousal</w:t>
      </w:r>
      <w:proofErr w:type="spellEnd"/>
      <w:r>
        <w:rPr>
          <w:color w:val="222222"/>
          <w:rtl/>
        </w:rPr>
        <w:t xml:space="preserve">): تسارع نبض، اضطراب هضمي، توتر عضلي مستمر، واضطراب في إيقاع النوم </w:t>
      </w:r>
      <w:proofErr w:type="spellStart"/>
      <w:r>
        <w:rPr>
          <w:color w:val="222222"/>
          <w:rtl/>
        </w:rPr>
        <w:t>اليوماوي</w:t>
      </w:r>
      <w:proofErr w:type="spellEnd"/>
      <w:r>
        <w:rPr>
          <w:color w:val="222222"/>
          <w:rtl/>
        </w:rPr>
        <w:t xml:space="preserve"> (</w:t>
      </w:r>
      <w:proofErr w:type="spellStart"/>
      <w:r>
        <w:rPr>
          <w:color w:val="222222"/>
          <w:rtl/>
        </w:rPr>
        <w:t>Circadian</w:t>
      </w:r>
      <w:proofErr w:type="spellEnd"/>
      <w:r>
        <w:rPr>
          <w:color w:val="222222"/>
          <w:rtl/>
        </w:rPr>
        <w:t xml:space="preserve"> </w:t>
      </w:r>
      <w:proofErr w:type="spellStart"/>
      <w:r>
        <w:rPr>
          <w:color w:val="222222"/>
          <w:rtl/>
        </w:rPr>
        <w:t>Rhythm</w:t>
      </w:r>
      <w:proofErr w:type="spellEnd"/>
      <w:r>
        <w:rPr>
          <w:color w:val="222222"/>
          <w:rtl/>
        </w:rPr>
        <w:t xml:space="preserve">)؛ وفي مرحلة "اللوامة"، يبدأ الجسد – عبر ما يُسمى "التنظيم الذاتي التكيفي" – في محاولات متذبذبة لاستعادة التوازن، فتظهر أعراض بينية كالأرق المتقطع أو التوتر الموضعي؛ حتى إذا بلغت النفس مقام "المطمئنة" (الضلع الثامن)، يستقر الجسد على النمط </w:t>
      </w:r>
      <w:proofErr w:type="spellStart"/>
      <w:r>
        <w:rPr>
          <w:color w:val="222222"/>
          <w:rtl/>
        </w:rPr>
        <w:t>الباراسمبثاوي</w:t>
      </w:r>
      <w:proofErr w:type="spellEnd"/>
      <w:r>
        <w:rPr>
          <w:color w:val="222222"/>
          <w:rtl/>
        </w:rPr>
        <w:t xml:space="preserve"> السائد الذي فُصّل في المبحث الثالث من الفصل الثالث لاحقًا.</w:t>
      </w:r>
    </w:p>
    <w:p w14:paraId="3B7FF50E" w14:textId="77777777" w:rsidR="00251567" w:rsidRDefault="002006A7" w:rsidP="00264D53">
      <w:pPr>
        <w:spacing w:after="200" w:line="340" w:lineRule="auto"/>
        <w:ind w:firstLine="340"/>
      </w:pPr>
      <w:r>
        <w:rPr>
          <w:color w:val="222222"/>
          <w:rtl/>
        </w:rPr>
        <w:t>وهذا التدرّج الثلاثي – الذي لم يكن مفصّلًا في الصياغة الأولى للنموذج – يمنح "الأضلاع الثمانية" بُعدًا قابلًا للرصد الإكلينيكي، إذ يمكن للمعالج ضمن بروتوكول TLRT أن يستأنس بمؤشرات فسيولوجية بسيطة (تقلب معدل ضربات القلب HRV، جودة النوم) كعلامات مساعدة – لا حاسمة – على موقع المريض في هذا المسار، دون الوقوع في اختزال الحالة الروحية إلى قراءة جهاز قياس، وهو تحذير سنعود إليه بتفصيل أكبر في الفصل السادس.</w:t>
      </w:r>
    </w:p>
    <w:p w14:paraId="36E8EB9C" w14:textId="77777777" w:rsidR="00251567" w:rsidRDefault="002006A7" w:rsidP="00264D53">
      <w:pPr>
        <w:pStyle w:val="1"/>
        <w:pBdr>
          <w:left w:val="single" w:sz="24" w:space="0" w:color="B8860B"/>
        </w:pBdr>
        <w:shd w:val="clear" w:color="auto" w:fill="1B2A4A"/>
        <w:bidi/>
        <w:spacing w:before="480" w:after="240"/>
      </w:pPr>
      <w:r>
        <w:rPr>
          <w:b/>
          <w:bCs/>
          <w:color w:val="FFFFFF"/>
          <w:rtl/>
        </w:rPr>
        <w:t xml:space="preserve">  الفصل الثالث: "الوظيفة </w:t>
      </w:r>
      <w:proofErr w:type="spellStart"/>
      <w:r>
        <w:rPr>
          <w:b/>
          <w:bCs/>
          <w:color w:val="FFFFFF"/>
          <w:rtl/>
        </w:rPr>
        <w:t>السُّنَنِيَّة</w:t>
      </w:r>
      <w:proofErr w:type="spellEnd"/>
      <w:r>
        <w:rPr>
          <w:b/>
          <w:bCs/>
          <w:color w:val="FFFFFF"/>
          <w:rtl/>
        </w:rPr>
        <w:t>" للجوارح – "الجسد" و"العمارة" و"انشراح الصدر"</w:t>
      </w:r>
    </w:p>
    <w:p w14:paraId="20A38B20" w14:textId="77777777" w:rsidR="00251567" w:rsidRDefault="002006A7" w:rsidP="00264D53">
      <w:pPr>
        <w:pStyle w:val="2"/>
        <w:pBdr>
          <w:bottom w:val="single" w:sz="8" w:space="0" w:color="116466"/>
        </w:pBdr>
        <w:bidi/>
        <w:spacing w:before="360" w:after="180"/>
      </w:pPr>
      <w:r>
        <w:rPr>
          <w:b/>
          <w:bCs/>
          <w:color w:val="116466"/>
          <w:sz w:val="27"/>
          <w:szCs w:val="27"/>
          <w:rtl/>
        </w:rPr>
        <w:t>3.1 "الجوارح" و"التكليف": "اليد" و"العين" و"اللسان"</w:t>
      </w:r>
    </w:p>
    <w:p w14:paraId="3D1D2118" w14:textId="77777777" w:rsidR="00251567" w:rsidRDefault="002006A7" w:rsidP="00264D53">
      <w:pPr>
        <w:spacing w:after="200" w:line="340" w:lineRule="auto"/>
        <w:ind w:firstLine="340"/>
      </w:pPr>
      <w:r>
        <w:rPr>
          <w:color w:val="222222"/>
          <w:rtl/>
        </w:rPr>
        <w:t>في "النموذج الاستخلافي"، "الجسد" ليس "مجرد" "مستقبل" "للأحاسيس" و"الآلام"، بل هو – قبل ذلك – "أداة" "للفعل" و"للعمارة" و"للإحسان". و"الجوارح" (اليد، العين، اللسان، الأذن، الرجل) هي "أدوات التكليف" التي "سيُسأل" عنها "الإنسان".</w:t>
      </w:r>
    </w:p>
    <w:p w14:paraId="218B60B9" w14:textId="77777777" w:rsidR="00251567" w:rsidRDefault="002006A7" w:rsidP="00264D53">
      <w:pPr>
        <w:pBdr>
          <w:top w:val="single" w:sz="12" w:space="0" w:color="B8860B"/>
          <w:left w:val="single" w:sz="12" w:space="0" w:color="B8860B"/>
          <w:bottom w:val="single" w:sz="12" w:space="0" w:color="B8860B"/>
          <w:right w:val="single" w:sz="12" w:space="0" w:color="B8860B"/>
        </w:pBdr>
        <w:shd w:val="clear" w:color="auto" w:fill="FBF3DE"/>
        <w:spacing w:before="200" w:after="200"/>
      </w:pPr>
      <w:r>
        <w:rPr>
          <w:b/>
          <w:bCs/>
          <w:color w:val="1B2A4A"/>
          <w:sz w:val="27"/>
          <w:szCs w:val="27"/>
          <w:rtl/>
        </w:rPr>
        <w:t xml:space="preserve">إِنَّ السَّمْعَ وَالْبَصَرَ وَالْفُؤَادَ كُلُّ </w:t>
      </w:r>
      <w:proofErr w:type="spellStart"/>
      <w:r>
        <w:rPr>
          <w:b/>
          <w:bCs/>
          <w:color w:val="1B2A4A"/>
          <w:sz w:val="27"/>
          <w:szCs w:val="27"/>
          <w:rtl/>
        </w:rPr>
        <w:t>أُولَٰئِكَ</w:t>
      </w:r>
      <w:proofErr w:type="spellEnd"/>
      <w:r>
        <w:rPr>
          <w:b/>
          <w:bCs/>
          <w:color w:val="1B2A4A"/>
          <w:sz w:val="27"/>
          <w:szCs w:val="27"/>
          <w:rtl/>
        </w:rPr>
        <w:t xml:space="preserve"> كَانَ عَنْهُ مَسْئُولًا [الإسراء: 36]</w:t>
      </w:r>
    </w:p>
    <w:p w14:paraId="7B0A6C39" w14:textId="77777777" w:rsidR="00251567" w:rsidRDefault="002006A7" w:rsidP="00264D53">
      <w:pPr>
        <w:spacing w:after="200" w:line="340" w:lineRule="auto"/>
        <w:ind w:firstLine="340"/>
      </w:pPr>
      <w:r>
        <w:rPr>
          <w:color w:val="222222"/>
          <w:rtl/>
        </w:rPr>
        <w:t xml:space="preserve">و"الوظيفة </w:t>
      </w:r>
      <w:proofErr w:type="spellStart"/>
      <w:r>
        <w:rPr>
          <w:color w:val="222222"/>
          <w:rtl/>
        </w:rPr>
        <w:t>السُّنَنِيَّة</w:t>
      </w:r>
      <w:proofErr w:type="spellEnd"/>
      <w:r>
        <w:rPr>
          <w:color w:val="222222"/>
          <w:rtl/>
        </w:rPr>
        <w:t xml:space="preserve">" للجوارح – كما "يُعرفها" "علم النفس الاستخلافي" – هي أن "تَنضبط" بـ"الشريعة" و"تتحول" إلى "أدوات للعمارة والإحسان". فـ"اليد" – مثلاً – "وظيفتها </w:t>
      </w:r>
      <w:proofErr w:type="spellStart"/>
      <w:r>
        <w:rPr>
          <w:color w:val="222222"/>
          <w:rtl/>
        </w:rPr>
        <w:t>السننية</w:t>
      </w:r>
      <w:proofErr w:type="spellEnd"/>
      <w:r>
        <w:rPr>
          <w:color w:val="222222"/>
          <w:rtl/>
        </w:rPr>
        <w:t xml:space="preserve">" ليست "مجرد" "القبض" و"البسط"، بل هي "العمل" و"البناء" و"العطاء" و"الجهاد". و"العين" – "وظيفتها </w:t>
      </w:r>
      <w:proofErr w:type="spellStart"/>
      <w:r>
        <w:rPr>
          <w:color w:val="222222"/>
          <w:rtl/>
        </w:rPr>
        <w:t>السننية</w:t>
      </w:r>
      <w:proofErr w:type="spellEnd"/>
      <w:r>
        <w:rPr>
          <w:color w:val="222222"/>
          <w:rtl/>
        </w:rPr>
        <w:t xml:space="preserve">" ليست "مجرد" "الرؤية"، بل هي "التأمل" و"التدبر" </w:t>
      </w:r>
      <w:proofErr w:type="spellStart"/>
      <w:r>
        <w:rPr>
          <w:color w:val="222222"/>
          <w:rtl/>
        </w:rPr>
        <w:t>و"غض</w:t>
      </w:r>
      <w:proofErr w:type="spellEnd"/>
      <w:r>
        <w:rPr>
          <w:color w:val="222222"/>
          <w:rtl/>
        </w:rPr>
        <w:t xml:space="preserve"> البصر عن الحرام". و"اللسان" – "وظيفته </w:t>
      </w:r>
      <w:proofErr w:type="spellStart"/>
      <w:r>
        <w:rPr>
          <w:color w:val="222222"/>
          <w:rtl/>
        </w:rPr>
        <w:t>السننية</w:t>
      </w:r>
      <w:proofErr w:type="spellEnd"/>
      <w:r>
        <w:rPr>
          <w:color w:val="222222"/>
          <w:rtl/>
        </w:rPr>
        <w:t>" ليست "مجرد" "النطق"، بل هو "الذكر" و"الدعوة" و"الصدق" [992، 1307].</w:t>
      </w:r>
    </w:p>
    <w:p w14:paraId="59E6D0CC" w14:textId="77777777" w:rsidR="00251567" w:rsidRDefault="002006A7" w:rsidP="00264D53">
      <w:pPr>
        <w:pStyle w:val="2"/>
        <w:pBdr>
          <w:bottom w:val="single" w:sz="8" w:space="0" w:color="116466"/>
        </w:pBdr>
        <w:bidi/>
        <w:spacing w:before="360" w:after="180"/>
      </w:pPr>
      <w:r>
        <w:rPr>
          <w:b/>
          <w:bCs/>
          <w:color w:val="116466"/>
          <w:sz w:val="27"/>
          <w:szCs w:val="27"/>
          <w:rtl/>
        </w:rPr>
        <w:t>3.2 "انشراح الصدر": "فسيولوجيا" "الطمأنينة"</w:t>
      </w:r>
    </w:p>
    <w:p w14:paraId="06E51953" w14:textId="77777777" w:rsidR="00251567" w:rsidRDefault="002006A7" w:rsidP="00264D53">
      <w:pPr>
        <w:spacing w:after="200" w:line="340" w:lineRule="auto"/>
        <w:ind w:firstLine="340"/>
      </w:pPr>
      <w:r>
        <w:rPr>
          <w:color w:val="222222"/>
          <w:rtl/>
        </w:rPr>
        <w:t xml:space="preserve">عندما "تؤدي" "الجوارح" "وظيفتها </w:t>
      </w:r>
      <w:proofErr w:type="spellStart"/>
      <w:r>
        <w:rPr>
          <w:color w:val="222222"/>
          <w:rtl/>
        </w:rPr>
        <w:t>السننية</w:t>
      </w:r>
      <w:proofErr w:type="spellEnd"/>
      <w:r>
        <w:rPr>
          <w:color w:val="222222"/>
          <w:rtl/>
        </w:rPr>
        <w:t xml:space="preserve">" </w:t>
      </w:r>
      <w:proofErr w:type="spellStart"/>
      <w:r>
        <w:rPr>
          <w:color w:val="222222"/>
          <w:rtl/>
        </w:rPr>
        <w:t>و"تَنضبط</w:t>
      </w:r>
      <w:proofErr w:type="spellEnd"/>
      <w:r>
        <w:rPr>
          <w:color w:val="222222"/>
          <w:rtl/>
        </w:rPr>
        <w:t xml:space="preserve">" بـ"الشريعة"، "تَصل" "النفس" إلى "مقام" "المطمئنة"، </w:t>
      </w:r>
      <w:proofErr w:type="spellStart"/>
      <w:r>
        <w:rPr>
          <w:color w:val="222222"/>
          <w:rtl/>
        </w:rPr>
        <w:t>و"يَتحقق</w:t>
      </w:r>
      <w:proofErr w:type="spellEnd"/>
      <w:r>
        <w:rPr>
          <w:color w:val="222222"/>
          <w:rtl/>
        </w:rPr>
        <w:t>" – في "الجسد" – ما "يُسميه" "علم النفس الاستخلافي" "انشراح الصدر". وهذه "الحالة" – كما "يُؤكد" – ليست "مجرد" "استعارة" "بلاغية"، بل هي "حالة فسيولوجية" "حقيقية" و"قابلة للقياس": "اتساع" في "التنفس"، و"انتظام" في "ضربات القلب"، و"انخفاض" في "توتر العضلات"، و"سيادة" للجهاز "</w:t>
      </w:r>
      <w:proofErr w:type="spellStart"/>
      <w:r>
        <w:rPr>
          <w:color w:val="222222"/>
          <w:rtl/>
        </w:rPr>
        <w:t>الباراسمبثاوي</w:t>
      </w:r>
      <w:proofErr w:type="spellEnd"/>
      <w:r>
        <w:rPr>
          <w:color w:val="222222"/>
          <w:rtl/>
        </w:rPr>
        <w:t>" (المسؤول عن "الراحة" و"الاسترخاء"). وهذا – في "النموذج الهرمي" – هو "تفعيل" لـ"الضلع الثامن" (رحمة إلهية ← مطمئنة) على "المستوى" "الجسدي" [993، 8</w:t>
      </w:r>
      <w:r>
        <w:rPr>
          <w:color w:val="222222"/>
          <w:rtl/>
        </w:rPr>
        <w:t>07، 808].</w:t>
      </w:r>
    </w:p>
    <w:p w14:paraId="1E093841" w14:textId="77777777" w:rsidR="00251567" w:rsidRDefault="002006A7" w:rsidP="00264D53">
      <w:pPr>
        <w:pStyle w:val="2"/>
        <w:pBdr>
          <w:bottom w:val="single" w:sz="8" w:space="0" w:color="116466"/>
        </w:pBdr>
        <w:bidi/>
        <w:spacing w:before="360" w:after="180"/>
      </w:pPr>
      <w:r>
        <w:rPr>
          <w:b/>
          <w:bCs/>
          <w:color w:val="116466"/>
          <w:sz w:val="27"/>
          <w:szCs w:val="27"/>
          <w:rtl/>
        </w:rPr>
        <w:t>3.3 الجسد بوصفه مسرحًا اجتماعيًا: من غوفمان إلى "الجوارح" الاستخلافية</w:t>
      </w:r>
    </w:p>
    <w:p w14:paraId="62BFEACE" w14:textId="77777777" w:rsidR="00251567" w:rsidRDefault="002006A7" w:rsidP="00264D53">
      <w:pPr>
        <w:spacing w:after="200" w:line="340" w:lineRule="auto"/>
        <w:ind w:firstLine="340"/>
      </w:pPr>
      <w:r>
        <w:rPr>
          <w:color w:val="222222"/>
          <w:rtl/>
        </w:rPr>
        <w:t xml:space="preserve">يفتح مفهوم "الوظيفة </w:t>
      </w:r>
      <w:proofErr w:type="spellStart"/>
      <w:r>
        <w:rPr>
          <w:color w:val="222222"/>
          <w:rtl/>
        </w:rPr>
        <w:t>السننية</w:t>
      </w:r>
      <w:proofErr w:type="spellEnd"/>
      <w:r>
        <w:rPr>
          <w:color w:val="222222"/>
          <w:rtl/>
        </w:rPr>
        <w:t xml:space="preserve">" للجوارح بابًا مثمرًا للحوار مع علم الاجتماع التفاعلي، وتحديدًا مع </w:t>
      </w:r>
      <w:proofErr w:type="spellStart"/>
      <w:r>
        <w:rPr>
          <w:color w:val="222222"/>
          <w:rtl/>
        </w:rPr>
        <w:t>إرفينغ</w:t>
      </w:r>
      <w:proofErr w:type="spellEnd"/>
      <w:r>
        <w:rPr>
          <w:color w:val="222222"/>
          <w:rtl/>
        </w:rPr>
        <w:t xml:space="preserve"> غوفمان، الذي طرح في "تقديم الذات في الحياة اليومية" فكرة أن الجسد ليس أداة صامتة بل "واجهة" (</w:t>
      </w:r>
      <w:proofErr w:type="spellStart"/>
      <w:r>
        <w:rPr>
          <w:color w:val="222222"/>
          <w:rtl/>
        </w:rPr>
        <w:t>Front</w:t>
      </w:r>
      <w:proofErr w:type="spellEnd"/>
      <w:r>
        <w:rPr>
          <w:color w:val="222222"/>
          <w:rtl/>
        </w:rPr>
        <w:t>) يُدار من خلالها الانطباع أمام الآخرين، عبر ما أسماه "الإدارة الانطباعية" (</w:t>
      </w:r>
      <w:proofErr w:type="spellStart"/>
      <w:r>
        <w:rPr>
          <w:color w:val="222222"/>
          <w:rtl/>
        </w:rPr>
        <w:t>Impression</w:t>
      </w:r>
      <w:proofErr w:type="spellEnd"/>
      <w:r>
        <w:rPr>
          <w:color w:val="222222"/>
          <w:rtl/>
        </w:rPr>
        <w:t xml:space="preserve"> </w:t>
      </w:r>
      <w:proofErr w:type="spellStart"/>
      <w:r>
        <w:rPr>
          <w:color w:val="222222"/>
          <w:rtl/>
        </w:rPr>
        <w:t>Management</w:t>
      </w:r>
      <w:proofErr w:type="spellEnd"/>
      <w:r>
        <w:rPr>
          <w:color w:val="222222"/>
          <w:rtl/>
        </w:rPr>
        <w:t>). فالجسد – عند غوفمان – مسرح دائم للأداء الاجتماعي، تتحكم فيه قواعد الموقف (</w:t>
      </w:r>
      <w:proofErr w:type="spellStart"/>
      <w:r>
        <w:rPr>
          <w:color w:val="222222"/>
          <w:rtl/>
        </w:rPr>
        <w:t>Situational</w:t>
      </w:r>
      <w:proofErr w:type="spellEnd"/>
      <w:r>
        <w:rPr>
          <w:color w:val="222222"/>
          <w:rtl/>
        </w:rPr>
        <w:t xml:space="preserve"> </w:t>
      </w:r>
      <w:proofErr w:type="spellStart"/>
      <w:r>
        <w:rPr>
          <w:color w:val="222222"/>
          <w:rtl/>
        </w:rPr>
        <w:t>Proprieties</w:t>
      </w:r>
      <w:proofErr w:type="spellEnd"/>
      <w:r>
        <w:rPr>
          <w:color w:val="222222"/>
          <w:rtl/>
        </w:rPr>
        <w:t>) أكثر مما تتحكم فيه نية الفاعل الداخلية.</w:t>
      </w:r>
    </w:p>
    <w:p w14:paraId="779FCED4" w14:textId="77777777" w:rsidR="00251567" w:rsidRDefault="002006A7" w:rsidP="00264D53">
      <w:pPr>
        <w:spacing w:after="200" w:line="340" w:lineRule="auto"/>
        <w:ind w:firstLine="340"/>
      </w:pPr>
      <w:r>
        <w:rPr>
          <w:color w:val="222222"/>
          <w:rtl/>
        </w:rPr>
        <w:t xml:space="preserve">والمقارنة هنا كاشفة لا مُماثِلة: فبينما يصف غوفمان الجسدَ كأداةٍ لإدارة الصورة أمام "جمهور" بشري متغيّر، يصف النموذج الاستخلافي الجوارح كأداة لتحقيق "وظيفة </w:t>
      </w:r>
      <w:proofErr w:type="spellStart"/>
      <w:r>
        <w:rPr>
          <w:color w:val="222222"/>
          <w:rtl/>
        </w:rPr>
        <w:t>سننية</w:t>
      </w:r>
      <w:proofErr w:type="spellEnd"/>
      <w:r>
        <w:rPr>
          <w:color w:val="222222"/>
          <w:rtl/>
        </w:rPr>
        <w:t xml:space="preserve">" أمام رقيب واحد ثابت هو الله، بصرف النظر عن حضور جمهور بشري أو غيابه. وهذا الفارق يفسّر – من زاوية استخلافية – سرّ "ازدواجية الشخصية" التي يرصدها غوفمان بوصفها ظاهرة اجتماعية عادية (اختلاف الأداء بين "المسرح الأمامي" و"الكواليس")، بينما يراها النموذج الاستخلافي – حين تتجاوز حدها الاجتماعي المقبول إلى النفاق الأخلاقي – أحد أعراض "الفصام الأخلاقي" الذي تناولته دراسة سابقة ضمن هذا المشروع بتفصيل واسع. فالجوارح – في الرؤية الاستخلافية – مطالَبة بوحدة الأداء أمام الرقيب الغائب كما أمام الجمهور الحاضر سواء </w:t>
      </w:r>
      <w:r>
        <w:rPr>
          <w:color w:val="222222"/>
          <w:rtl/>
        </w:rPr>
        <w:t>بسواء، وهو معيار يتجاوز ما يقترحه غوفمان من "اتساق موقفي" (</w:t>
      </w:r>
      <w:proofErr w:type="spellStart"/>
      <w:r>
        <w:rPr>
          <w:color w:val="222222"/>
          <w:rtl/>
        </w:rPr>
        <w:t>Situational</w:t>
      </w:r>
      <w:proofErr w:type="spellEnd"/>
      <w:r>
        <w:rPr>
          <w:color w:val="222222"/>
          <w:rtl/>
        </w:rPr>
        <w:t xml:space="preserve"> </w:t>
      </w:r>
      <w:proofErr w:type="spellStart"/>
      <w:r>
        <w:rPr>
          <w:color w:val="222222"/>
          <w:rtl/>
        </w:rPr>
        <w:t>Consistency</w:t>
      </w:r>
      <w:proofErr w:type="spellEnd"/>
      <w:r>
        <w:rPr>
          <w:color w:val="222222"/>
          <w:rtl/>
        </w:rPr>
        <w:t>) إلى "اتساق وجودي" (</w:t>
      </w:r>
      <w:proofErr w:type="spellStart"/>
      <w:r>
        <w:rPr>
          <w:color w:val="222222"/>
          <w:rtl/>
        </w:rPr>
        <w:t>Existential</w:t>
      </w:r>
      <w:proofErr w:type="spellEnd"/>
      <w:r>
        <w:rPr>
          <w:color w:val="222222"/>
          <w:rtl/>
        </w:rPr>
        <w:t xml:space="preserve"> </w:t>
      </w:r>
      <w:proofErr w:type="spellStart"/>
      <w:r>
        <w:rPr>
          <w:color w:val="222222"/>
          <w:rtl/>
        </w:rPr>
        <w:t>Consistency</w:t>
      </w:r>
      <w:proofErr w:type="spellEnd"/>
      <w:r>
        <w:rPr>
          <w:color w:val="222222"/>
          <w:rtl/>
        </w:rPr>
        <w:t>).</w:t>
      </w:r>
    </w:p>
    <w:p w14:paraId="48CE8DBB" w14:textId="77777777" w:rsidR="00251567" w:rsidRDefault="002006A7" w:rsidP="00264D53">
      <w:pPr>
        <w:pStyle w:val="1"/>
        <w:pBdr>
          <w:left w:val="single" w:sz="24" w:space="0" w:color="B8860B"/>
        </w:pBdr>
        <w:shd w:val="clear" w:color="auto" w:fill="1B2A4A"/>
        <w:bidi/>
        <w:spacing w:before="480" w:after="240"/>
      </w:pPr>
      <w:r>
        <w:rPr>
          <w:b/>
          <w:bCs/>
          <w:color w:val="FFFFFF"/>
          <w:rtl/>
        </w:rPr>
        <w:t xml:space="preserve">  الفصل الرابع: "العبادات" كـ"جلسات علاج طبيعي" – "ضبط المصنع" و"تجديد الطاقة"</w:t>
      </w:r>
    </w:p>
    <w:p w14:paraId="37201C5F" w14:textId="77777777" w:rsidR="00251567" w:rsidRDefault="002006A7" w:rsidP="00264D53">
      <w:pPr>
        <w:pStyle w:val="2"/>
        <w:pBdr>
          <w:bottom w:val="single" w:sz="8" w:space="0" w:color="116466"/>
        </w:pBdr>
        <w:bidi/>
        <w:spacing w:before="360" w:after="180"/>
      </w:pPr>
      <w:r>
        <w:rPr>
          <w:b/>
          <w:bCs/>
          <w:color w:val="116466"/>
          <w:sz w:val="27"/>
          <w:szCs w:val="27"/>
          <w:rtl/>
        </w:rPr>
        <w:t>4.1 "الصلاة" و"الدماغ": "إعادة التشغيل" و"تفعيل العصب المبهم"</w:t>
      </w:r>
    </w:p>
    <w:p w14:paraId="65ED2F64" w14:textId="77777777" w:rsidR="00251567" w:rsidRDefault="002006A7" w:rsidP="00264D53">
      <w:pPr>
        <w:spacing w:after="200" w:line="340" w:lineRule="auto"/>
        <w:ind w:firstLine="340"/>
      </w:pPr>
      <w:r>
        <w:rPr>
          <w:color w:val="222222"/>
          <w:rtl/>
        </w:rPr>
        <w:t>في "النموذج الاستخلافي"، "العبادات" – وخاصة "الصلاة" – ليست "مجرد" "طقوس" "حركية"، بل هي – في "جوهرها" – "جلسات علاج طبيعي" للروح والجسد معًا. فـ"الصلاة" – كما "يُحلل" "الزراع" – "تَعمل" كـ"إعادة تشغيل" (</w:t>
      </w:r>
      <w:proofErr w:type="spellStart"/>
      <w:r>
        <w:rPr>
          <w:color w:val="222222"/>
          <w:rtl/>
        </w:rPr>
        <w:t>Factory</w:t>
      </w:r>
      <w:proofErr w:type="spellEnd"/>
      <w:r>
        <w:rPr>
          <w:color w:val="222222"/>
          <w:rtl/>
        </w:rPr>
        <w:t xml:space="preserve"> </w:t>
      </w:r>
      <w:proofErr w:type="spellStart"/>
      <w:r>
        <w:rPr>
          <w:color w:val="222222"/>
          <w:rtl/>
        </w:rPr>
        <w:t>Reset</w:t>
      </w:r>
      <w:proofErr w:type="spellEnd"/>
      <w:r>
        <w:rPr>
          <w:color w:val="222222"/>
          <w:rtl/>
        </w:rPr>
        <w:t xml:space="preserve">) "يومية" "تُريح" "الدماغ" </w:t>
      </w:r>
      <w:proofErr w:type="spellStart"/>
      <w:r>
        <w:rPr>
          <w:color w:val="222222"/>
          <w:rtl/>
        </w:rPr>
        <w:t>و"تُنشط</w:t>
      </w:r>
      <w:proofErr w:type="spellEnd"/>
      <w:r>
        <w:rPr>
          <w:color w:val="222222"/>
          <w:rtl/>
        </w:rPr>
        <w:t>" "العصب المبهم" (</w:t>
      </w:r>
      <w:proofErr w:type="spellStart"/>
      <w:r>
        <w:rPr>
          <w:color w:val="222222"/>
          <w:rtl/>
        </w:rPr>
        <w:t>Vagus</w:t>
      </w:r>
      <w:proofErr w:type="spellEnd"/>
      <w:r>
        <w:rPr>
          <w:color w:val="222222"/>
          <w:rtl/>
        </w:rPr>
        <w:t xml:space="preserve"> </w:t>
      </w:r>
      <w:proofErr w:type="spellStart"/>
      <w:r>
        <w:rPr>
          <w:color w:val="222222"/>
          <w:rtl/>
        </w:rPr>
        <w:t>Nerve</w:t>
      </w:r>
      <w:proofErr w:type="spellEnd"/>
      <w:r>
        <w:rPr>
          <w:color w:val="222222"/>
          <w:rtl/>
        </w:rPr>
        <w:t>) المسؤول عن "الاستشفاء" و"الاسترخاء" [791، 1041].</w:t>
      </w:r>
    </w:p>
    <w:p w14:paraId="57400916" w14:textId="77777777" w:rsidR="00251567" w:rsidRDefault="002006A7" w:rsidP="00264D53">
      <w:pPr>
        <w:spacing w:after="200" w:line="340" w:lineRule="auto"/>
        <w:ind w:firstLine="340"/>
      </w:pPr>
      <w:r>
        <w:rPr>
          <w:color w:val="222222"/>
          <w:rtl/>
        </w:rPr>
        <w:t xml:space="preserve">و"حركات" "الصلاة" (القيام، الركوع، السجود) – كما "أثبتت" "الدراسات" "الحديثة" – "تُمارس" "نوعًا" من "الضغط" و"التمدد" على "المفاصل" و"العضلات" و"الأعصاب"، مما "يُساعد" على "تحرير" "الطاقة المحتجزة" في "الأنسجة"، </w:t>
      </w:r>
      <w:proofErr w:type="spellStart"/>
      <w:r>
        <w:rPr>
          <w:color w:val="222222"/>
          <w:rtl/>
        </w:rPr>
        <w:t>و"تَنشيط</w:t>
      </w:r>
      <w:proofErr w:type="spellEnd"/>
      <w:r>
        <w:rPr>
          <w:color w:val="222222"/>
          <w:rtl/>
        </w:rPr>
        <w:t>" "الدورة الدموية"، و"تحسين" "المزاج". و"السجود" – بشكل "خاص" – "يُعتبر" "الوضعية" "المثلى" لـ"تفريغ" "الشحنات" "الكهربائية" "الزائدة" من "الجسد" (كما "يُشير" بعض "الباحثين").</w:t>
      </w:r>
    </w:p>
    <w:p w14:paraId="4EA97133" w14:textId="77777777" w:rsidR="00251567" w:rsidRDefault="002006A7" w:rsidP="00264D53">
      <w:pPr>
        <w:pStyle w:val="2"/>
        <w:pBdr>
          <w:bottom w:val="single" w:sz="8" w:space="0" w:color="116466"/>
        </w:pBdr>
        <w:bidi/>
        <w:spacing w:before="360" w:after="180"/>
      </w:pPr>
      <w:r>
        <w:rPr>
          <w:b/>
          <w:bCs/>
          <w:color w:val="116466"/>
          <w:sz w:val="27"/>
          <w:szCs w:val="27"/>
          <w:rtl/>
        </w:rPr>
        <w:t>4.2 "الصوم" و"الإجهاد المحكوم": "الالتهام الذاتي" و"تحرير الروح"</w:t>
      </w:r>
    </w:p>
    <w:p w14:paraId="5568940F" w14:textId="77777777" w:rsidR="00251567" w:rsidRDefault="002006A7" w:rsidP="00264D53">
      <w:pPr>
        <w:spacing w:after="200" w:line="340" w:lineRule="auto"/>
        <w:ind w:firstLine="340"/>
      </w:pPr>
      <w:r>
        <w:rPr>
          <w:color w:val="222222"/>
          <w:rtl/>
        </w:rPr>
        <w:t>أما "الصوم" – في "النموذج الاستخلافي" – فهو "إجهاد محكوم" (</w:t>
      </w:r>
      <w:proofErr w:type="spellStart"/>
      <w:r>
        <w:rPr>
          <w:color w:val="222222"/>
          <w:rtl/>
        </w:rPr>
        <w:t>Controlled</w:t>
      </w:r>
      <w:proofErr w:type="spellEnd"/>
      <w:r>
        <w:rPr>
          <w:color w:val="222222"/>
          <w:rtl/>
        </w:rPr>
        <w:t xml:space="preserve"> </w:t>
      </w:r>
      <w:proofErr w:type="spellStart"/>
      <w:r>
        <w:rPr>
          <w:color w:val="222222"/>
          <w:rtl/>
        </w:rPr>
        <w:t>Stress</w:t>
      </w:r>
      <w:proofErr w:type="spellEnd"/>
      <w:r>
        <w:rPr>
          <w:color w:val="222222"/>
          <w:rtl/>
        </w:rPr>
        <w:t xml:space="preserve">) "يُفعل" "آليات" "الإصلاح الخلوي" (خاصة "الالتهام الذاتي" – </w:t>
      </w:r>
      <w:proofErr w:type="spellStart"/>
      <w:r>
        <w:rPr>
          <w:color w:val="222222"/>
          <w:rtl/>
        </w:rPr>
        <w:t>Autophagy</w:t>
      </w:r>
      <w:proofErr w:type="spellEnd"/>
      <w:r>
        <w:rPr>
          <w:color w:val="222222"/>
          <w:rtl/>
        </w:rPr>
        <w:t xml:space="preserve">)، </w:t>
      </w:r>
      <w:proofErr w:type="spellStart"/>
      <w:r>
        <w:rPr>
          <w:color w:val="222222"/>
          <w:rtl/>
        </w:rPr>
        <w:t>و"يُحرر</w:t>
      </w:r>
      <w:proofErr w:type="spellEnd"/>
      <w:r>
        <w:rPr>
          <w:color w:val="222222"/>
          <w:rtl/>
        </w:rPr>
        <w:t xml:space="preserve">" "النفس" من "طغيان" "المادة" و"الشهوات". فـ"الصائم" – عبر "امتناعه" عن "الطعام" و"الشراب" و"الشهوة" – "يَستعيد" "سيادته" على "جسده"، </w:t>
      </w:r>
      <w:proofErr w:type="spellStart"/>
      <w:r>
        <w:rPr>
          <w:color w:val="222222"/>
          <w:rtl/>
        </w:rPr>
        <w:t>و"يُذكر</w:t>
      </w:r>
      <w:proofErr w:type="spellEnd"/>
      <w:r>
        <w:rPr>
          <w:color w:val="222222"/>
          <w:rtl/>
        </w:rPr>
        <w:t>" "نفسه" بأنه "روح" قبل أن "يكون" "جسدًا" [792، 1041].</w:t>
      </w:r>
    </w:p>
    <w:p w14:paraId="2804D7D2" w14:textId="77777777" w:rsidR="00251567" w:rsidRDefault="002006A7" w:rsidP="00264D53">
      <w:pPr>
        <w:pStyle w:val="2"/>
        <w:pBdr>
          <w:bottom w:val="single" w:sz="8" w:space="0" w:color="116466"/>
        </w:pBdr>
        <w:bidi/>
        <w:spacing w:before="360" w:after="180"/>
      </w:pPr>
      <w:r>
        <w:rPr>
          <w:b/>
          <w:bCs/>
          <w:color w:val="116466"/>
          <w:sz w:val="27"/>
          <w:szCs w:val="27"/>
          <w:rtl/>
        </w:rPr>
        <w:t>4.3 "الذكر" و"الشبكة الافتراضية": "تهدئة" "النفس الأمارة"</w:t>
      </w:r>
    </w:p>
    <w:p w14:paraId="5CD85AFE" w14:textId="77777777" w:rsidR="00251567" w:rsidRDefault="002006A7" w:rsidP="00264D53">
      <w:pPr>
        <w:spacing w:after="200" w:line="340" w:lineRule="auto"/>
        <w:ind w:firstLine="340"/>
      </w:pPr>
      <w:r>
        <w:rPr>
          <w:color w:val="222222"/>
          <w:rtl/>
        </w:rPr>
        <w:t xml:space="preserve">و"الذكر" (ذكر الله) – كما "أثبتت" "الدراسات" "العصبية" – "يُعتبر" "تفعيلًا" لـ"الشبكة العصبية الافتراضية" (DMN) المسؤولة عن "التأمل الذاتي" و"الاسترخاء". وهو – بالتالي – "يُقلل" من "ضجيج" "النفس الأمارة" </w:t>
      </w:r>
      <w:proofErr w:type="spellStart"/>
      <w:r>
        <w:rPr>
          <w:color w:val="222222"/>
          <w:rtl/>
        </w:rPr>
        <w:t>و"يُفرز</w:t>
      </w:r>
      <w:proofErr w:type="spellEnd"/>
      <w:r>
        <w:rPr>
          <w:color w:val="222222"/>
          <w:rtl/>
        </w:rPr>
        <w:t>" "هرمونات" "الهدوء" و"السكينة" (مثل "</w:t>
      </w:r>
      <w:proofErr w:type="spellStart"/>
      <w:r>
        <w:rPr>
          <w:color w:val="222222"/>
          <w:rtl/>
        </w:rPr>
        <w:t>السيروتونين</w:t>
      </w:r>
      <w:proofErr w:type="spellEnd"/>
      <w:r>
        <w:rPr>
          <w:color w:val="222222"/>
          <w:rtl/>
        </w:rPr>
        <w:t xml:space="preserve">" </w:t>
      </w:r>
      <w:proofErr w:type="spellStart"/>
      <w:r>
        <w:rPr>
          <w:color w:val="222222"/>
          <w:rtl/>
        </w:rPr>
        <w:t>و"الأوكسيتوسين</w:t>
      </w:r>
      <w:proofErr w:type="spellEnd"/>
      <w:r>
        <w:rPr>
          <w:color w:val="222222"/>
          <w:rtl/>
        </w:rPr>
        <w:t>") [810، 1142].</w:t>
      </w:r>
    </w:p>
    <w:p w14:paraId="7327BBF4" w14:textId="77777777" w:rsidR="00251567" w:rsidRDefault="002006A7" w:rsidP="00264D53">
      <w:pPr>
        <w:pStyle w:val="2"/>
        <w:pBdr>
          <w:bottom w:val="single" w:sz="8" w:space="0" w:color="116466"/>
        </w:pBdr>
        <w:bidi/>
        <w:spacing w:before="360" w:after="180"/>
      </w:pPr>
      <w:r>
        <w:rPr>
          <w:b/>
          <w:bCs/>
          <w:color w:val="116466"/>
          <w:sz w:val="27"/>
          <w:szCs w:val="27"/>
          <w:rtl/>
        </w:rPr>
        <w:t>4.4 الحج والعبادات الجماعية: "الجسد الجمعي" والتزامن الفسيولوجي</w:t>
      </w:r>
    </w:p>
    <w:p w14:paraId="56627F3E" w14:textId="77777777" w:rsidR="00251567" w:rsidRDefault="002006A7" w:rsidP="00264D53">
      <w:pPr>
        <w:spacing w:after="200" w:line="340" w:lineRule="auto"/>
        <w:ind w:firstLine="340"/>
      </w:pPr>
      <w:r>
        <w:rPr>
          <w:color w:val="222222"/>
          <w:rtl/>
        </w:rPr>
        <w:t>تضيف هذه القراءة الموسّعة بُعدًا لم تتناوله الصياغة الأولى: العبادات الجماعية – وفي مقدمتها الحج والصلاة بجماعة – لا تُنتج أثرها الفسيولوجي على مستوى الفرد فحسب، بل على مستوى "الجسد الجمعي" (</w:t>
      </w:r>
      <w:proofErr w:type="spellStart"/>
      <w:r>
        <w:rPr>
          <w:color w:val="222222"/>
          <w:rtl/>
        </w:rPr>
        <w:t>Collective</w:t>
      </w:r>
      <w:proofErr w:type="spellEnd"/>
      <w:r>
        <w:rPr>
          <w:color w:val="222222"/>
          <w:rtl/>
        </w:rPr>
        <w:t xml:space="preserve"> </w:t>
      </w:r>
      <w:proofErr w:type="spellStart"/>
      <w:r>
        <w:rPr>
          <w:color w:val="222222"/>
          <w:rtl/>
        </w:rPr>
        <w:t>Body</w:t>
      </w:r>
      <w:proofErr w:type="spellEnd"/>
      <w:r>
        <w:rPr>
          <w:color w:val="222222"/>
          <w:rtl/>
        </w:rPr>
        <w:t>). فحركة الطواف الموحدة، ووقفة عرفة الجماعية، وصفوف الصلاة المتراصة، تُنتج ما تُسميه أدبيات علم النفس الاجتماعي "التزامن الحركي بين الأفراد" (</w:t>
      </w:r>
      <w:proofErr w:type="spellStart"/>
      <w:r>
        <w:rPr>
          <w:color w:val="222222"/>
          <w:rtl/>
        </w:rPr>
        <w:t>Interpersonal</w:t>
      </w:r>
      <w:proofErr w:type="spellEnd"/>
      <w:r>
        <w:rPr>
          <w:color w:val="222222"/>
          <w:rtl/>
        </w:rPr>
        <w:t xml:space="preserve"> </w:t>
      </w:r>
      <w:proofErr w:type="spellStart"/>
      <w:r>
        <w:rPr>
          <w:color w:val="222222"/>
          <w:rtl/>
        </w:rPr>
        <w:t>Motor</w:t>
      </w:r>
      <w:proofErr w:type="spellEnd"/>
      <w:r>
        <w:rPr>
          <w:color w:val="222222"/>
          <w:rtl/>
        </w:rPr>
        <w:t xml:space="preserve"> </w:t>
      </w:r>
      <w:proofErr w:type="spellStart"/>
      <w:r>
        <w:rPr>
          <w:color w:val="222222"/>
          <w:rtl/>
        </w:rPr>
        <w:t>Synchrony</w:t>
      </w:r>
      <w:proofErr w:type="spellEnd"/>
      <w:r>
        <w:rPr>
          <w:color w:val="222222"/>
          <w:rtl/>
        </w:rPr>
        <w:t>)، وهي ظاهرة تُظهر الدراسات التجريبية ارتباطها بارتفاع مستويات التعاطف والانتماء الجمعي وتراجع الشعور بالعزلة.</w:t>
      </w:r>
    </w:p>
    <w:p w14:paraId="1BB85441" w14:textId="77777777" w:rsidR="00251567" w:rsidRDefault="002006A7" w:rsidP="00264D53">
      <w:pPr>
        <w:spacing w:after="200" w:line="340" w:lineRule="auto"/>
        <w:ind w:firstLine="340"/>
      </w:pPr>
      <w:r>
        <w:rPr>
          <w:color w:val="222222"/>
          <w:rtl/>
        </w:rPr>
        <w:t>وهذا يمنح "الجسد" في النموذج الاستخلافي بُعدًا لم يكن حاضرًا بوضوح في الصياغة الأولى: فهو ليس فقط "أمانة فردية" بل عضو في "جسد جماعي" أوسع، بما يتسق مع الحديث النبوي في تشبيه المؤمنين بالجسد الواحد "إذا اشتكى منه عضو تداعى له سائر الجسد بالسهر والحمى". وبذلك تكتمل الدائرة: الجسد الفردي أمانة، والجسد الجماعي للأمة امتداد لهذه الأمانة على مستوى أعلى.</w:t>
      </w:r>
    </w:p>
    <w:p w14:paraId="0984F637" w14:textId="77777777" w:rsidR="00251567" w:rsidRDefault="002006A7" w:rsidP="00264D53">
      <w:pPr>
        <w:pStyle w:val="1"/>
        <w:pBdr>
          <w:left w:val="single" w:sz="24" w:space="0" w:color="B8860B"/>
        </w:pBdr>
        <w:shd w:val="clear" w:color="auto" w:fill="1B2A4A"/>
        <w:bidi/>
        <w:spacing w:before="480" w:after="240"/>
      </w:pPr>
      <w:r>
        <w:rPr>
          <w:b/>
          <w:bCs/>
          <w:color w:val="FFFFFF"/>
          <w:rtl/>
        </w:rPr>
        <w:t xml:space="preserve">  الفصل الخامس: "الكينتسوغي الجسدي" – "ترميم" "الجرح" و"تحويل" "الألم" إلى "رسالة"</w:t>
      </w:r>
    </w:p>
    <w:p w14:paraId="4CE66316" w14:textId="77777777" w:rsidR="00251567" w:rsidRDefault="002006A7" w:rsidP="00264D53">
      <w:pPr>
        <w:pStyle w:val="2"/>
        <w:pBdr>
          <w:bottom w:val="single" w:sz="8" w:space="0" w:color="116466"/>
        </w:pBdr>
        <w:bidi/>
        <w:spacing w:before="360" w:after="180"/>
      </w:pPr>
      <w:r>
        <w:rPr>
          <w:b/>
          <w:bCs/>
          <w:color w:val="116466"/>
          <w:sz w:val="27"/>
          <w:szCs w:val="27"/>
          <w:rtl/>
        </w:rPr>
        <w:t>5.1 "المرض الجسدي" و"الفرصة الوجودية"</w:t>
      </w:r>
    </w:p>
    <w:p w14:paraId="3D742B4B" w14:textId="77777777" w:rsidR="00251567" w:rsidRDefault="002006A7" w:rsidP="00264D53">
      <w:pPr>
        <w:spacing w:after="200" w:line="340" w:lineRule="auto"/>
        <w:ind w:firstLine="340"/>
      </w:pPr>
      <w:r>
        <w:rPr>
          <w:color w:val="222222"/>
          <w:rtl/>
        </w:rPr>
        <w:t>في "بروتوكول TLRT"، لا "يُعامل" "المرض الجسدي" المزمن (مثل "السرطان"، أو "الشلل"، أو "الإعاقة") كـ"وصمة" أو "عقاب"، بل – على "العكس" – كـ"فرصة وجودية" و"دعوة للتحول". فـ"الألم" – كما "يُؤكد" "علم النفس الاستخلافي" – ليس "مجرد" "إحساس" "مُزعج" يجب "تخديره"، بل هو – في "العمق" – "رسالة" و"تنبيه" و"جسر" يمكن أن "يَعبر" عليه "الإنسان" من "مقام" "الأمارة" إلى "مقام" "المطمئنة" [793، 806].</w:t>
      </w:r>
    </w:p>
    <w:p w14:paraId="2CADB018" w14:textId="77777777" w:rsidR="00251567" w:rsidRDefault="002006A7" w:rsidP="00264D53">
      <w:pPr>
        <w:pStyle w:val="2"/>
        <w:pBdr>
          <w:bottom w:val="single" w:sz="8" w:space="0" w:color="116466"/>
        </w:pBdr>
        <w:bidi/>
        <w:spacing w:before="360" w:after="180"/>
      </w:pPr>
      <w:r>
        <w:rPr>
          <w:b/>
          <w:bCs/>
          <w:color w:val="116466"/>
          <w:sz w:val="27"/>
          <w:szCs w:val="27"/>
          <w:rtl/>
        </w:rPr>
        <w:t>5.2 "الجسر السلوكي" و"تحويل" "طاقة" "الألم"</w:t>
      </w:r>
    </w:p>
    <w:p w14:paraId="1E494603" w14:textId="77777777" w:rsidR="00251567" w:rsidRDefault="002006A7" w:rsidP="00264D53">
      <w:pPr>
        <w:spacing w:after="200" w:line="340" w:lineRule="auto"/>
        <w:ind w:firstLine="340"/>
      </w:pPr>
      <w:r>
        <w:rPr>
          <w:color w:val="222222"/>
          <w:rtl/>
        </w:rPr>
        <w:t xml:space="preserve">عبر "الجسر السلوكي"، "يُساعد" "المُعالج" "المريض" على "تحويل" "طاقة" "الألم والندم" المحتجزة في "الأنسجة" إلى "فاعلية </w:t>
      </w:r>
      <w:proofErr w:type="spellStart"/>
      <w:r>
        <w:rPr>
          <w:color w:val="222222"/>
          <w:rtl/>
        </w:rPr>
        <w:t>إحسانية</w:t>
      </w:r>
      <w:proofErr w:type="spellEnd"/>
      <w:r>
        <w:rPr>
          <w:color w:val="222222"/>
          <w:rtl/>
        </w:rPr>
        <w:t xml:space="preserve">". فـ"المريض" الذي "يُعاني" من "مرض مزمن" – بدلاً من أن "يَستسلم" لـ"اليأس" و"العزلة" – "يُمكنه" أن "يُحول" "معاناته" إلى "رسالة" و"خدمة" للآخرين (عبر "التطوع"، "التوعية"، "الدعم النفسي"). وهذا – في "علم النفس الاستخلافي" – هو "الكينتسوغي الجسدي": "ترميم" "الجرح" الجسدي بـ"ذهب" "المعنى" و"العطاء"، و"تحويل" "الجسد </w:t>
      </w:r>
      <w:proofErr w:type="spellStart"/>
      <w:r>
        <w:rPr>
          <w:color w:val="222222"/>
          <w:rtl/>
        </w:rPr>
        <w:t>المتعافي</w:t>
      </w:r>
      <w:proofErr w:type="spellEnd"/>
      <w:r>
        <w:rPr>
          <w:color w:val="222222"/>
          <w:rtl/>
        </w:rPr>
        <w:t>" إلى "شاهد" و"حامل" لـ"رسالة حضارية" [770، 793، 886].</w:t>
      </w:r>
    </w:p>
    <w:p w14:paraId="7C0FAAE4" w14:textId="77777777" w:rsidR="00251567" w:rsidRDefault="002006A7" w:rsidP="00264D53">
      <w:pPr>
        <w:pStyle w:val="2"/>
        <w:pBdr>
          <w:bottom w:val="single" w:sz="8" w:space="0" w:color="116466"/>
        </w:pBdr>
        <w:bidi/>
        <w:spacing w:before="360" w:after="180"/>
      </w:pPr>
      <w:r>
        <w:rPr>
          <w:b/>
          <w:bCs/>
          <w:color w:val="116466"/>
          <w:sz w:val="27"/>
          <w:szCs w:val="27"/>
          <w:rtl/>
        </w:rPr>
        <w:t xml:space="preserve">5.3 حوار نقدي مع أنثروبولوجيا الجسد: </w:t>
      </w:r>
      <w:proofErr w:type="spellStart"/>
      <w:r>
        <w:rPr>
          <w:b/>
          <w:bCs/>
          <w:color w:val="116466"/>
          <w:sz w:val="27"/>
          <w:szCs w:val="27"/>
          <w:rtl/>
        </w:rPr>
        <w:t>كوردياس</w:t>
      </w:r>
      <w:proofErr w:type="spellEnd"/>
      <w:r>
        <w:rPr>
          <w:b/>
          <w:bCs/>
          <w:color w:val="116466"/>
          <w:sz w:val="27"/>
          <w:szCs w:val="27"/>
          <w:rtl/>
        </w:rPr>
        <w:t xml:space="preserve"> </w:t>
      </w:r>
      <w:proofErr w:type="spellStart"/>
      <w:r>
        <w:rPr>
          <w:b/>
          <w:bCs/>
          <w:color w:val="116466"/>
          <w:sz w:val="27"/>
          <w:szCs w:val="27"/>
          <w:rtl/>
        </w:rPr>
        <w:t>وتيرنر</w:t>
      </w:r>
      <w:proofErr w:type="spellEnd"/>
    </w:p>
    <w:p w14:paraId="001BE9D0" w14:textId="77777777" w:rsidR="00251567" w:rsidRDefault="002006A7" w:rsidP="00264D53">
      <w:pPr>
        <w:spacing w:after="200" w:line="340" w:lineRule="auto"/>
        <w:ind w:firstLine="340"/>
      </w:pPr>
      <w:r>
        <w:rPr>
          <w:color w:val="222222"/>
          <w:rtl/>
        </w:rPr>
        <w:t>يمكن تعميق هذا الطرح عبر مقارنته بحقل "أنثروبولوجيا الجسد" (</w:t>
      </w:r>
      <w:proofErr w:type="spellStart"/>
      <w:r>
        <w:rPr>
          <w:color w:val="222222"/>
          <w:rtl/>
        </w:rPr>
        <w:t>Anthropology</w:t>
      </w:r>
      <w:proofErr w:type="spellEnd"/>
      <w:r>
        <w:rPr>
          <w:color w:val="222222"/>
          <w:rtl/>
        </w:rPr>
        <w:t xml:space="preserve"> </w:t>
      </w:r>
      <w:proofErr w:type="spellStart"/>
      <w:r>
        <w:rPr>
          <w:color w:val="222222"/>
          <w:rtl/>
        </w:rPr>
        <w:t>of</w:t>
      </w:r>
      <w:proofErr w:type="spellEnd"/>
      <w:r>
        <w:rPr>
          <w:color w:val="222222"/>
          <w:rtl/>
        </w:rPr>
        <w:t xml:space="preserve"> </w:t>
      </w:r>
      <w:proofErr w:type="spellStart"/>
      <w:r>
        <w:rPr>
          <w:color w:val="222222"/>
          <w:rtl/>
        </w:rPr>
        <w:t>the</w:t>
      </w:r>
      <w:proofErr w:type="spellEnd"/>
      <w:r>
        <w:rPr>
          <w:color w:val="222222"/>
          <w:rtl/>
        </w:rPr>
        <w:t xml:space="preserve"> </w:t>
      </w:r>
      <w:proofErr w:type="spellStart"/>
      <w:r>
        <w:rPr>
          <w:color w:val="222222"/>
          <w:rtl/>
        </w:rPr>
        <w:t>Body</w:t>
      </w:r>
      <w:proofErr w:type="spellEnd"/>
      <w:r>
        <w:rPr>
          <w:color w:val="222222"/>
          <w:rtl/>
        </w:rPr>
        <w:t xml:space="preserve">)، وتحديدًا مع توماس </w:t>
      </w:r>
      <w:proofErr w:type="spellStart"/>
      <w:r>
        <w:rPr>
          <w:color w:val="222222"/>
          <w:rtl/>
        </w:rPr>
        <w:t>كوردياس</w:t>
      </w:r>
      <w:proofErr w:type="spellEnd"/>
      <w:r>
        <w:rPr>
          <w:color w:val="222222"/>
          <w:rtl/>
        </w:rPr>
        <w:t xml:space="preserve"> الذي اقترح "نموذج التجسيد" (</w:t>
      </w:r>
      <w:proofErr w:type="spellStart"/>
      <w:r>
        <w:rPr>
          <w:color w:val="222222"/>
          <w:rtl/>
        </w:rPr>
        <w:t>Embodiment</w:t>
      </w:r>
      <w:proofErr w:type="spellEnd"/>
      <w:r>
        <w:rPr>
          <w:color w:val="222222"/>
          <w:rtl/>
        </w:rPr>
        <w:t xml:space="preserve"> </w:t>
      </w:r>
      <w:proofErr w:type="spellStart"/>
      <w:r>
        <w:rPr>
          <w:color w:val="222222"/>
          <w:rtl/>
        </w:rPr>
        <w:t>Paradigm</w:t>
      </w:r>
      <w:proofErr w:type="spellEnd"/>
      <w:r>
        <w:rPr>
          <w:color w:val="222222"/>
          <w:rtl/>
        </w:rPr>
        <w:t>) بديلًا عن الاقتصار على تحليل "</w:t>
      </w:r>
      <w:proofErr w:type="spellStart"/>
      <w:r>
        <w:rPr>
          <w:color w:val="222222"/>
          <w:rtl/>
        </w:rPr>
        <w:t>تمثلات</w:t>
      </w:r>
      <w:proofErr w:type="spellEnd"/>
      <w:r>
        <w:rPr>
          <w:color w:val="222222"/>
          <w:rtl/>
        </w:rPr>
        <w:t xml:space="preserve">" الجسد الثقافية، مؤكدًا أن الجسد ليس نصًا يُقرأ من الخارج بل تجربة تُعاش وتُنتج معنى من الداخل. وهذا الطرح قريب من الرؤية الاستخلافية للألم كـ"رسالة" لا كموضوع خارجي فحسب. كذلك يفيد استحضار براين </w:t>
      </w:r>
      <w:proofErr w:type="spellStart"/>
      <w:r>
        <w:rPr>
          <w:color w:val="222222"/>
          <w:rtl/>
        </w:rPr>
        <w:t>تيرنر</w:t>
      </w:r>
      <w:proofErr w:type="spellEnd"/>
      <w:r>
        <w:rPr>
          <w:color w:val="222222"/>
          <w:rtl/>
        </w:rPr>
        <w:t xml:space="preserve"> في "الجسد والمجتمع" (</w:t>
      </w:r>
      <w:proofErr w:type="spellStart"/>
      <w:r>
        <w:rPr>
          <w:color w:val="222222"/>
          <w:rtl/>
        </w:rPr>
        <w:t>Body</w:t>
      </w:r>
      <w:proofErr w:type="spellEnd"/>
      <w:r>
        <w:rPr>
          <w:color w:val="222222"/>
          <w:rtl/>
        </w:rPr>
        <w:t xml:space="preserve"> </w:t>
      </w:r>
      <w:proofErr w:type="spellStart"/>
      <w:r>
        <w:rPr>
          <w:color w:val="222222"/>
          <w:rtl/>
        </w:rPr>
        <w:t>and</w:t>
      </w:r>
      <w:proofErr w:type="spellEnd"/>
      <w:r>
        <w:rPr>
          <w:color w:val="222222"/>
          <w:rtl/>
        </w:rPr>
        <w:t xml:space="preserve"> </w:t>
      </w:r>
      <w:proofErr w:type="spellStart"/>
      <w:r>
        <w:rPr>
          <w:color w:val="222222"/>
          <w:rtl/>
        </w:rPr>
        <w:t>Society</w:t>
      </w:r>
      <w:proofErr w:type="spellEnd"/>
      <w:r>
        <w:rPr>
          <w:color w:val="222222"/>
          <w:rtl/>
        </w:rPr>
        <w:t>)، الذي ميّز بين الجسد كموضوع للتنظيم الاجتماعي (</w:t>
      </w:r>
      <w:proofErr w:type="spellStart"/>
      <w:r>
        <w:rPr>
          <w:color w:val="222222"/>
          <w:rtl/>
        </w:rPr>
        <w:t>Somatic</w:t>
      </w:r>
      <w:proofErr w:type="spellEnd"/>
      <w:r>
        <w:rPr>
          <w:color w:val="222222"/>
          <w:rtl/>
        </w:rPr>
        <w:t xml:space="preserve"> </w:t>
      </w:r>
      <w:proofErr w:type="spellStart"/>
      <w:r>
        <w:rPr>
          <w:color w:val="222222"/>
          <w:rtl/>
        </w:rPr>
        <w:t>Society</w:t>
      </w:r>
      <w:proofErr w:type="spellEnd"/>
      <w:r>
        <w:rPr>
          <w:color w:val="222222"/>
          <w:rtl/>
        </w:rPr>
        <w:t>) وبين الجسد كذات فاعلة.</w:t>
      </w:r>
    </w:p>
    <w:p w14:paraId="49E58324" w14:textId="77777777" w:rsidR="00251567" w:rsidRDefault="002006A7" w:rsidP="00264D53">
      <w:pPr>
        <w:spacing w:after="200" w:line="340" w:lineRule="auto"/>
        <w:ind w:firstLine="340"/>
      </w:pPr>
      <w:r>
        <w:rPr>
          <w:color w:val="222222"/>
          <w:rtl/>
        </w:rPr>
        <w:t>غير أن الفارق الحاسم يبقى في مصدر المعنى: فبينما تكتفي الأنثروبولوجيا المعاصرة – في الغالب – بتفسير معنى الألم بوصفه بناءً ثقافيًا-اجتماعيًا متغيرًا بتغير السياق (</w:t>
      </w:r>
      <w:proofErr w:type="spellStart"/>
      <w:r>
        <w:rPr>
          <w:color w:val="222222"/>
          <w:rtl/>
        </w:rPr>
        <w:t>Cultural</w:t>
      </w:r>
      <w:proofErr w:type="spellEnd"/>
      <w:r>
        <w:rPr>
          <w:color w:val="222222"/>
          <w:rtl/>
        </w:rPr>
        <w:t xml:space="preserve"> </w:t>
      </w:r>
      <w:proofErr w:type="spellStart"/>
      <w:r>
        <w:rPr>
          <w:color w:val="222222"/>
          <w:rtl/>
        </w:rPr>
        <w:t>Construction</w:t>
      </w:r>
      <w:proofErr w:type="spellEnd"/>
      <w:r>
        <w:rPr>
          <w:color w:val="222222"/>
          <w:rtl/>
        </w:rPr>
        <w:t xml:space="preserve"> </w:t>
      </w:r>
      <w:proofErr w:type="spellStart"/>
      <w:r>
        <w:rPr>
          <w:color w:val="222222"/>
          <w:rtl/>
        </w:rPr>
        <w:t>of</w:t>
      </w:r>
      <w:proofErr w:type="spellEnd"/>
      <w:r>
        <w:rPr>
          <w:color w:val="222222"/>
          <w:rtl/>
        </w:rPr>
        <w:t xml:space="preserve"> </w:t>
      </w:r>
      <w:proofErr w:type="spellStart"/>
      <w:r>
        <w:rPr>
          <w:color w:val="222222"/>
          <w:rtl/>
        </w:rPr>
        <w:t>Pain</w:t>
      </w:r>
      <w:proofErr w:type="spellEnd"/>
      <w:r>
        <w:rPr>
          <w:color w:val="222222"/>
          <w:rtl/>
        </w:rPr>
        <w:t>)، يطرح النموذج الاستخلافي مرجعية معيارية ثابتة لهذا المعنى: الألم رسالة من الله، لا مجرد نتاج تفاوض اجتماعي حول كيفية تأويله. وهذا الفارق ليس تفصيلًا هامشيًا، بل هو ما يميز "علم نفس استخلافي" عن "علم اجتماع للجسد المريض" مهما تقاطعا في الأدوات الوصفية.</w:t>
      </w:r>
    </w:p>
    <w:p w14:paraId="04E4C6DD" w14:textId="77777777" w:rsidR="00251567" w:rsidRDefault="002006A7" w:rsidP="00264D53">
      <w:pPr>
        <w:pStyle w:val="1"/>
        <w:pBdr>
          <w:left w:val="single" w:sz="24" w:space="0" w:color="B8860B"/>
        </w:pBdr>
        <w:shd w:val="clear" w:color="auto" w:fill="1B2A4A"/>
        <w:bidi/>
        <w:spacing w:before="480" w:after="240"/>
      </w:pPr>
      <w:r>
        <w:rPr>
          <w:b/>
          <w:bCs/>
          <w:color w:val="FFFFFF"/>
          <w:rtl/>
        </w:rPr>
        <w:t xml:space="preserve">  الفصل السادس: نحو نقد </w:t>
      </w:r>
      <w:proofErr w:type="spellStart"/>
      <w:r>
        <w:rPr>
          <w:b/>
          <w:bCs/>
          <w:color w:val="FFFFFF"/>
          <w:rtl/>
        </w:rPr>
        <w:t>إبستمولوجي</w:t>
      </w:r>
      <w:proofErr w:type="spellEnd"/>
      <w:r>
        <w:rPr>
          <w:b/>
          <w:bCs/>
          <w:color w:val="FFFFFF"/>
          <w:rtl/>
        </w:rPr>
        <w:t xml:space="preserve"> – حدود الاستعارة الفسيولوجية وضوابط المنهج</w:t>
      </w:r>
    </w:p>
    <w:p w14:paraId="57ADB26C" w14:textId="77777777" w:rsidR="00251567" w:rsidRDefault="002006A7" w:rsidP="00264D53">
      <w:pPr>
        <w:pStyle w:val="2"/>
        <w:pBdr>
          <w:bottom w:val="single" w:sz="8" w:space="0" w:color="116466"/>
        </w:pBdr>
        <w:bidi/>
        <w:spacing w:before="360" w:after="180"/>
      </w:pPr>
      <w:r>
        <w:rPr>
          <w:b/>
          <w:bCs/>
          <w:color w:val="116466"/>
          <w:sz w:val="27"/>
          <w:szCs w:val="27"/>
          <w:rtl/>
        </w:rPr>
        <w:t>6.1 إشكالية "</w:t>
      </w:r>
      <w:proofErr w:type="spellStart"/>
      <w:r>
        <w:rPr>
          <w:b/>
          <w:bCs/>
          <w:color w:val="116466"/>
          <w:sz w:val="27"/>
          <w:szCs w:val="27"/>
          <w:rtl/>
        </w:rPr>
        <w:t>الأدلجة</w:t>
      </w:r>
      <w:proofErr w:type="spellEnd"/>
      <w:r>
        <w:rPr>
          <w:b/>
          <w:bCs/>
          <w:color w:val="116466"/>
          <w:sz w:val="27"/>
          <w:szCs w:val="27"/>
          <w:rtl/>
        </w:rPr>
        <w:t xml:space="preserve"> الفسيولوجية": حين يتحول التفسير إلى تبرير</w:t>
      </w:r>
    </w:p>
    <w:p w14:paraId="3DA2C488" w14:textId="77777777" w:rsidR="00251567" w:rsidRDefault="002006A7" w:rsidP="00264D53">
      <w:pPr>
        <w:spacing w:after="200" w:line="340" w:lineRule="auto"/>
        <w:ind w:firstLine="340"/>
      </w:pPr>
      <w:r>
        <w:rPr>
          <w:color w:val="222222"/>
          <w:rtl/>
        </w:rPr>
        <w:t xml:space="preserve">من واجب الأمانة العلمية أن تُساءل هذه الدراسةُ ذاتَ الإطار الذي تشتغل بداخله. فحين يُقال إن "القولون العصبي" أو "الصداع </w:t>
      </w:r>
      <w:proofErr w:type="spellStart"/>
      <w:r>
        <w:rPr>
          <w:color w:val="222222"/>
          <w:rtl/>
        </w:rPr>
        <w:t>التوتري</w:t>
      </w:r>
      <w:proofErr w:type="spellEnd"/>
      <w:r>
        <w:rPr>
          <w:color w:val="222222"/>
          <w:rtl/>
        </w:rPr>
        <w:t xml:space="preserve">" قد يكونان "لغة للفطرة" </w:t>
      </w:r>
      <w:proofErr w:type="spellStart"/>
      <w:r>
        <w:rPr>
          <w:color w:val="222222"/>
          <w:rtl/>
        </w:rPr>
        <w:t>و"احتجاجًا</w:t>
      </w:r>
      <w:proofErr w:type="spellEnd"/>
      <w:r>
        <w:rPr>
          <w:color w:val="222222"/>
          <w:rtl/>
        </w:rPr>
        <w:t xml:space="preserve"> على مخالفة السنن الأخلاقية"، فإن هذا التأويل – مهما كان مفيدًا إكلينيكيًا كفرضية عمل قابلة للاستكشاف مع المريض – يحمل خطرًا كامنًا إن حُوّل من "احتمال تفسيري" إلى "حكم قطعي": فقد يقود إلى لوم ضحايا الأمراض المزمنة على أمراضهم (</w:t>
      </w:r>
      <w:proofErr w:type="spellStart"/>
      <w:r>
        <w:rPr>
          <w:color w:val="222222"/>
          <w:rtl/>
        </w:rPr>
        <w:t>Victim</w:t>
      </w:r>
      <w:proofErr w:type="spellEnd"/>
      <w:r>
        <w:rPr>
          <w:color w:val="222222"/>
          <w:rtl/>
        </w:rPr>
        <w:t xml:space="preserve"> </w:t>
      </w:r>
      <w:proofErr w:type="spellStart"/>
      <w:r>
        <w:rPr>
          <w:color w:val="222222"/>
          <w:rtl/>
        </w:rPr>
        <w:t>Blaming</w:t>
      </w:r>
      <w:proofErr w:type="spellEnd"/>
      <w:r>
        <w:rPr>
          <w:color w:val="222222"/>
          <w:rtl/>
        </w:rPr>
        <w:t>)، أو إلى تجاهل الأسباب العضوية البحتة (وراثية، بيئية، عدوى) التي لا علاقة لها بأي "اختلال أخلاقي".</w:t>
      </w:r>
    </w:p>
    <w:p w14:paraId="285A7371" w14:textId="77777777" w:rsidR="00251567" w:rsidRDefault="002006A7" w:rsidP="00264D53">
      <w:pPr>
        <w:spacing w:after="200" w:line="340" w:lineRule="auto"/>
        <w:ind w:firstLine="340"/>
      </w:pPr>
      <w:r>
        <w:rPr>
          <w:color w:val="222222"/>
          <w:rtl/>
        </w:rPr>
        <w:t>لذلك فإن "علم النفس الاستخلافي" – في صورته الناضجة منهجيًا – مطالَب بالتمييز الصريح بين ثلاث دعاوى متفاوتة القوة: الدعوى الأضعف وهي أن هناك ارتباطًا إحصائيًا موثقًا بين الضغط النفسي المزمن وبعض الاضطرابات الوظيفية (وهذه دعوى يدعمها علم المناعة العصبية النفسية بأدلة معتبرة)؛ والدعوى الأقوى وهي أن الانحراف الأخلاقي بعينه هو السبب المباشر لمرض بعينه عند فرد بعينه (وهذه دعوى لا يمكن إثباتها إكلينيكيًا ولا شرعيًا، ويُحرَّم شرعًا الجزم بها في حق أي مريض معيّن)؛ وبينهما تقع مساحة المعالج التي ينبغي أن تلتزم الحذر:</w:t>
      </w:r>
      <w:r>
        <w:rPr>
          <w:color w:val="222222"/>
          <w:rtl/>
        </w:rPr>
        <w:t xml:space="preserve"> طرح الاحتمال دون فرضه، ودعوة المريض للتأمل دون اتهامه.</w:t>
      </w:r>
    </w:p>
    <w:p w14:paraId="310B8E51" w14:textId="77777777" w:rsidR="00251567" w:rsidRDefault="002006A7" w:rsidP="00264D53">
      <w:pPr>
        <w:pStyle w:val="2"/>
        <w:pBdr>
          <w:bottom w:val="single" w:sz="8" w:space="0" w:color="116466"/>
        </w:pBdr>
        <w:bidi/>
        <w:spacing w:before="360" w:after="180"/>
      </w:pPr>
      <w:r>
        <w:rPr>
          <w:b/>
          <w:bCs/>
          <w:color w:val="116466"/>
          <w:sz w:val="27"/>
          <w:szCs w:val="27"/>
          <w:rtl/>
        </w:rPr>
        <w:t>6.2 التمييز بين الارتباط والسببية في القراءة الفسيولوجية للعبادات</w:t>
      </w:r>
    </w:p>
    <w:p w14:paraId="235F9238" w14:textId="77777777" w:rsidR="00251567" w:rsidRDefault="002006A7" w:rsidP="00264D53">
      <w:pPr>
        <w:spacing w:after="200" w:line="340" w:lineRule="auto"/>
        <w:ind w:firstLine="340"/>
      </w:pPr>
      <w:r>
        <w:rPr>
          <w:color w:val="222222"/>
          <w:rtl/>
        </w:rPr>
        <w:t>الأمر ذاته ينطبق – بصورة معكوسة – على قراءة أثر العبادات: فالأدلة على أن الصلاة أو الذكر يرتبطان بانخفاض التوتر وتحسّن بعض المؤشرات الفسيولوجية (تقلب معدل ضربات القلب، مستويات الكورتيزول) أدلة واعدة لكنها – في الغالب – أدلة ارتباطية (</w:t>
      </w:r>
      <w:proofErr w:type="spellStart"/>
      <w:r>
        <w:rPr>
          <w:color w:val="222222"/>
          <w:rtl/>
        </w:rPr>
        <w:t>Correlational</w:t>
      </w:r>
      <w:proofErr w:type="spellEnd"/>
      <w:r>
        <w:rPr>
          <w:color w:val="222222"/>
          <w:rtl/>
        </w:rPr>
        <w:t>) لا سببية حاسمة (</w:t>
      </w:r>
      <w:proofErr w:type="spellStart"/>
      <w:r>
        <w:rPr>
          <w:color w:val="222222"/>
          <w:rtl/>
        </w:rPr>
        <w:t>Causal</w:t>
      </w:r>
      <w:proofErr w:type="spellEnd"/>
      <w:r>
        <w:rPr>
          <w:color w:val="222222"/>
          <w:rtl/>
        </w:rPr>
        <w:t xml:space="preserve">)، وتتفاوت قوتها بين دراسة وأخرى، وتتأثر بعوامل مصاحبة كجودة النوم والانتماء الاجتماعي. وتوظيف هذه الأدلة في الخطاب الاستخلافي ينبغي أن يلتزم لغة العلم في تدرجها ("تشير الدراسات إلى ارتباط"، لا "يثبت العلم قطعًا")، حفاظًا على مصداقية المشروع أمام القارئ الأكاديمي المتخصص، </w:t>
      </w:r>
      <w:proofErr w:type="spellStart"/>
      <w:r>
        <w:rPr>
          <w:color w:val="222222"/>
          <w:rtl/>
        </w:rPr>
        <w:t>ودرءًا</w:t>
      </w:r>
      <w:proofErr w:type="spellEnd"/>
      <w:r>
        <w:rPr>
          <w:color w:val="222222"/>
          <w:rtl/>
        </w:rPr>
        <w:t xml:space="preserve"> لتهمة توظيف العلم توظيفًا دعائيًا (</w:t>
      </w:r>
      <w:proofErr w:type="spellStart"/>
      <w:r>
        <w:rPr>
          <w:color w:val="222222"/>
          <w:rtl/>
        </w:rPr>
        <w:t>Scientism</w:t>
      </w:r>
      <w:proofErr w:type="spellEnd"/>
      <w:r>
        <w:rPr>
          <w:color w:val="222222"/>
          <w:rtl/>
        </w:rPr>
        <w:t>) قد يسيء – لا يخدم – الغاية الدعوية للمشروع نفسه.</w:t>
      </w:r>
    </w:p>
    <w:p w14:paraId="24792B30" w14:textId="77777777" w:rsidR="00251567" w:rsidRDefault="002006A7" w:rsidP="00365C52">
      <w:pPr>
        <w:pStyle w:val="2"/>
        <w:pBdr>
          <w:bottom w:val="single" w:sz="8" w:space="0" w:color="116466"/>
        </w:pBdr>
        <w:bidi/>
        <w:spacing w:before="360" w:after="180"/>
      </w:pPr>
      <w:r>
        <w:rPr>
          <w:b/>
          <w:bCs/>
          <w:color w:val="116466"/>
          <w:sz w:val="27"/>
          <w:szCs w:val="27"/>
          <w:rtl/>
        </w:rPr>
        <w:t>6.3 نحو ميثاق منهجي للبحث المستقبلي في "أنطولوجيا الجسد الاستخلافي"</w:t>
      </w:r>
    </w:p>
    <w:p w14:paraId="577A96CB" w14:textId="77777777" w:rsidR="00251567" w:rsidRDefault="002006A7" w:rsidP="00365C52">
      <w:pPr>
        <w:spacing w:after="200" w:line="340" w:lineRule="auto"/>
        <w:ind w:firstLine="340"/>
      </w:pPr>
      <w:r>
        <w:rPr>
          <w:color w:val="222222"/>
          <w:rtl/>
        </w:rPr>
        <w:t xml:space="preserve">تقترح هذه الدراسة، تأسيسًا على ما سبق، ثلاثة ضوابط منهجية لأي بحث لاحق في هذا الحقل: أولًا، الفصل الواضح – نصًا وإحالة – بين ما هو "استئناس علمي" (نتائج تجريبية قابلة للمراجعة) وما هو "تأويل روحي" (قراءة معيارية مستمدة من الوحي)، حتى لا يختلط المجالان فيُظن أن أحدهما يُثبت الآخر أو يُبطله؛ ثانيًا، تجنّب الجزم الفردي بربط مرض بعينه بذنب بعينه عند شخص بعينه، والاكتفاء بالقراءة العامة على مستوى النموذج النظري؛ ثالثًا، إبقاء الباب مفتوحًا للمراجعة النقدية الذاتية للنموذج نفسه، بالاستفادة من أدوات النقد </w:t>
      </w:r>
      <w:proofErr w:type="spellStart"/>
      <w:r>
        <w:rPr>
          <w:color w:val="222222"/>
          <w:rtl/>
        </w:rPr>
        <w:t>الإبستمولوجي</w:t>
      </w:r>
      <w:proofErr w:type="spellEnd"/>
      <w:r>
        <w:rPr>
          <w:color w:val="222222"/>
          <w:rtl/>
        </w:rPr>
        <w:t xml:space="preserve"> التي طرحها مفكرون عرب معاصرون كنقد التوظيف الأيديولوجي للمفاهيم الدينية، تجنبًا لأي انزلاق من "تفسير استخلافي" إلى "تسويغ استخلافي" لواقع بعينه.</w:t>
      </w:r>
    </w:p>
    <w:p w14:paraId="14F7D918" w14:textId="77777777" w:rsidR="00251567" w:rsidRDefault="002006A7" w:rsidP="00365C52">
      <w:pPr>
        <w:pStyle w:val="1"/>
        <w:pBdr>
          <w:left w:val="single" w:sz="24" w:space="0" w:color="B8860B"/>
        </w:pBdr>
        <w:shd w:val="clear" w:color="auto" w:fill="1B2A4A"/>
        <w:bidi/>
        <w:spacing w:before="480" w:after="240"/>
      </w:pPr>
      <w:r>
        <w:rPr>
          <w:b/>
          <w:bCs/>
          <w:color w:val="FFFFFF"/>
          <w:rtl/>
        </w:rPr>
        <w:t xml:space="preserve">  خاتمة: "الجسد" – "آية" و"أمانة" و"بوابة" "الاستخلاف"</w:t>
      </w:r>
    </w:p>
    <w:p w14:paraId="03501E0D" w14:textId="77777777" w:rsidR="00251567" w:rsidRDefault="002006A7" w:rsidP="00365C52">
      <w:pPr>
        <w:spacing w:after="200" w:line="340" w:lineRule="auto"/>
        <w:ind w:firstLine="340"/>
      </w:pPr>
      <w:r>
        <w:rPr>
          <w:color w:val="222222"/>
          <w:rtl/>
        </w:rPr>
        <w:t xml:space="preserve">في نهاية هذه "الدراسة الموسعة"، نخلص إلى أن "مفهوم الجسد" – كما "يُقدمه" "الزراع" في "نظريته الاستخلافية" – هو "مفهوم" "ثري" و"عميق" </w:t>
      </w:r>
      <w:proofErr w:type="spellStart"/>
      <w:r>
        <w:rPr>
          <w:color w:val="222222"/>
          <w:rtl/>
        </w:rPr>
        <w:t>و"مُتعدد</w:t>
      </w:r>
      <w:proofErr w:type="spellEnd"/>
      <w:r>
        <w:rPr>
          <w:color w:val="222222"/>
          <w:rtl/>
        </w:rPr>
        <w:t xml:space="preserve"> الأبعاد". إنه "يَتجاوز" – بكثير – "المفهوم" "المادي" "الضيق" للجسد، </w:t>
      </w:r>
      <w:proofErr w:type="spellStart"/>
      <w:r>
        <w:rPr>
          <w:color w:val="222222"/>
          <w:rtl/>
        </w:rPr>
        <w:t>و"يُعيد</w:t>
      </w:r>
      <w:proofErr w:type="spellEnd"/>
      <w:r>
        <w:rPr>
          <w:color w:val="222222"/>
          <w:rtl/>
        </w:rPr>
        <w:t>" "الاعتبار" لـ"الجسد" كـ"أمانة" و"نعمة" و"مسرح" لـ"تجلي" "الروح" و"الأخلاق".</w:t>
      </w:r>
    </w:p>
    <w:p w14:paraId="339D9245" w14:textId="77777777" w:rsidR="00251567" w:rsidRDefault="002006A7" w:rsidP="00365C52">
      <w:pPr>
        <w:spacing w:after="200" w:line="340" w:lineRule="auto"/>
        <w:ind w:firstLine="340"/>
      </w:pPr>
      <w:r>
        <w:rPr>
          <w:color w:val="222222"/>
          <w:rtl/>
        </w:rPr>
        <w:t>فـ"الجسد" – في "هذا" "النموذج" – ليس "مجرد" "آلة" "بيولوجية"، بل هو "نظام تشغيل أخلاقي" (</w:t>
      </w:r>
      <w:proofErr w:type="spellStart"/>
      <w:r>
        <w:rPr>
          <w:color w:val="222222"/>
          <w:rtl/>
        </w:rPr>
        <w:t>Moral</w:t>
      </w:r>
      <w:proofErr w:type="spellEnd"/>
      <w:r>
        <w:rPr>
          <w:color w:val="222222"/>
          <w:rtl/>
        </w:rPr>
        <w:t xml:space="preserve"> OS) "يَستجيب" – "فسيولوجيًا" – لـ"الانحرافات" </w:t>
      </w:r>
      <w:proofErr w:type="spellStart"/>
      <w:r>
        <w:rPr>
          <w:color w:val="222222"/>
          <w:rtl/>
        </w:rPr>
        <w:t>و"الاستقامات</w:t>
      </w:r>
      <w:proofErr w:type="spellEnd"/>
      <w:r>
        <w:rPr>
          <w:color w:val="222222"/>
          <w:rtl/>
        </w:rPr>
        <w:t>". وهو "حامل" لـ"الديون النفسية" غير "المُسددة". وهو "أداة" "للعمارة" و"الإحسان". وهو – في "النهاية" – "شاهد عدل" على "صاحبه"، و"بوابة" "العبور" إلى "الحياة الطيبة" و"الرضوان الأبدي".</w:t>
      </w:r>
    </w:p>
    <w:p w14:paraId="3F0127BA" w14:textId="77777777" w:rsidR="00251567" w:rsidRDefault="002006A7" w:rsidP="00365C52">
      <w:pPr>
        <w:spacing w:after="200" w:line="340" w:lineRule="auto"/>
        <w:ind w:firstLine="340"/>
      </w:pPr>
      <w:r>
        <w:rPr>
          <w:color w:val="222222"/>
          <w:rtl/>
        </w:rPr>
        <w:t xml:space="preserve">وقد حاولت هذه الصياغة الموسّعة أن تُظهر أن قوة هذا النموذج لا تكمن فقط في غناه التأصيلي، بل أيضًا في قدرته على استيعاب النقد الذاتي: فحواره مع </w:t>
      </w:r>
      <w:proofErr w:type="spellStart"/>
      <w:r>
        <w:rPr>
          <w:color w:val="222222"/>
          <w:rtl/>
        </w:rPr>
        <w:t>ميرلو</w:t>
      </w:r>
      <w:proofErr w:type="spellEnd"/>
      <w:r>
        <w:rPr>
          <w:color w:val="222222"/>
          <w:rtl/>
        </w:rPr>
        <w:t xml:space="preserve">-بونتي </w:t>
      </w:r>
      <w:proofErr w:type="spellStart"/>
      <w:r>
        <w:rPr>
          <w:color w:val="222222"/>
          <w:rtl/>
        </w:rPr>
        <w:t>وغوفمان</w:t>
      </w:r>
      <w:proofErr w:type="spellEnd"/>
      <w:r>
        <w:rPr>
          <w:color w:val="222222"/>
          <w:rtl/>
        </w:rPr>
        <w:t xml:space="preserve"> </w:t>
      </w:r>
      <w:proofErr w:type="spellStart"/>
      <w:r>
        <w:rPr>
          <w:color w:val="222222"/>
          <w:rtl/>
        </w:rPr>
        <w:t>وكوردياس</w:t>
      </w:r>
      <w:proofErr w:type="spellEnd"/>
      <w:r>
        <w:rPr>
          <w:color w:val="222222"/>
          <w:rtl/>
        </w:rPr>
        <w:t xml:space="preserve"> </w:t>
      </w:r>
      <w:proofErr w:type="spellStart"/>
      <w:r>
        <w:rPr>
          <w:color w:val="222222"/>
          <w:rtl/>
        </w:rPr>
        <w:t>وتيرنر</w:t>
      </w:r>
      <w:proofErr w:type="spellEnd"/>
      <w:r>
        <w:rPr>
          <w:color w:val="222222"/>
          <w:rtl/>
        </w:rPr>
        <w:t xml:space="preserve"> يكشف مساحات التقاطع الممكنة مع الفكر الغربي المعاصر دون ذوبان فيه، بينما الفصل السادس يضع أمامه – ابتداءً – الحدود التي يجب ألا يتجاوزها كي يبقى مشروعًا علميًا-روحيًا رصينًا، لا خطابًا دعويًا يوظّف لغة العلم توظيفًا انتقائيًا.</w:t>
      </w:r>
    </w:p>
    <w:p w14:paraId="2A5DE011" w14:textId="77777777" w:rsidR="00251567" w:rsidRDefault="002006A7" w:rsidP="00365C52">
      <w:pPr>
        <w:pBdr>
          <w:top w:val="single" w:sz="12" w:space="0" w:color="B8860B"/>
          <w:left w:val="single" w:sz="12" w:space="0" w:color="B8860B"/>
          <w:bottom w:val="single" w:sz="12" w:space="0" w:color="B8860B"/>
          <w:right w:val="single" w:sz="12" w:space="0" w:color="B8860B"/>
        </w:pBdr>
        <w:shd w:val="clear" w:color="auto" w:fill="FBF3DE"/>
        <w:spacing w:before="200" w:after="200"/>
      </w:pPr>
      <w:r>
        <w:rPr>
          <w:b/>
          <w:bCs/>
          <w:color w:val="1B2A4A"/>
          <w:sz w:val="27"/>
          <w:szCs w:val="27"/>
          <w:rtl/>
        </w:rPr>
        <w:t>صُنْعَ اللَّهِ الَّذِي أَتْقَنَ كُلَّ شَيْءٍ [النمل: 88]</w:t>
      </w:r>
    </w:p>
    <w:p w14:paraId="6E69A951" w14:textId="77777777" w:rsidR="00251567" w:rsidRDefault="002006A7" w:rsidP="00365C52">
      <w:pPr>
        <w:pStyle w:val="1"/>
        <w:pBdr>
          <w:left w:val="single" w:sz="24" w:space="0" w:color="B8860B"/>
        </w:pBdr>
        <w:shd w:val="clear" w:color="auto" w:fill="1B2A4A"/>
        <w:bidi/>
        <w:spacing w:before="480" w:after="240"/>
      </w:pPr>
      <w:r>
        <w:rPr>
          <w:b/>
          <w:bCs/>
          <w:color w:val="FFFFFF"/>
          <w:rtl/>
        </w:rPr>
        <w:t xml:space="preserve">  المراجع والمصادر</w:t>
      </w:r>
    </w:p>
    <w:p w14:paraId="66916AA8" w14:textId="77777777" w:rsidR="00251567" w:rsidRDefault="002006A7" w:rsidP="00365C52">
      <w:pPr>
        <w:pStyle w:val="2"/>
        <w:pBdr>
          <w:bottom w:val="single" w:sz="8" w:space="0" w:color="116466"/>
        </w:pBdr>
        <w:bidi/>
        <w:spacing w:before="360" w:after="180"/>
      </w:pPr>
      <w:r>
        <w:rPr>
          <w:b/>
          <w:bCs/>
          <w:color w:val="116466"/>
          <w:sz w:val="27"/>
          <w:szCs w:val="27"/>
          <w:rtl/>
        </w:rPr>
        <w:t>أولاً: المصادر الأساسية (النموذج الاستخلافي)</w:t>
      </w:r>
    </w:p>
    <w:p w14:paraId="73B58DF6" w14:textId="77777777" w:rsidR="00251567" w:rsidRDefault="002006A7" w:rsidP="00365C52">
      <w:pPr>
        <w:spacing w:after="200" w:line="340" w:lineRule="auto"/>
        <w:ind w:firstLine="340"/>
      </w:pPr>
      <w:r>
        <w:rPr>
          <w:color w:val="222222"/>
          <w:rtl/>
        </w:rPr>
        <w:t>1. الزراع، عبد السلام. (2026). العلاج بحرث المصالحة التحويلية (TLRT): الدليل النظري والإكلينيكي. (الطبعة التجريبية الأولى).</w:t>
      </w:r>
    </w:p>
    <w:p w14:paraId="17141BE4" w14:textId="77777777" w:rsidR="00251567" w:rsidRDefault="002006A7" w:rsidP="00365C52">
      <w:pPr>
        <w:spacing w:after="200" w:line="340" w:lineRule="auto"/>
        <w:ind w:firstLine="340"/>
      </w:pPr>
      <w:r>
        <w:rPr>
          <w:color w:val="222222"/>
          <w:rtl/>
        </w:rPr>
        <w:t>2. الزراع، عبد السلام. (2026). الفصام الأخلاقي ومصدر الأزمات النفسية: قراءة في ضوء نظرية TLRT.</w:t>
      </w:r>
    </w:p>
    <w:p w14:paraId="797EC787" w14:textId="77777777" w:rsidR="00251567" w:rsidRDefault="002006A7" w:rsidP="00365C52">
      <w:pPr>
        <w:spacing w:after="200" w:line="340" w:lineRule="auto"/>
        <w:ind w:firstLine="340"/>
      </w:pPr>
      <w:r>
        <w:rPr>
          <w:color w:val="222222"/>
          <w:rtl/>
        </w:rPr>
        <w:t xml:space="preserve">3. الزراع، عبد السلام. (2026). </w:t>
      </w:r>
      <w:proofErr w:type="spellStart"/>
      <w:r>
        <w:rPr>
          <w:color w:val="222222"/>
          <w:rtl/>
        </w:rPr>
        <w:t>التمثلات</w:t>
      </w:r>
      <w:proofErr w:type="spellEnd"/>
      <w:r>
        <w:rPr>
          <w:color w:val="222222"/>
          <w:rtl/>
        </w:rPr>
        <w:t xml:space="preserve"> الداخلية للإله: من نظرية </w:t>
      </w:r>
      <w:proofErr w:type="spellStart"/>
      <w:r>
        <w:rPr>
          <w:color w:val="222222"/>
          <w:rtl/>
        </w:rPr>
        <w:t>ريزوتو</w:t>
      </w:r>
      <w:proofErr w:type="spellEnd"/>
      <w:r>
        <w:rPr>
          <w:color w:val="222222"/>
          <w:rtl/>
        </w:rPr>
        <w:t xml:space="preserve"> إلى إعادة بناء صورة الله في TLRT.</w:t>
      </w:r>
    </w:p>
    <w:p w14:paraId="0FB96DBF" w14:textId="77777777" w:rsidR="00251567" w:rsidRDefault="002006A7" w:rsidP="00365C52">
      <w:pPr>
        <w:spacing w:after="200" w:line="340" w:lineRule="auto"/>
        <w:ind w:firstLine="340"/>
      </w:pPr>
      <w:r>
        <w:rPr>
          <w:color w:val="222222"/>
          <w:rtl/>
        </w:rPr>
        <w:t>4. الزراع، عبد السلام. (2026). من "النفخة الإلهية" إلى "الشوق الوجودي": نحو نظرية استخلافية للروح.</w:t>
      </w:r>
    </w:p>
    <w:p w14:paraId="57B3FAD9" w14:textId="77777777" w:rsidR="00251567" w:rsidRDefault="002006A7" w:rsidP="00365C52">
      <w:pPr>
        <w:pStyle w:val="2"/>
        <w:pBdr>
          <w:bottom w:val="single" w:sz="8" w:space="0" w:color="116466"/>
        </w:pBdr>
        <w:bidi/>
        <w:spacing w:before="360" w:after="180"/>
      </w:pPr>
      <w:r>
        <w:rPr>
          <w:b/>
          <w:bCs/>
          <w:color w:val="116466"/>
          <w:sz w:val="27"/>
          <w:szCs w:val="27"/>
          <w:rtl/>
        </w:rPr>
        <w:t>ثانياً: مراجع في فلسفة الجسد والأنطولوجيا</w:t>
      </w:r>
    </w:p>
    <w:p w14:paraId="2EAB3518" w14:textId="77777777" w:rsidR="00251567" w:rsidRDefault="002006A7" w:rsidP="00365C52">
      <w:pPr>
        <w:spacing w:after="200" w:line="340" w:lineRule="auto"/>
        <w:ind w:firstLine="340"/>
      </w:pPr>
      <w:r>
        <w:rPr>
          <w:color w:val="222222"/>
          <w:rtl/>
        </w:rPr>
        <w:t xml:space="preserve">5. </w:t>
      </w:r>
      <w:proofErr w:type="spellStart"/>
      <w:r>
        <w:rPr>
          <w:color w:val="222222"/>
          <w:rtl/>
        </w:rPr>
        <w:t>Descartes</w:t>
      </w:r>
      <w:proofErr w:type="spellEnd"/>
      <w:r>
        <w:rPr>
          <w:color w:val="222222"/>
          <w:rtl/>
        </w:rPr>
        <w:t xml:space="preserve">, R. (1641). </w:t>
      </w:r>
      <w:proofErr w:type="spellStart"/>
      <w:r>
        <w:rPr>
          <w:color w:val="222222"/>
          <w:rtl/>
        </w:rPr>
        <w:t>Meditations</w:t>
      </w:r>
      <w:proofErr w:type="spellEnd"/>
      <w:r>
        <w:rPr>
          <w:color w:val="222222"/>
          <w:rtl/>
        </w:rPr>
        <w:t xml:space="preserve"> </w:t>
      </w:r>
      <w:proofErr w:type="spellStart"/>
      <w:r>
        <w:rPr>
          <w:color w:val="222222"/>
          <w:rtl/>
        </w:rPr>
        <w:t>on</w:t>
      </w:r>
      <w:proofErr w:type="spellEnd"/>
      <w:r>
        <w:rPr>
          <w:color w:val="222222"/>
          <w:rtl/>
        </w:rPr>
        <w:t xml:space="preserve"> </w:t>
      </w:r>
      <w:proofErr w:type="spellStart"/>
      <w:r>
        <w:rPr>
          <w:color w:val="222222"/>
          <w:rtl/>
        </w:rPr>
        <w:t>First</w:t>
      </w:r>
      <w:proofErr w:type="spellEnd"/>
      <w:r>
        <w:rPr>
          <w:color w:val="222222"/>
          <w:rtl/>
        </w:rPr>
        <w:t xml:space="preserve"> </w:t>
      </w:r>
      <w:proofErr w:type="spellStart"/>
      <w:r>
        <w:rPr>
          <w:color w:val="222222"/>
          <w:rtl/>
        </w:rPr>
        <w:t>Philosophy</w:t>
      </w:r>
      <w:proofErr w:type="spellEnd"/>
      <w:r>
        <w:rPr>
          <w:color w:val="222222"/>
          <w:rtl/>
        </w:rPr>
        <w:t xml:space="preserve">. (J. </w:t>
      </w:r>
      <w:proofErr w:type="spellStart"/>
      <w:r>
        <w:rPr>
          <w:color w:val="222222"/>
          <w:rtl/>
        </w:rPr>
        <w:t>Cottingham</w:t>
      </w:r>
      <w:proofErr w:type="spellEnd"/>
      <w:r>
        <w:rPr>
          <w:color w:val="222222"/>
          <w:rtl/>
        </w:rPr>
        <w:t xml:space="preserve">, </w:t>
      </w:r>
      <w:proofErr w:type="spellStart"/>
      <w:r>
        <w:rPr>
          <w:color w:val="222222"/>
          <w:rtl/>
        </w:rPr>
        <w:t>Trans</w:t>
      </w:r>
      <w:proofErr w:type="spellEnd"/>
      <w:r>
        <w:rPr>
          <w:color w:val="222222"/>
          <w:rtl/>
        </w:rPr>
        <w:t xml:space="preserve">.). </w:t>
      </w:r>
      <w:proofErr w:type="spellStart"/>
      <w:r>
        <w:rPr>
          <w:color w:val="222222"/>
          <w:rtl/>
        </w:rPr>
        <w:t>Cambridge</w:t>
      </w:r>
      <w:proofErr w:type="spellEnd"/>
      <w:r>
        <w:rPr>
          <w:color w:val="222222"/>
          <w:rtl/>
        </w:rPr>
        <w:t xml:space="preserve">: </w:t>
      </w:r>
      <w:proofErr w:type="spellStart"/>
      <w:r>
        <w:rPr>
          <w:color w:val="222222"/>
          <w:rtl/>
        </w:rPr>
        <w:t>Cambridge</w:t>
      </w:r>
      <w:proofErr w:type="spellEnd"/>
      <w:r>
        <w:rPr>
          <w:color w:val="222222"/>
          <w:rtl/>
        </w:rPr>
        <w:t xml:space="preserve"> </w:t>
      </w:r>
      <w:proofErr w:type="spellStart"/>
      <w:r>
        <w:rPr>
          <w:color w:val="222222"/>
          <w:rtl/>
        </w:rPr>
        <w:t>University</w:t>
      </w:r>
      <w:proofErr w:type="spellEnd"/>
      <w:r>
        <w:rPr>
          <w:color w:val="222222"/>
          <w:rtl/>
        </w:rPr>
        <w:t xml:space="preserve"> </w:t>
      </w:r>
      <w:proofErr w:type="spellStart"/>
      <w:r>
        <w:rPr>
          <w:color w:val="222222"/>
          <w:rtl/>
        </w:rPr>
        <w:t>Press</w:t>
      </w:r>
      <w:proofErr w:type="spellEnd"/>
      <w:r>
        <w:rPr>
          <w:color w:val="222222"/>
          <w:rtl/>
        </w:rPr>
        <w:t>.</w:t>
      </w:r>
    </w:p>
    <w:p w14:paraId="7920A086" w14:textId="77777777" w:rsidR="00251567" w:rsidRDefault="002006A7" w:rsidP="00365C52">
      <w:pPr>
        <w:spacing w:after="200" w:line="340" w:lineRule="auto"/>
        <w:ind w:firstLine="340"/>
      </w:pPr>
      <w:r>
        <w:rPr>
          <w:color w:val="222222"/>
          <w:rtl/>
        </w:rPr>
        <w:t xml:space="preserve">6. </w:t>
      </w:r>
      <w:proofErr w:type="spellStart"/>
      <w:r>
        <w:rPr>
          <w:color w:val="222222"/>
          <w:rtl/>
        </w:rPr>
        <w:t>Merleau-Ponty</w:t>
      </w:r>
      <w:proofErr w:type="spellEnd"/>
      <w:r>
        <w:rPr>
          <w:color w:val="222222"/>
          <w:rtl/>
        </w:rPr>
        <w:t xml:space="preserve">, M. (1945). </w:t>
      </w:r>
      <w:proofErr w:type="spellStart"/>
      <w:r>
        <w:rPr>
          <w:color w:val="222222"/>
          <w:rtl/>
        </w:rPr>
        <w:t>Phénoménologie</w:t>
      </w:r>
      <w:proofErr w:type="spellEnd"/>
      <w:r>
        <w:rPr>
          <w:color w:val="222222"/>
          <w:rtl/>
        </w:rPr>
        <w:t xml:space="preserve"> </w:t>
      </w:r>
      <w:proofErr w:type="spellStart"/>
      <w:r>
        <w:rPr>
          <w:color w:val="222222"/>
          <w:rtl/>
        </w:rPr>
        <w:t>de</w:t>
      </w:r>
      <w:proofErr w:type="spellEnd"/>
      <w:r>
        <w:rPr>
          <w:color w:val="222222"/>
          <w:rtl/>
        </w:rPr>
        <w:t xml:space="preserve"> </w:t>
      </w:r>
      <w:proofErr w:type="spellStart"/>
      <w:r>
        <w:rPr>
          <w:color w:val="222222"/>
          <w:rtl/>
        </w:rPr>
        <w:t>la</w:t>
      </w:r>
      <w:proofErr w:type="spellEnd"/>
      <w:r>
        <w:rPr>
          <w:color w:val="222222"/>
          <w:rtl/>
        </w:rPr>
        <w:t xml:space="preserve"> </w:t>
      </w:r>
      <w:proofErr w:type="spellStart"/>
      <w:r>
        <w:rPr>
          <w:color w:val="222222"/>
          <w:rtl/>
        </w:rPr>
        <w:t>perception</w:t>
      </w:r>
      <w:proofErr w:type="spellEnd"/>
      <w:r>
        <w:rPr>
          <w:color w:val="222222"/>
          <w:rtl/>
        </w:rPr>
        <w:t xml:space="preserve">. </w:t>
      </w:r>
      <w:proofErr w:type="spellStart"/>
      <w:r>
        <w:rPr>
          <w:color w:val="222222"/>
          <w:rtl/>
        </w:rPr>
        <w:t>Paris</w:t>
      </w:r>
      <w:proofErr w:type="spellEnd"/>
      <w:r>
        <w:rPr>
          <w:color w:val="222222"/>
          <w:rtl/>
        </w:rPr>
        <w:t xml:space="preserve">: </w:t>
      </w:r>
      <w:proofErr w:type="spellStart"/>
      <w:r>
        <w:rPr>
          <w:color w:val="222222"/>
          <w:rtl/>
        </w:rPr>
        <w:t>Gallimard</w:t>
      </w:r>
      <w:proofErr w:type="spellEnd"/>
      <w:r>
        <w:rPr>
          <w:color w:val="222222"/>
          <w:rtl/>
        </w:rPr>
        <w:t>.</w:t>
      </w:r>
    </w:p>
    <w:p w14:paraId="73BB2778" w14:textId="77777777" w:rsidR="00251567" w:rsidRDefault="002006A7" w:rsidP="00365C52">
      <w:pPr>
        <w:spacing w:after="200" w:line="340" w:lineRule="auto"/>
        <w:ind w:firstLine="340"/>
      </w:pPr>
      <w:r>
        <w:rPr>
          <w:color w:val="222222"/>
          <w:rtl/>
        </w:rPr>
        <w:t xml:space="preserve">7. </w:t>
      </w:r>
      <w:proofErr w:type="spellStart"/>
      <w:r>
        <w:rPr>
          <w:color w:val="222222"/>
          <w:rtl/>
        </w:rPr>
        <w:t>Foucault</w:t>
      </w:r>
      <w:proofErr w:type="spellEnd"/>
      <w:r>
        <w:rPr>
          <w:color w:val="222222"/>
          <w:rtl/>
        </w:rPr>
        <w:t xml:space="preserve">, M. (1963). </w:t>
      </w:r>
      <w:proofErr w:type="spellStart"/>
      <w:r>
        <w:rPr>
          <w:color w:val="222222"/>
          <w:rtl/>
        </w:rPr>
        <w:t>Naissance</w:t>
      </w:r>
      <w:proofErr w:type="spellEnd"/>
      <w:r>
        <w:rPr>
          <w:color w:val="222222"/>
          <w:rtl/>
        </w:rPr>
        <w:t xml:space="preserve"> </w:t>
      </w:r>
      <w:proofErr w:type="spellStart"/>
      <w:r>
        <w:rPr>
          <w:color w:val="222222"/>
          <w:rtl/>
        </w:rPr>
        <w:t>de</w:t>
      </w:r>
      <w:proofErr w:type="spellEnd"/>
      <w:r>
        <w:rPr>
          <w:color w:val="222222"/>
          <w:rtl/>
        </w:rPr>
        <w:t xml:space="preserve"> </w:t>
      </w:r>
      <w:proofErr w:type="spellStart"/>
      <w:r>
        <w:rPr>
          <w:color w:val="222222"/>
          <w:rtl/>
        </w:rPr>
        <w:t>la</w:t>
      </w:r>
      <w:proofErr w:type="spellEnd"/>
      <w:r>
        <w:rPr>
          <w:color w:val="222222"/>
          <w:rtl/>
        </w:rPr>
        <w:t xml:space="preserve"> </w:t>
      </w:r>
      <w:proofErr w:type="spellStart"/>
      <w:r>
        <w:rPr>
          <w:color w:val="222222"/>
          <w:rtl/>
        </w:rPr>
        <w:t>clinique</w:t>
      </w:r>
      <w:proofErr w:type="spellEnd"/>
      <w:r>
        <w:rPr>
          <w:color w:val="222222"/>
          <w:rtl/>
        </w:rPr>
        <w:t xml:space="preserve">: </w:t>
      </w:r>
      <w:proofErr w:type="spellStart"/>
      <w:r>
        <w:rPr>
          <w:color w:val="222222"/>
          <w:rtl/>
        </w:rPr>
        <w:t>Une</w:t>
      </w:r>
      <w:proofErr w:type="spellEnd"/>
      <w:r>
        <w:rPr>
          <w:color w:val="222222"/>
          <w:rtl/>
        </w:rPr>
        <w:t xml:space="preserve"> </w:t>
      </w:r>
      <w:proofErr w:type="spellStart"/>
      <w:r>
        <w:rPr>
          <w:color w:val="222222"/>
          <w:rtl/>
        </w:rPr>
        <w:t>archéologie</w:t>
      </w:r>
      <w:proofErr w:type="spellEnd"/>
      <w:r>
        <w:rPr>
          <w:color w:val="222222"/>
          <w:rtl/>
        </w:rPr>
        <w:t xml:space="preserve"> </w:t>
      </w:r>
      <w:proofErr w:type="spellStart"/>
      <w:r>
        <w:rPr>
          <w:color w:val="222222"/>
          <w:rtl/>
        </w:rPr>
        <w:t>du</w:t>
      </w:r>
      <w:proofErr w:type="spellEnd"/>
      <w:r>
        <w:rPr>
          <w:color w:val="222222"/>
          <w:rtl/>
        </w:rPr>
        <w:t xml:space="preserve"> </w:t>
      </w:r>
      <w:proofErr w:type="spellStart"/>
      <w:r>
        <w:rPr>
          <w:color w:val="222222"/>
          <w:rtl/>
        </w:rPr>
        <w:t>regard</w:t>
      </w:r>
      <w:proofErr w:type="spellEnd"/>
      <w:r>
        <w:rPr>
          <w:color w:val="222222"/>
          <w:rtl/>
        </w:rPr>
        <w:t xml:space="preserve"> </w:t>
      </w:r>
      <w:proofErr w:type="spellStart"/>
      <w:r>
        <w:rPr>
          <w:color w:val="222222"/>
          <w:rtl/>
        </w:rPr>
        <w:t>médical</w:t>
      </w:r>
      <w:proofErr w:type="spellEnd"/>
      <w:r>
        <w:rPr>
          <w:color w:val="222222"/>
          <w:rtl/>
        </w:rPr>
        <w:t xml:space="preserve">. </w:t>
      </w:r>
      <w:proofErr w:type="spellStart"/>
      <w:r>
        <w:rPr>
          <w:color w:val="222222"/>
          <w:rtl/>
        </w:rPr>
        <w:t>Paris</w:t>
      </w:r>
      <w:proofErr w:type="spellEnd"/>
      <w:r>
        <w:rPr>
          <w:color w:val="222222"/>
          <w:rtl/>
        </w:rPr>
        <w:t xml:space="preserve">: </w:t>
      </w:r>
      <w:proofErr w:type="spellStart"/>
      <w:r>
        <w:rPr>
          <w:color w:val="222222"/>
          <w:rtl/>
        </w:rPr>
        <w:t>Presses</w:t>
      </w:r>
      <w:proofErr w:type="spellEnd"/>
      <w:r>
        <w:rPr>
          <w:color w:val="222222"/>
          <w:rtl/>
        </w:rPr>
        <w:t xml:space="preserve"> </w:t>
      </w:r>
      <w:proofErr w:type="spellStart"/>
      <w:r>
        <w:rPr>
          <w:color w:val="222222"/>
          <w:rtl/>
        </w:rPr>
        <w:t>Universitaires</w:t>
      </w:r>
      <w:proofErr w:type="spellEnd"/>
      <w:r>
        <w:rPr>
          <w:color w:val="222222"/>
          <w:rtl/>
        </w:rPr>
        <w:t xml:space="preserve"> </w:t>
      </w:r>
      <w:proofErr w:type="spellStart"/>
      <w:r>
        <w:rPr>
          <w:color w:val="222222"/>
          <w:rtl/>
        </w:rPr>
        <w:t>de</w:t>
      </w:r>
      <w:proofErr w:type="spellEnd"/>
      <w:r>
        <w:rPr>
          <w:color w:val="222222"/>
          <w:rtl/>
        </w:rPr>
        <w:t xml:space="preserve"> </w:t>
      </w:r>
      <w:proofErr w:type="spellStart"/>
      <w:r>
        <w:rPr>
          <w:color w:val="222222"/>
          <w:rtl/>
        </w:rPr>
        <w:t>France</w:t>
      </w:r>
      <w:proofErr w:type="spellEnd"/>
      <w:r>
        <w:rPr>
          <w:color w:val="222222"/>
          <w:rtl/>
        </w:rPr>
        <w:t>.</w:t>
      </w:r>
    </w:p>
    <w:p w14:paraId="6DE60AEC" w14:textId="77777777" w:rsidR="00251567" w:rsidRDefault="002006A7" w:rsidP="00365C52">
      <w:pPr>
        <w:spacing w:after="200" w:line="340" w:lineRule="auto"/>
        <w:ind w:firstLine="340"/>
      </w:pPr>
      <w:r>
        <w:rPr>
          <w:color w:val="222222"/>
          <w:rtl/>
        </w:rPr>
        <w:t xml:space="preserve">8. </w:t>
      </w:r>
      <w:proofErr w:type="spellStart"/>
      <w:r>
        <w:rPr>
          <w:color w:val="222222"/>
          <w:rtl/>
        </w:rPr>
        <w:t>Nietzsche</w:t>
      </w:r>
      <w:proofErr w:type="spellEnd"/>
      <w:r>
        <w:rPr>
          <w:color w:val="222222"/>
          <w:rtl/>
        </w:rPr>
        <w:t xml:space="preserve">, F. (1883). </w:t>
      </w:r>
      <w:proofErr w:type="spellStart"/>
      <w:r>
        <w:rPr>
          <w:color w:val="222222"/>
          <w:rtl/>
        </w:rPr>
        <w:t>Also</w:t>
      </w:r>
      <w:proofErr w:type="spellEnd"/>
      <w:r>
        <w:rPr>
          <w:color w:val="222222"/>
          <w:rtl/>
        </w:rPr>
        <w:t xml:space="preserve"> </w:t>
      </w:r>
      <w:proofErr w:type="spellStart"/>
      <w:r>
        <w:rPr>
          <w:color w:val="222222"/>
          <w:rtl/>
        </w:rPr>
        <w:t>sprach</w:t>
      </w:r>
      <w:proofErr w:type="spellEnd"/>
      <w:r>
        <w:rPr>
          <w:color w:val="222222"/>
          <w:rtl/>
        </w:rPr>
        <w:t xml:space="preserve"> </w:t>
      </w:r>
      <w:proofErr w:type="spellStart"/>
      <w:r>
        <w:rPr>
          <w:color w:val="222222"/>
          <w:rtl/>
        </w:rPr>
        <w:t>Zarathustra</w:t>
      </w:r>
      <w:proofErr w:type="spellEnd"/>
      <w:r>
        <w:rPr>
          <w:color w:val="222222"/>
          <w:rtl/>
        </w:rPr>
        <w:t xml:space="preserve">. </w:t>
      </w:r>
      <w:proofErr w:type="spellStart"/>
      <w:r>
        <w:rPr>
          <w:color w:val="222222"/>
          <w:rtl/>
        </w:rPr>
        <w:t>Chemnitz</w:t>
      </w:r>
      <w:proofErr w:type="spellEnd"/>
      <w:r>
        <w:rPr>
          <w:color w:val="222222"/>
          <w:rtl/>
        </w:rPr>
        <w:t xml:space="preserve">: </w:t>
      </w:r>
      <w:proofErr w:type="spellStart"/>
      <w:r>
        <w:rPr>
          <w:color w:val="222222"/>
          <w:rtl/>
        </w:rPr>
        <w:t>Ernst</w:t>
      </w:r>
      <w:proofErr w:type="spellEnd"/>
      <w:r>
        <w:rPr>
          <w:color w:val="222222"/>
          <w:rtl/>
        </w:rPr>
        <w:t xml:space="preserve"> </w:t>
      </w:r>
      <w:proofErr w:type="spellStart"/>
      <w:r>
        <w:rPr>
          <w:color w:val="222222"/>
          <w:rtl/>
        </w:rPr>
        <w:t>Schmeitzner</w:t>
      </w:r>
      <w:proofErr w:type="spellEnd"/>
      <w:r>
        <w:rPr>
          <w:color w:val="222222"/>
          <w:rtl/>
        </w:rPr>
        <w:t>.</w:t>
      </w:r>
    </w:p>
    <w:p w14:paraId="2D3DE1F8" w14:textId="77777777" w:rsidR="00251567" w:rsidRDefault="002006A7" w:rsidP="00365C52">
      <w:pPr>
        <w:spacing w:after="200" w:line="340" w:lineRule="auto"/>
        <w:ind w:firstLine="340"/>
      </w:pPr>
      <w:r>
        <w:rPr>
          <w:color w:val="222222"/>
          <w:rtl/>
        </w:rPr>
        <w:t xml:space="preserve">9. </w:t>
      </w:r>
      <w:proofErr w:type="spellStart"/>
      <w:r>
        <w:rPr>
          <w:color w:val="222222"/>
          <w:rtl/>
        </w:rPr>
        <w:t>Turner</w:t>
      </w:r>
      <w:proofErr w:type="spellEnd"/>
      <w:r>
        <w:rPr>
          <w:color w:val="222222"/>
          <w:rtl/>
        </w:rPr>
        <w:t xml:space="preserve">, B. S. (2008). </w:t>
      </w:r>
      <w:proofErr w:type="spellStart"/>
      <w:r>
        <w:rPr>
          <w:color w:val="222222"/>
          <w:rtl/>
        </w:rPr>
        <w:t>The</w:t>
      </w:r>
      <w:proofErr w:type="spellEnd"/>
      <w:r>
        <w:rPr>
          <w:color w:val="222222"/>
          <w:rtl/>
        </w:rPr>
        <w:t xml:space="preserve"> </w:t>
      </w:r>
      <w:proofErr w:type="spellStart"/>
      <w:r>
        <w:rPr>
          <w:color w:val="222222"/>
          <w:rtl/>
        </w:rPr>
        <w:t>Body</w:t>
      </w:r>
      <w:proofErr w:type="spellEnd"/>
      <w:r>
        <w:rPr>
          <w:color w:val="222222"/>
          <w:rtl/>
        </w:rPr>
        <w:t xml:space="preserve"> </w:t>
      </w:r>
      <w:proofErr w:type="spellStart"/>
      <w:r>
        <w:rPr>
          <w:color w:val="222222"/>
          <w:rtl/>
        </w:rPr>
        <w:t>and</w:t>
      </w:r>
      <w:proofErr w:type="spellEnd"/>
      <w:r>
        <w:rPr>
          <w:color w:val="222222"/>
          <w:rtl/>
        </w:rPr>
        <w:t xml:space="preserve"> </w:t>
      </w:r>
      <w:proofErr w:type="spellStart"/>
      <w:r>
        <w:rPr>
          <w:color w:val="222222"/>
          <w:rtl/>
        </w:rPr>
        <w:t>Society</w:t>
      </w:r>
      <w:proofErr w:type="spellEnd"/>
      <w:r>
        <w:rPr>
          <w:color w:val="222222"/>
          <w:rtl/>
        </w:rPr>
        <w:t xml:space="preserve">: </w:t>
      </w:r>
      <w:proofErr w:type="spellStart"/>
      <w:r>
        <w:rPr>
          <w:color w:val="222222"/>
          <w:rtl/>
        </w:rPr>
        <w:t>Explorations</w:t>
      </w:r>
      <w:proofErr w:type="spellEnd"/>
      <w:r>
        <w:rPr>
          <w:color w:val="222222"/>
          <w:rtl/>
        </w:rPr>
        <w:t xml:space="preserve"> </w:t>
      </w:r>
      <w:proofErr w:type="spellStart"/>
      <w:r>
        <w:rPr>
          <w:color w:val="222222"/>
          <w:rtl/>
        </w:rPr>
        <w:t>in</w:t>
      </w:r>
      <w:proofErr w:type="spellEnd"/>
      <w:r>
        <w:rPr>
          <w:color w:val="222222"/>
          <w:rtl/>
        </w:rPr>
        <w:t xml:space="preserve"> </w:t>
      </w:r>
      <w:proofErr w:type="spellStart"/>
      <w:r>
        <w:rPr>
          <w:color w:val="222222"/>
          <w:rtl/>
        </w:rPr>
        <w:t>Social</w:t>
      </w:r>
      <w:proofErr w:type="spellEnd"/>
      <w:r>
        <w:rPr>
          <w:color w:val="222222"/>
          <w:rtl/>
        </w:rPr>
        <w:t xml:space="preserve"> </w:t>
      </w:r>
      <w:proofErr w:type="spellStart"/>
      <w:r>
        <w:rPr>
          <w:color w:val="222222"/>
          <w:rtl/>
        </w:rPr>
        <w:t>Theory</w:t>
      </w:r>
      <w:proofErr w:type="spellEnd"/>
      <w:r>
        <w:rPr>
          <w:color w:val="222222"/>
          <w:rtl/>
        </w:rPr>
        <w:t xml:space="preserve"> (3rd </w:t>
      </w:r>
      <w:proofErr w:type="spellStart"/>
      <w:r>
        <w:rPr>
          <w:color w:val="222222"/>
          <w:rtl/>
        </w:rPr>
        <w:t>ed</w:t>
      </w:r>
      <w:proofErr w:type="spellEnd"/>
      <w:r>
        <w:rPr>
          <w:color w:val="222222"/>
          <w:rtl/>
        </w:rPr>
        <w:t xml:space="preserve">.). </w:t>
      </w:r>
      <w:proofErr w:type="spellStart"/>
      <w:r>
        <w:rPr>
          <w:color w:val="222222"/>
          <w:rtl/>
        </w:rPr>
        <w:t>London</w:t>
      </w:r>
      <w:proofErr w:type="spellEnd"/>
      <w:r>
        <w:rPr>
          <w:color w:val="222222"/>
          <w:rtl/>
        </w:rPr>
        <w:t xml:space="preserve">: </w:t>
      </w:r>
      <w:proofErr w:type="spellStart"/>
      <w:r>
        <w:rPr>
          <w:color w:val="222222"/>
          <w:rtl/>
        </w:rPr>
        <w:t>Sage</w:t>
      </w:r>
      <w:proofErr w:type="spellEnd"/>
      <w:r>
        <w:rPr>
          <w:color w:val="222222"/>
          <w:rtl/>
        </w:rPr>
        <w:t xml:space="preserve"> </w:t>
      </w:r>
      <w:proofErr w:type="spellStart"/>
      <w:r>
        <w:rPr>
          <w:color w:val="222222"/>
          <w:rtl/>
        </w:rPr>
        <w:t>Publications</w:t>
      </w:r>
      <w:proofErr w:type="spellEnd"/>
      <w:r>
        <w:rPr>
          <w:color w:val="222222"/>
          <w:rtl/>
        </w:rPr>
        <w:t>.</w:t>
      </w:r>
    </w:p>
    <w:p w14:paraId="3A129FAA" w14:textId="77777777" w:rsidR="00251567" w:rsidRDefault="002006A7" w:rsidP="00365C52">
      <w:pPr>
        <w:spacing w:after="200" w:line="340" w:lineRule="auto"/>
        <w:ind w:firstLine="340"/>
      </w:pPr>
      <w:r>
        <w:rPr>
          <w:color w:val="222222"/>
          <w:rtl/>
        </w:rPr>
        <w:t xml:space="preserve">10. </w:t>
      </w:r>
      <w:proofErr w:type="spellStart"/>
      <w:r>
        <w:rPr>
          <w:color w:val="222222"/>
          <w:rtl/>
        </w:rPr>
        <w:t>Csordas</w:t>
      </w:r>
      <w:proofErr w:type="spellEnd"/>
      <w:r>
        <w:rPr>
          <w:color w:val="222222"/>
          <w:rtl/>
        </w:rPr>
        <w:t xml:space="preserve">, T. J. (1990). </w:t>
      </w:r>
      <w:proofErr w:type="spellStart"/>
      <w:r>
        <w:rPr>
          <w:color w:val="222222"/>
          <w:rtl/>
        </w:rPr>
        <w:t>Embodiment</w:t>
      </w:r>
      <w:proofErr w:type="spellEnd"/>
      <w:r>
        <w:rPr>
          <w:color w:val="222222"/>
          <w:rtl/>
        </w:rPr>
        <w:t xml:space="preserve"> </w:t>
      </w:r>
      <w:proofErr w:type="spellStart"/>
      <w:r>
        <w:rPr>
          <w:color w:val="222222"/>
          <w:rtl/>
        </w:rPr>
        <w:t>as</w:t>
      </w:r>
      <w:proofErr w:type="spellEnd"/>
      <w:r>
        <w:rPr>
          <w:color w:val="222222"/>
          <w:rtl/>
        </w:rPr>
        <w:t xml:space="preserve"> a </w:t>
      </w:r>
      <w:proofErr w:type="spellStart"/>
      <w:r>
        <w:rPr>
          <w:color w:val="222222"/>
          <w:rtl/>
        </w:rPr>
        <w:t>Paradigm</w:t>
      </w:r>
      <w:proofErr w:type="spellEnd"/>
      <w:r>
        <w:rPr>
          <w:color w:val="222222"/>
          <w:rtl/>
        </w:rPr>
        <w:t xml:space="preserve"> </w:t>
      </w:r>
      <w:proofErr w:type="spellStart"/>
      <w:r>
        <w:rPr>
          <w:color w:val="222222"/>
          <w:rtl/>
        </w:rPr>
        <w:t>for</w:t>
      </w:r>
      <w:proofErr w:type="spellEnd"/>
      <w:r>
        <w:rPr>
          <w:color w:val="222222"/>
          <w:rtl/>
        </w:rPr>
        <w:t xml:space="preserve"> </w:t>
      </w:r>
      <w:proofErr w:type="spellStart"/>
      <w:r>
        <w:rPr>
          <w:color w:val="222222"/>
          <w:rtl/>
        </w:rPr>
        <w:t>Anthropology</w:t>
      </w:r>
      <w:proofErr w:type="spellEnd"/>
      <w:r>
        <w:rPr>
          <w:color w:val="222222"/>
          <w:rtl/>
        </w:rPr>
        <w:t xml:space="preserve">. </w:t>
      </w:r>
      <w:proofErr w:type="spellStart"/>
      <w:r>
        <w:rPr>
          <w:color w:val="222222"/>
          <w:rtl/>
        </w:rPr>
        <w:t>Ethos</w:t>
      </w:r>
      <w:proofErr w:type="spellEnd"/>
      <w:r>
        <w:rPr>
          <w:color w:val="222222"/>
          <w:rtl/>
        </w:rPr>
        <w:t>, 18(1), 5–47.</w:t>
      </w:r>
    </w:p>
    <w:p w14:paraId="77841BEA" w14:textId="77777777" w:rsidR="00251567" w:rsidRDefault="002006A7" w:rsidP="00365C52">
      <w:pPr>
        <w:pStyle w:val="2"/>
        <w:pBdr>
          <w:bottom w:val="single" w:sz="8" w:space="0" w:color="116466"/>
        </w:pBdr>
        <w:bidi/>
        <w:spacing w:before="360" w:after="180"/>
      </w:pPr>
      <w:r>
        <w:rPr>
          <w:b/>
          <w:bCs/>
          <w:color w:val="116466"/>
          <w:sz w:val="27"/>
          <w:szCs w:val="27"/>
          <w:rtl/>
        </w:rPr>
        <w:t>ثالثاً: مراجع في علم الأعصاب وعلم المناعة العصبية النفسية</w:t>
      </w:r>
    </w:p>
    <w:p w14:paraId="222FD413" w14:textId="77777777" w:rsidR="00251567" w:rsidRDefault="002006A7" w:rsidP="00365C52">
      <w:pPr>
        <w:spacing w:after="200" w:line="340" w:lineRule="auto"/>
        <w:ind w:firstLine="340"/>
      </w:pPr>
      <w:r>
        <w:rPr>
          <w:color w:val="222222"/>
          <w:rtl/>
        </w:rPr>
        <w:t xml:space="preserve">11. </w:t>
      </w:r>
      <w:proofErr w:type="spellStart"/>
      <w:r>
        <w:rPr>
          <w:color w:val="222222"/>
          <w:rtl/>
        </w:rPr>
        <w:t>LeDoux</w:t>
      </w:r>
      <w:proofErr w:type="spellEnd"/>
      <w:r>
        <w:rPr>
          <w:color w:val="222222"/>
          <w:rtl/>
        </w:rPr>
        <w:t xml:space="preserve">, J. E. (1996). </w:t>
      </w:r>
      <w:proofErr w:type="spellStart"/>
      <w:r>
        <w:rPr>
          <w:color w:val="222222"/>
          <w:rtl/>
        </w:rPr>
        <w:t>The</w:t>
      </w:r>
      <w:proofErr w:type="spellEnd"/>
      <w:r>
        <w:rPr>
          <w:color w:val="222222"/>
          <w:rtl/>
        </w:rPr>
        <w:t xml:space="preserve"> </w:t>
      </w:r>
      <w:proofErr w:type="spellStart"/>
      <w:r>
        <w:rPr>
          <w:color w:val="222222"/>
          <w:rtl/>
        </w:rPr>
        <w:t>Emotional</w:t>
      </w:r>
      <w:proofErr w:type="spellEnd"/>
      <w:r>
        <w:rPr>
          <w:color w:val="222222"/>
          <w:rtl/>
        </w:rPr>
        <w:t xml:space="preserve"> </w:t>
      </w:r>
      <w:proofErr w:type="spellStart"/>
      <w:r>
        <w:rPr>
          <w:color w:val="222222"/>
          <w:rtl/>
        </w:rPr>
        <w:t>Brain</w:t>
      </w:r>
      <w:proofErr w:type="spellEnd"/>
      <w:r>
        <w:rPr>
          <w:color w:val="222222"/>
          <w:rtl/>
        </w:rPr>
        <w:t xml:space="preserve">: </w:t>
      </w:r>
      <w:proofErr w:type="spellStart"/>
      <w:r>
        <w:rPr>
          <w:color w:val="222222"/>
          <w:rtl/>
        </w:rPr>
        <w:t>The</w:t>
      </w:r>
      <w:proofErr w:type="spellEnd"/>
      <w:r>
        <w:rPr>
          <w:color w:val="222222"/>
          <w:rtl/>
        </w:rPr>
        <w:t xml:space="preserve"> </w:t>
      </w:r>
      <w:proofErr w:type="spellStart"/>
      <w:r>
        <w:rPr>
          <w:color w:val="222222"/>
          <w:rtl/>
        </w:rPr>
        <w:t>Mysterious</w:t>
      </w:r>
      <w:proofErr w:type="spellEnd"/>
      <w:r>
        <w:rPr>
          <w:color w:val="222222"/>
          <w:rtl/>
        </w:rPr>
        <w:t xml:space="preserve"> </w:t>
      </w:r>
      <w:proofErr w:type="spellStart"/>
      <w:r>
        <w:rPr>
          <w:color w:val="222222"/>
          <w:rtl/>
        </w:rPr>
        <w:t>Underpinnings</w:t>
      </w:r>
      <w:proofErr w:type="spellEnd"/>
      <w:r>
        <w:rPr>
          <w:color w:val="222222"/>
          <w:rtl/>
        </w:rPr>
        <w:t xml:space="preserve"> </w:t>
      </w:r>
      <w:proofErr w:type="spellStart"/>
      <w:r>
        <w:rPr>
          <w:color w:val="222222"/>
          <w:rtl/>
        </w:rPr>
        <w:t>of</w:t>
      </w:r>
      <w:proofErr w:type="spellEnd"/>
      <w:r>
        <w:rPr>
          <w:color w:val="222222"/>
          <w:rtl/>
        </w:rPr>
        <w:t xml:space="preserve"> </w:t>
      </w:r>
      <w:proofErr w:type="spellStart"/>
      <w:r>
        <w:rPr>
          <w:color w:val="222222"/>
          <w:rtl/>
        </w:rPr>
        <w:t>Emotional</w:t>
      </w:r>
      <w:proofErr w:type="spellEnd"/>
      <w:r>
        <w:rPr>
          <w:color w:val="222222"/>
          <w:rtl/>
        </w:rPr>
        <w:t xml:space="preserve"> </w:t>
      </w:r>
      <w:proofErr w:type="spellStart"/>
      <w:r>
        <w:rPr>
          <w:color w:val="222222"/>
          <w:rtl/>
        </w:rPr>
        <w:t>Life</w:t>
      </w:r>
      <w:proofErr w:type="spellEnd"/>
      <w:r>
        <w:rPr>
          <w:color w:val="222222"/>
          <w:rtl/>
        </w:rPr>
        <w:t xml:space="preserve">. </w:t>
      </w:r>
      <w:proofErr w:type="spellStart"/>
      <w:r>
        <w:rPr>
          <w:color w:val="222222"/>
          <w:rtl/>
        </w:rPr>
        <w:t>New</w:t>
      </w:r>
      <w:proofErr w:type="spellEnd"/>
      <w:r>
        <w:rPr>
          <w:color w:val="222222"/>
          <w:rtl/>
        </w:rPr>
        <w:t xml:space="preserve"> </w:t>
      </w:r>
      <w:proofErr w:type="spellStart"/>
      <w:r>
        <w:rPr>
          <w:color w:val="222222"/>
          <w:rtl/>
        </w:rPr>
        <w:t>York</w:t>
      </w:r>
      <w:proofErr w:type="spellEnd"/>
      <w:r>
        <w:rPr>
          <w:color w:val="222222"/>
          <w:rtl/>
        </w:rPr>
        <w:t xml:space="preserve">: </w:t>
      </w:r>
      <w:proofErr w:type="spellStart"/>
      <w:r>
        <w:rPr>
          <w:color w:val="222222"/>
          <w:rtl/>
        </w:rPr>
        <w:t>Simon</w:t>
      </w:r>
      <w:proofErr w:type="spellEnd"/>
      <w:r>
        <w:rPr>
          <w:color w:val="222222"/>
          <w:rtl/>
        </w:rPr>
        <w:t xml:space="preserve"> &amp; </w:t>
      </w:r>
      <w:proofErr w:type="spellStart"/>
      <w:r>
        <w:rPr>
          <w:color w:val="222222"/>
          <w:rtl/>
        </w:rPr>
        <w:t>Schuster</w:t>
      </w:r>
      <w:proofErr w:type="spellEnd"/>
      <w:r>
        <w:rPr>
          <w:color w:val="222222"/>
          <w:rtl/>
        </w:rPr>
        <w:t>.</w:t>
      </w:r>
    </w:p>
    <w:p w14:paraId="1FE79E51" w14:textId="77777777" w:rsidR="00251567" w:rsidRDefault="002006A7" w:rsidP="00365C52">
      <w:pPr>
        <w:spacing w:after="200" w:line="340" w:lineRule="auto"/>
        <w:ind w:firstLine="340"/>
      </w:pPr>
      <w:r>
        <w:rPr>
          <w:color w:val="222222"/>
          <w:rtl/>
        </w:rPr>
        <w:t xml:space="preserve">12. </w:t>
      </w:r>
      <w:proofErr w:type="spellStart"/>
      <w:r>
        <w:rPr>
          <w:color w:val="222222"/>
          <w:rtl/>
        </w:rPr>
        <w:t>Porges</w:t>
      </w:r>
      <w:proofErr w:type="spellEnd"/>
      <w:r>
        <w:rPr>
          <w:color w:val="222222"/>
          <w:rtl/>
        </w:rPr>
        <w:t xml:space="preserve">, S. W. (2011). </w:t>
      </w:r>
      <w:proofErr w:type="spellStart"/>
      <w:r>
        <w:rPr>
          <w:color w:val="222222"/>
          <w:rtl/>
        </w:rPr>
        <w:t>The</w:t>
      </w:r>
      <w:proofErr w:type="spellEnd"/>
      <w:r>
        <w:rPr>
          <w:color w:val="222222"/>
          <w:rtl/>
        </w:rPr>
        <w:t xml:space="preserve"> </w:t>
      </w:r>
      <w:proofErr w:type="spellStart"/>
      <w:r>
        <w:rPr>
          <w:color w:val="222222"/>
          <w:rtl/>
        </w:rPr>
        <w:t>Polyvagal</w:t>
      </w:r>
      <w:proofErr w:type="spellEnd"/>
      <w:r>
        <w:rPr>
          <w:color w:val="222222"/>
          <w:rtl/>
        </w:rPr>
        <w:t xml:space="preserve"> </w:t>
      </w:r>
      <w:proofErr w:type="spellStart"/>
      <w:r>
        <w:rPr>
          <w:color w:val="222222"/>
          <w:rtl/>
        </w:rPr>
        <w:t>Theory</w:t>
      </w:r>
      <w:proofErr w:type="spellEnd"/>
      <w:r>
        <w:rPr>
          <w:color w:val="222222"/>
          <w:rtl/>
        </w:rPr>
        <w:t xml:space="preserve">: </w:t>
      </w:r>
      <w:proofErr w:type="spellStart"/>
      <w:r>
        <w:rPr>
          <w:color w:val="222222"/>
          <w:rtl/>
        </w:rPr>
        <w:t>Neurophysiological</w:t>
      </w:r>
      <w:proofErr w:type="spellEnd"/>
      <w:r>
        <w:rPr>
          <w:color w:val="222222"/>
          <w:rtl/>
        </w:rPr>
        <w:t xml:space="preserve"> </w:t>
      </w:r>
      <w:proofErr w:type="spellStart"/>
      <w:r>
        <w:rPr>
          <w:color w:val="222222"/>
          <w:rtl/>
        </w:rPr>
        <w:t>Foundations</w:t>
      </w:r>
      <w:proofErr w:type="spellEnd"/>
      <w:r>
        <w:rPr>
          <w:color w:val="222222"/>
          <w:rtl/>
        </w:rPr>
        <w:t xml:space="preserve"> </w:t>
      </w:r>
      <w:proofErr w:type="spellStart"/>
      <w:r>
        <w:rPr>
          <w:color w:val="222222"/>
          <w:rtl/>
        </w:rPr>
        <w:t>of</w:t>
      </w:r>
      <w:proofErr w:type="spellEnd"/>
      <w:r>
        <w:rPr>
          <w:color w:val="222222"/>
          <w:rtl/>
        </w:rPr>
        <w:t xml:space="preserve"> </w:t>
      </w:r>
      <w:proofErr w:type="spellStart"/>
      <w:r>
        <w:rPr>
          <w:color w:val="222222"/>
          <w:rtl/>
        </w:rPr>
        <w:t>Emotions</w:t>
      </w:r>
      <w:proofErr w:type="spellEnd"/>
      <w:r>
        <w:rPr>
          <w:color w:val="222222"/>
          <w:rtl/>
        </w:rPr>
        <w:t xml:space="preserve">, </w:t>
      </w:r>
      <w:proofErr w:type="spellStart"/>
      <w:r>
        <w:rPr>
          <w:color w:val="222222"/>
          <w:rtl/>
        </w:rPr>
        <w:t>Attachment</w:t>
      </w:r>
      <w:proofErr w:type="spellEnd"/>
      <w:r>
        <w:rPr>
          <w:color w:val="222222"/>
          <w:rtl/>
        </w:rPr>
        <w:t xml:space="preserve">, </w:t>
      </w:r>
      <w:proofErr w:type="spellStart"/>
      <w:r>
        <w:rPr>
          <w:color w:val="222222"/>
          <w:rtl/>
        </w:rPr>
        <w:t>Communication</w:t>
      </w:r>
      <w:proofErr w:type="spellEnd"/>
      <w:r>
        <w:rPr>
          <w:color w:val="222222"/>
          <w:rtl/>
        </w:rPr>
        <w:t xml:space="preserve">, </w:t>
      </w:r>
      <w:proofErr w:type="spellStart"/>
      <w:r>
        <w:rPr>
          <w:color w:val="222222"/>
          <w:rtl/>
        </w:rPr>
        <w:t>and</w:t>
      </w:r>
      <w:proofErr w:type="spellEnd"/>
      <w:r>
        <w:rPr>
          <w:color w:val="222222"/>
          <w:rtl/>
        </w:rPr>
        <w:t xml:space="preserve"> </w:t>
      </w:r>
      <w:proofErr w:type="spellStart"/>
      <w:r>
        <w:rPr>
          <w:color w:val="222222"/>
          <w:rtl/>
        </w:rPr>
        <w:t>Self-Regulation</w:t>
      </w:r>
      <w:proofErr w:type="spellEnd"/>
      <w:r>
        <w:rPr>
          <w:color w:val="222222"/>
          <w:rtl/>
        </w:rPr>
        <w:t xml:space="preserve">. </w:t>
      </w:r>
      <w:proofErr w:type="spellStart"/>
      <w:r>
        <w:rPr>
          <w:color w:val="222222"/>
          <w:rtl/>
        </w:rPr>
        <w:t>New</w:t>
      </w:r>
      <w:proofErr w:type="spellEnd"/>
      <w:r>
        <w:rPr>
          <w:color w:val="222222"/>
          <w:rtl/>
        </w:rPr>
        <w:t xml:space="preserve"> </w:t>
      </w:r>
      <w:proofErr w:type="spellStart"/>
      <w:r>
        <w:rPr>
          <w:color w:val="222222"/>
          <w:rtl/>
        </w:rPr>
        <w:t>York</w:t>
      </w:r>
      <w:proofErr w:type="spellEnd"/>
      <w:r>
        <w:rPr>
          <w:color w:val="222222"/>
          <w:rtl/>
        </w:rPr>
        <w:t xml:space="preserve">: W. W. </w:t>
      </w:r>
      <w:proofErr w:type="spellStart"/>
      <w:r>
        <w:rPr>
          <w:color w:val="222222"/>
          <w:rtl/>
        </w:rPr>
        <w:t>Norton</w:t>
      </w:r>
      <w:proofErr w:type="spellEnd"/>
      <w:r>
        <w:rPr>
          <w:color w:val="222222"/>
          <w:rtl/>
        </w:rPr>
        <w:t xml:space="preserve"> &amp; </w:t>
      </w:r>
      <w:proofErr w:type="spellStart"/>
      <w:r>
        <w:rPr>
          <w:color w:val="222222"/>
          <w:rtl/>
        </w:rPr>
        <w:t>Company</w:t>
      </w:r>
      <w:proofErr w:type="spellEnd"/>
      <w:r>
        <w:rPr>
          <w:color w:val="222222"/>
          <w:rtl/>
        </w:rPr>
        <w:t>.</w:t>
      </w:r>
    </w:p>
    <w:p w14:paraId="13B152DC" w14:textId="77777777" w:rsidR="00251567" w:rsidRDefault="002006A7" w:rsidP="00365C52">
      <w:pPr>
        <w:spacing w:after="200" w:line="340" w:lineRule="auto"/>
        <w:ind w:firstLine="340"/>
      </w:pPr>
      <w:r>
        <w:rPr>
          <w:color w:val="222222"/>
          <w:rtl/>
        </w:rPr>
        <w:t xml:space="preserve">13. </w:t>
      </w:r>
      <w:proofErr w:type="spellStart"/>
      <w:r>
        <w:rPr>
          <w:color w:val="222222"/>
          <w:rtl/>
        </w:rPr>
        <w:t>Sapolsky</w:t>
      </w:r>
      <w:proofErr w:type="spellEnd"/>
      <w:r>
        <w:rPr>
          <w:color w:val="222222"/>
          <w:rtl/>
        </w:rPr>
        <w:t xml:space="preserve">, R. M. (2004). </w:t>
      </w:r>
      <w:proofErr w:type="spellStart"/>
      <w:r>
        <w:rPr>
          <w:color w:val="222222"/>
          <w:rtl/>
        </w:rPr>
        <w:t>Why</w:t>
      </w:r>
      <w:proofErr w:type="spellEnd"/>
      <w:r>
        <w:rPr>
          <w:color w:val="222222"/>
          <w:rtl/>
        </w:rPr>
        <w:t xml:space="preserve"> </w:t>
      </w:r>
      <w:proofErr w:type="spellStart"/>
      <w:r>
        <w:rPr>
          <w:color w:val="222222"/>
          <w:rtl/>
        </w:rPr>
        <w:t>Zebras</w:t>
      </w:r>
      <w:proofErr w:type="spellEnd"/>
      <w:r>
        <w:rPr>
          <w:color w:val="222222"/>
          <w:rtl/>
        </w:rPr>
        <w:t xml:space="preserve"> </w:t>
      </w:r>
      <w:proofErr w:type="spellStart"/>
      <w:r>
        <w:rPr>
          <w:color w:val="222222"/>
          <w:rtl/>
        </w:rPr>
        <w:t>Don't</w:t>
      </w:r>
      <w:proofErr w:type="spellEnd"/>
      <w:r>
        <w:rPr>
          <w:color w:val="222222"/>
          <w:rtl/>
        </w:rPr>
        <w:t xml:space="preserve"> </w:t>
      </w:r>
      <w:proofErr w:type="spellStart"/>
      <w:r>
        <w:rPr>
          <w:color w:val="222222"/>
          <w:rtl/>
        </w:rPr>
        <w:t>Get</w:t>
      </w:r>
      <w:proofErr w:type="spellEnd"/>
      <w:r>
        <w:rPr>
          <w:color w:val="222222"/>
          <w:rtl/>
        </w:rPr>
        <w:t xml:space="preserve"> </w:t>
      </w:r>
      <w:proofErr w:type="spellStart"/>
      <w:r>
        <w:rPr>
          <w:color w:val="222222"/>
          <w:rtl/>
        </w:rPr>
        <w:t>Ulcers</w:t>
      </w:r>
      <w:proofErr w:type="spellEnd"/>
      <w:r>
        <w:rPr>
          <w:color w:val="222222"/>
          <w:rtl/>
        </w:rPr>
        <w:t xml:space="preserve">: </w:t>
      </w:r>
      <w:proofErr w:type="spellStart"/>
      <w:r>
        <w:rPr>
          <w:color w:val="222222"/>
          <w:rtl/>
        </w:rPr>
        <w:t>The</w:t>
      </w:r>
      <w:proofErr w:type="spellEnd"/>
      <w:r>
        <w:rPr>
          <w:color w:val="222222"/>
          <w:rtl/>
        </w:rPr>
        <w:t xml:space="preserve"> </w:t>
      </w:r>
      <w:proofErr w:type="spellStart"/>
      <w:r>
        <w:rPr>
          <w:color w:val="222222"/>
          <w:rtl/>
        </w:rPr>
        <w:t>Acclaimed</w:t>
      </w:r>
      <w:proofErr w:type="spellEnd"/>
      <w:r>
        <w:rPr>
          <w:color w:val="222222"/>
          <w:rtl/>
        </w:rPr>
        <w:t xml:space="preserve"> </w:t>
      </w:r>
      <w:proofErr w:type="spellStart"/>
      <w:r>
        <w:rPr>
          <w:color w:val="222222"/>
          <w:rtl/>
        </w:rPr>
        <w:t>Guide</w:t>
      </w:r>
      <w:proofErr w:type="spellEnd"/>
      <w:r>
        <w:rPr>
          <w:color w:val="222222"/>
          <w:rtl/>
        </w:rPr>
        <w:t xml:space="preserve"> </w:t>
      </w:r>
      <w:proofErr w:type="spellStart"/>
      <w:r>
        <w:rPr>
          <w:color w:val="222222"/>
          <w:rtl/>
        </w:rPr>
        <w:t>to</w:t>
      </w:r>
      <w:proofErr w:type="spellEnd"/>
      <w:r>
        <w:rPr>
          <w:color w:val="222222"/>
          <w:rtl/>
        </w:rPr>
        <w:t xml:space="preserve"> </w:t>
      </w:r>
      <w:proofErr w:type="spellStart"/>
      <w:r>
        <w:rPr>
          <w:color w:val="222222"/>
          <w:rtl/>
        </w:rPr>
        <w:t>Stress</w:t>
      </w:r>
      <w:proofErr w:type="spellEnd"/>
      <w:r>
        <w:rPr>
          <w:color w:val="222222"/>
          <w:rtl/>
        </w:rPr>
        <w:t xml:space="preserve">, </w:t>
      </w:r>
      <w:proofErr w:type="spellStart"/>
      <w:r>
        <w:rPr>
          <w:color w:val="222222"/>
          <w:rtl/>
        </w:rPr>
        <w:t>Stress-Related</w:t>
      </w:r>
      <w:proofErr w:type="spellEnd"/>
      <w:r>
        <w:rPr>
          <w:color w:val="222222"/>
          <w:rtl/>
        </w:rPr>
        <w:t xml:space="preserve"> </w:t>
      </w:r>
      <w:proofErr w:type="spellStart"/>
      <w:r>
        <w:rPr>
          <w:color w:val="222222"/>
          <w:rtl/>
        </w:rPr>
        <w:t>Diseases</w:t>
      </w:r>
      <w:proofErr w:type="spellEnd"/>
      <w:r>
        <w:rPr>
          <w:color w:val="222222"/>
          <w:rtl/>
        </w:rPr>
        <w:t xml:space="preserve">, </w:t>
      </w:r>
      <w:proofErr w:type="spellStart"/>
      <w:r>
        <w:rPr>
          <w:color w:val="222222"/>
          <w:rtl/>
        </w:rPr>
        <w:t>and</w:t>
      </w:r>
      <w:proofErr w:type="spellEnd"/>
      <w:r>
        <w:rPr>
          <w:color w:val="222222"/>
          <w:rtl/>
        </w:rPr>
        <w:t xml:space="preserve"> </w:t>
      </w:r>
      <w:proofErr w:type="spellStart"/>
      <w:r>
        <w:rPr>
          <w:color w:val="222222"/>
          <w:rtl/>
        </w:rPr>
        <w:t>Coping</w:t>
      </w:r>
      <w:proofErr w:type="spellEnd"/>
      <w:r>
        <w:rPr>
          <w:color w:val="222222"/>
          <w:rtl/>
        </w:rPr>
        <w:t xml:space="preserve"> (3rd </w:t>
      </w:r>
      <w:proofErr w:type="spellStart"/>
      <w:r>
        <w:rPr>
          <w:color w:val="222222"/>
          <w:rtl/>
        </w:rPr>
        <w:t>ed</w:t>
      </w:r>
      <w:proofErr w:type="spellEnd"/>
      <w:r>
        <w:rPr>
          <w:color w:val="222222"/>
          <w:rtl/>
        </w:rPr>
        <w:t xml:space="preserve">.). </w:t>
      </w:r>
      <w:proofErr w:type="spellStart"/>
      <w:r>
        <w:rPr>
          <w:color w:val="222222"/>
          <w:rtl/>
        </w:rPr>
        <w:t>New</w:t>
      </w:r>
      <w:proofErr w:type="spellEnd"/>
      <w:r>
        <w:rPr>
          <w:color w:val="222222"/>
          <w:rtl/>
        </w:rPr>
        <w:t xml:space="preserve"> </w:t>
      </w:r>
      <w:proofErr w:type="spellStart"/>
      <w:r>
        <w:rPr>
          <w:color w:val="222222"/>
          <w:rtl/>
        </w:rPr>
        <w:t>York</w:t>
      </w:r>
      <w:proofErr w:type="spellEnd"/>
      <w:r>
        <w:rPr>
          <w:color w:val="222222"/>
          <w:rtl/>
        </w:rPr>
        <w:t xml:space="preserve">: </w:t>
      </w:r>
      <w:proofErr w:type="spellStart"/>
      <w:r>
        <w:rPr>
          <w:color w:val="222222"/>
          <w:rtl/>
        </w:rPr>
        <w:t>Henry</w:t>
      </w:r>
      <w:proofErr w:type="spellEnd"/>
      <w:r>
        <w:rPr>
          <w:color w:val="222222"/>
          <w:rtl/>
        </w:rPr>
        <w:t xml:space="preserve"> </w:t>
      </w:r>
      <w:proofErr w:type="spellStart"/>
      <w:r>
        <w:rPr>
          <w:color w:val="222222"/>
          <w:rtl/>
        </w:rPr>
        <w:t>Holt</w:t>
      </w:r>
      <w:proofErr w:type="spellEnd"/>
      <w:r>
        <w:rPr>
          <w:color w:val="222222"/>
          <w:rtl/>
        </w:rPr>
        <w:t xml:space="preserve"> </w:t>
      </w:r>
      <w:proofErr w:type="spellStart"/>
      <w:r>
        <w:rPr>
          <w:color w:val="222222"/>
          <w:rtl/>
        </w:rPr>
        <w:t>and</w:t>
      </w:r>
      <w:proofErr w:type="spellEnd"/>
      <w:r>
        <w:rPr>
          <w:color w:val="222222"/>
          <w:rtl/>
        </w:rPr>
        <w:t xml:space="preserve"> </w:t>
      </w:r>
      <w:proofErr w:type="spellStart"/>
      <w:r>
        <w:rPr>
          <w:color w:val="222222"/>
          <w:rtl/>
        </w:rPr>
        <w:t>Company</w:t>
      </w:r>
      <w:proofErr w:type="spellEnd"/>
      <w:r>
        <w:rPr>
          <w:color w:val="222222"/>
          <w:rtl/>
        </w:rPr>
        <w:t>.</w:t>
      </w:r>
    </w:p>
    <w:p w14:paraId="14C475B3" w14:textId="77777777" w:rsidR="00251567" w:rsidRDefault="002006A7" w:rsidP="00365C52">
      <w:pPr>
        <w:spacing w:after="200" w:line="340" w:lineRule="auto"/>
        <w:ind w:firstLine="340"/>
      </w:pPr>
      <w:r>
        <w:rPr>
          <w:color w:val="222222"/>
          <w:rtl/>
        </w:rPr>
        <w:t xml:space="preserve">14. </w:t>
      </w:r>
      <w:proofErr w:type="spellStart"/>
      <w:r>
        <w:rPr>
          <w:color w:val="222222"/>
          <w:rtl/>
        </w:rPr>
        <w:t>Damasio</w:t>
      </w:r>
      <w:proofErr w:type="spellEnd"/>
      <w:r>
        <w:rPr>
          <w:color w:val="222222"/>
          <w:rtl/>
        </w:rPr>
        <w:t xml:space="preserve">, A. (1994). </w:t>
      </w:r>
      <w:proofErr w:type="spellStart"/>
      <w:r>
        <w:rPr>
          <w:color w:val="222222"/>
          <w:rtl/>
        </w:rPr>
        <w:t>Descartes</w:t>
      </w:r>
      <w:proofErr w:type="spellEnd"/>
      <w:r>
        <w:rPr>
          <w:color w:val="222222"/>
          <w:rtl/>
        </w:rPr>
        <w:t xml:space="preserve">' </w:t>
      </w:r>
      <w:proofErr w:type="spellStart"/>
      <w:r>
        <w:rPr>
          <w:color w:val="222222"/>
          <w:rtl/>
        </w:rPr>
        <w:t>Error</w:t>
      </w:r>
      <w:proofErr w:type="spellEnd"/>
      <w:r>
        <w:rPr>
          <w:color w:val="222222"/>
          <w:rtl/>
        </w:rPr>
        <w:t xml:space="preserve">: </w:t>
      </w:r>
      <w:proofErr w:type="spellStart"/>
      <w:r>
        <w:rPr>
          <w:color w:val="222222"/>
          <w:rtl/>
        </w:rPr>
        <w:t>Emotion</w:t>
      </w:r>
      <w:proofErr w:type="spellEnd"/>
      <w:r>
        <w:rPr>
          <w:color w:val="222222"/>
          <w:rtl/>
        </w:rPr>
        <w:t xml:space="preserve">, </w:t>
      </w:r>
      <w:proofErr w:type="spellStart"/>
      <w:r>
        <w:rPr>
          <w:color w:val="222222"/>
          <w:rtl/>
        </w:rPr>
        <w:t>Reason</w:t>
      </w:r>
      <w:proofErr w:type="spellEnd"/>
      <w:r>
        <w:rPr>
          <w:color w:val="222222"/>
          <w:rtl/>
        </w:rPr>
        <w:t xml:space="preserve">, </w:t>
      </w:r>
      <w:proofErr w:type="spellStart"/>
      <w:r>
        <w:rPr>
          <w:color w:val="222222"/>
          <w:rtl/>
        </w:rPr>
        <w:t>and</w:t>
      </w:r>
      <w:proofErr w:type="spellEnd"/>
      <w:r>
        <w:rPr>
          <w:color w:val="222222"/>
          <w:rtl/>
        </w:rPr>
        <w:t xml:space="preserve"> </w:t>
      </w:r>
      <w:proofErr w:type="spellStart"/>
      <w:r>
        <w:rPr>
          <w:color w:val="222222"/>
          <w:rtl/>
        </w:rPr>
        <w:t>the</w:t>
      </w:r>
      <w:proofErr w:type="spellEnd"/>
      <w:r>
        <w:rPr>
          <w:color w:val="222222"/>
          <w:rtl/>
        </w:rPr>
        <w:t xml:space="preserve"> </w:t>
      </w:r>
      <w:proofErr w:type="spellStart"/>
      <w:r>
        <w:rPr>
          <w:color w:val="222222"/>
          <w:rtl/>
        </w:rPr>
        <w:t>Human</w:t>
      </w:r>
      <w:proofErr w:type="spellEnd"/>
      <w:r>
        <w:rPr>
          <w:color w:val="222222"/>
          <w:rtl/>
        </w:rPr>
        <w:t xml:space="preserve"> </w:t>
      </w:r>
      <w:proofErr w:type="spellStart"/>
      <w:r>
        <w:rPr>
          <w:color w:val="222222"/>
          <w:rtl/>
        </w:rPr>
        <w:t>Brain</w:t>
      </w:r>
      <w:proofErr w:type="spellEnd"/>
      <w:r>
        <w:rPr>
          <w:color w:val="222222"/>
          <w:rtl/>
        </w:rPr>
        <w:t xml:space="preserve">. </w:t>
      </w:r>
      <w:proofErr w:type="spellStart"/>
      <w:r>
        <w:rPr>
          <w:color w:val="222222"/>
          <w:rtl/>
        </w:rPr>
        <w:t>New</w:t>
      </w:r>
      <w:proofErr w:type="spellEnd"/>
      <w:r>
        <w:rPr>
          <w:color w:val="222222"/>
          <w:rtl/>
        </w:rPr>
        <w:t xml:space="preserve"> </w:t>
      </w:r>
      <w:proofErr w:type="spellStart"/>
      <w:r>
        <w:rPr>
          <w:color w:val="222222"/>
          <w:rtl/>
        </w:rPr>
        <w:t>York</w:t>
      </w:r>
      <w:proofErr w:type="spellEnd"/>
      <w:r>
        <w:rPr>
          <w:color w:val="222222"/>
          <w:rtl/>
        </w:rPr>
        <w:t xml:space="preserve">: G. P. </w:t>
      </w:r>
      <w:proofErr w:type="spellStart"/>
      <w:r>
        <w:rPr>
          <w:color w:val="222222"/>
          <w:rtl/>
        </w:rPr>
        <w:t>Putnam's</w:t>
      </w:r>
      <w:proofErr w:type="spellEnd"/>
      <w:r>
        <w:rPr>
          <w:color w:val="222222"/>
          <w:rtl/>
        </w:rPr>
        <w:t xml:space="preserve"> </w:t>
      </w:r>
      <w:proofErr w:type="spellStart"/>
      <w:r>
        <w:rPr>
          <w:color w:val="222222"/>
          <w:rtl/>
        </w:rPr>
        <w:t>Sons</w:t>
      </w:r>
      <w:proofErr w:type="spellEnd"/>
      <w:r>
        <w:rPr>
          <w:color w:val="222222"/>
          <w:rtl/>
        </w:rPr>
        <w:t>.</w:t>
      </w:r>
    </w:p>
    <w:p w14:paraId="4FE41B35" w14:textId="77777777" w:rsidR="00251567" w:rsidRDefault="002006A7" w:rsidP="00365C52">
      <w:pPr>
        <w:pStyle w:val="2"/>
        <w:pBdr>
          <w:bottom w:val="single" w:sz="8" w:space="0" w:color="116466"/>
        </w:pBdr>
        <w:bidi/>
        <w:spacing w:before="360" w:after="180"/>
      </w:pPr>
      <w:r>
        <w:rPr>
          <w:b/>
          <w:bCs/>
          <w:color w:val="116466"/>
          <w:sz w:val="27"/>
          <w:szCs w:val="27"/>
          <w:rtl/>
        </w:rPr>
        <w:t>رابعاً: مراجع في علم الاجتماع والأنثروبولوجيا التفاعلية</w:t>
      </w:r>
    </w:p>
    <w:p w14:paraId="7CF4AF85" w14:textId="77777777" w:rsidR="00251567" w:rsidRDefault="002006A7" w:rsidP="00365C52">
      <w:pPr>
        <w:spacing w:after="200" w:line="340" w:lineRule="auto"/>
        <w:ind w:firstLine="340"/>
      </w:pPr>
      <w:r>
        <w:rPr>
          <w:color w:val="222222"/>
          <w:rtl/>
        </w:rPr>
        <w:t xml:space="preserve">15. </w:t>
      </w:r>
      <w:proofErr w:type="spellStart"/>
      <w:r>
        <w:rPr>
          <w:color w:val="222222"/>
          <w:rtl/>
        </w:rPr>
        <w:t>Goffman</w:t>
      </w:r>
      <w:proofErr w:type="spellEnd"/>
      <w:r>
        <w:rPr>
          <w:color w:val="222222"/>
          <w:rtl/>
        </w:rPr>
        <w:t xml:space="preserve">, E. (1959). </w:t>
      </w:r>
      <w:proofErr w:type="spellStart"/>
      <w:r>
        <w:rPr>
          <w:color w:val="222222"/>
          <w:rtl/>
        </w:rPr>
        <w:t>The</w:t>
      </w:r>
      <w:proofErr w:type="spellEnd"/>
      <w:r>
        <w:rPr>
          <w:color w:val="222222"/>
          <w:rtl/>
        </w:rPr>
        <w:t xml:space="preserve"> </w:t>
      </w:r>
      <w:proofErr w:type="spellStart"/>
      <w:r>
        <w:rPr>
          <w:color w:val="222222"/>
          <w:rtl/>
        </w:rPr>
        <w:t>Presentation</w:t>
      </w:r>
      <w:proofErr w:type="spellEnd"/>
      <w:r>
        <w:rPr>
          <w:color w:val="222222"/>
          <w:rtl/>
        </w:rPr>
        <w:t xml:space="preserve"> </w:t>
      </w:r>
      <w:proofErr w:type="spellStart"/>
      <w:r>
        <w:rPr>
          <w:color w:val="222222"/>
          <w:rtl/>
        </w:rPr>
        <w:t>of</w:t>
      </w:r>
      <w:proofErr w:type="spellEnd"/>
      <w:r>
        <w:rPr>
          <w:color w:val="222222"/>
          <w:rtl/>
        </w:rPr>
        <w:t xml:space="preserve"> </w:t>
      </w:r>
      <w:proofErr w:type="spellStart"/>
      <w:r>
        <w:rPr>
          <w:color w:val="222222"/>
          <w:rtl/>
        </w:rPr>
        <w:t>Self</w:t>
      </w:r>
      <w:proofErr w:type="spellEnd"/>
      <w:r>
        <w:rPr>
          <w:color w:val="222222"/>
          <w:rtl/>
        </w:rPr>
        <w:t xml:space="preserve"> </w:t>
      </w:r>
      <w:proofErr w:type="spellStart"/>
      <w:r>
        <w:rPr>
          <w:color w:val="222222"/>
          <w:rtl/>
        </w:rPr>
        <w:t>in</w:t>
      </w:r>
      <w:proofErr w:type="spellEnd"/>
      <w:r>
        <w:rPr>
          <w:color w:val="222222"/>
          <w:rtl/>
        </w:rPr>
        <w:t xml:space="preserve"> </w:t>
      </w:r>
      <w:proofErr w:type="spellStart"/>
      <w:r>
        <w:rPr>
          <w:color w:val="222222"/>
          <w:rtl/>
        </w:rPr>
        <w:t>Everyday</w:t>
      </w:r>
      <w:proofErr w:type="spellEnd"/>
      <w:r>
        <w:rPr>
          <w:color w:val="222222"/>
          <w:rtl/>
        </w:rPr>
        <w:t xml:space="preserve"> </w:t>
      </w:r>
      <w:proofErr w:type="spellStart"/>
      <w:r>
        <w:rPr>
          <w:color w:val="222222"/>
          <w:rtl/>
        </w:rPr>
        <w:t>Life</w:t>
      </w:r>
      <w:proofErr w:type="spellEnd"/>
      <w:r>
        <w:rPr>
          <w:color w:val="222222"/>
          <w:rtl/>
        </w:rPr>
        <w:t xml:space="preserve">. </w:t>
      </w:r>
      <w:proofErr w:type="spellStart"/>
      <w:r>
        <w:rPr>
          <w:color w:val="222222"/>
          <w:rtl/>
        </w:rPr>
        <w:t>New</w:t>
      </w:r>
      <w:proofErr w:type="spellEnd"/>
      <w:r>
        <w:rPr>
          <w:color w:val="222222"/>
          <w:rtl/>
        </w:rPr>
        <w:t xml:space="preserve"> </w:t>
      </w:r>
      <w:proofErr w:type="spellStart"/>
      <w:r>
        <w:rPr>
          <w:color w:val="222222"/>
          <w:rtl/>
        </w:rPr>
        <w:t>York</w:t>
      </w:r>
      <w:proofErr w:type="spellEnd"/>
      <w:r>
        <w:rPr>
          <w:color w:val="222222"/>
          <w:rtl/>
        </w:rPr>
        <w:t xml:space="preserve">: </w:t>
      </w:r>
      <w:proofErr w:type="spellStart"/>
      <w:r>
        <w:rPr>
          <w:color w:val="222222"/>
          <w:rtl/>
        </w:rPr>
        <w:t>Anchor</w:t>
      </w:r>
      <w:proofErr w:type="spellEnd"/>
      <w:r>
        <w:rPr>
          <w:color w:val="222222"/>
          <w:rtl/>
        </w:rPr>
        <w:t xml:space="preserve"> </w:t>
      </w:r>
      <w:proofErr w:type="spellStart"/>
      <w:r>
        <w:rPr>
          <w:color w:val="222222"/>
          <w:rtl/>
        </w:rPr>
        <w:t>Books</w:t>
      </w:r>
      <w:proofErr w:type="spellEnd"/>
      <w:r>
        <w:rPr>
          <w:color w:val="222222"/>
          <w:rtl/>
        </w:rPr>
        <w:t>.</w:t>
      </w:r>
    </w:p>
    <w:p w14:paraId="51FE7767" w14:textId="77777777" w:rsidR="00251567" w:rsidRDefault="002006A7" w:rsidP="00365C52">
      <w:pPr>
        <w:pStyle w:val="2"/>
        <w:pBdr>
          <w:bottom w:val="single" w:sz="8" w:space="0" w:color="116466"/>
        </w:pBdr>
        <w:bidi/>
        <w:spacing w:before="360" w:after="180"/>
      </w:pPr>
      <w:r>
        <w:rPr>
          <w:b/>
          <w:bCs/>
          <w:color w:val="116466"/>
          <w:sz w:val="27"/>
          <w:szCs w:val="27"/>
          <w:rtl/>
        </w:rPr>
        <w:t>خامساً: مراجع في التراث الإسلامي والتصوف</w:t>
      </w:r>
    </w:p>
    <w:p w14:paraId="2A378E73" w14:textId="77777777" w:rsidR="00251567" w:rsidRDefault="002006A7" w:rsidP="00365C52">
      <w:pPr>
        <w:spacing w:after="200" w:line="340" w:lineRule="auto"/>
        <w:ind w:firstLine="340"/>
      </w:pPr>
      <w:r>
        <w:rPr>
          <w:color w:val="222222"/>
          <w:rtl/>
        </w:rPr>
        <w:t>16. القرآن الكريم.</w:t>
      </w:r>
    </w:p>
    <w:p w14:paraId="30609810" w14:textId="77777777" w:rsidR="00251567" w:rsidRDefault="002006A7" w:rsidP="00365C52">
      <w:pPr>
        <w:spacing w:after="200" w:line="340" w:lineRule="auto"/>
        <w:ind w:firstLine="340"/>
      </w:pPr>
      <w:r>
        <w:rPr>
          <w:color w:val="222222"/>
          <w:rtl/>
        </w:rPr>
        <w:t>17. البخاري، محمد بن إسماعيل. (د.ت.). الجامع المسند الصحيح المختصر من أمور رسول الله صلى الله عليه وسلم وسننه وأيامه (صحيح البخاري). بيروت: دار طوق النجاة.</w:t>
      </w:r>
    </w:p>
    <w:p w14:paraId="04B65FD4" w14:textId="77777777" w:rsidR="00251567" w:rsidRDefault="002006A7" w:rsidP="00365C52">
      <w:pPr>
        <w:spacing w:after="200" w:line="340" w:lineRule="auto"/>
        <w:ind w:firstLine="340"/>
      </w:pPr>
      <w:r>
        <w:rPr>
          <w:color w:val="222222"/>
          <w:rtl/>
        </w:rPr>
        <w:t>18. مسلم بن الحجاج. (د.ت.). صحيح مسلم. بيروت: دار إحياء التراث العربي.</w:t>
      </w:r>
    </w:p>
    <w:p w14:paraId="6386FC77" w14:textId="77777777" w:rsidR="00251567" w:rsidRDefault="002006A7" w:rsidP="00365C52">
      <w:pPr>
        <w:spacing w:after="200" w:line="340" w:lineRule="auto"/>
        <w:ind w:firstLine="340"/>
      </w:pPr>
      <w:r>
        <w:rPr>
          <w:color w:val="222222"/>
          <w:rtl/>
        </w:rPr>
        <w:t>19. الغزالي، أبو حامد. (د.ت.). إحياء علوم الدين. بيروت: دار المعرفة.</w:t>
      </w:r>
    </w:p>
    <w:p w14:paraId="4C9040C3" w14:textId="77777777" w:rsidR="00251567" w:rsidRDefault="002006A7" w:rsidP="00365C52">
      <w:pPr>
        <w:spacing w:after="200" w:line="340" w:lineRule="auto"/>
        <w:ind w:firstLine="340"/>
      </w:pPr>
      <w:r>
        <w:rPr>
          <w:color w:val="222222"/>
          <w:rtl/>
        </w:rPr>
        <w:t>20. ابن القيم الجوزية. (د.ت.). الطب النبوي. بيروت: دار الهلال.</w:t>
      </w:r>
    </w:p>
    <w:p w14:paraId="55116962" w14:textId="77777777" w:rsidR="00251567" w:rsidRDefault="002006A7" w:rsidP="00365C52">
      <w:pPr>
        <w:spacing w:after="200" w:line="340" w:lineRule="auto"/>
        <w:ind w:firstLine="340"/>
      </w:pPr>
      <w:r>
        <w:rPr>
          <w:color w:val="222222"/>
          <w:rtl/>
        </w:rPr>
        <w:t>21. ابن القيم الجوزية. (د.ت.). زاد المعاد في هدي خير العباد. بيروت: مؤسسة الرسالة.</w:t>
      </w:r>
    </w:p>
    <w:p w14:paraId="1804A7B3" w14:textId="77777777" w:rsidR="00251567" w:rsidRDefault="002006A7" w:rsidP="00365C52">
      <w:pPr>
        <w:spacing w:after="200" w:line="340" w:lineRule="auto"/>
        <w:ind w:firstLine="340"/>
      </w:pPr>
      <w:r>
        <w:rPr>
          <w:color w:val="222222"/>
          <w:rtl/>
        </w:rPr>
        <w:t>22. المحاسبي، الحارث بن أسد. (د.ت.). الرعاية لحقوق الله. القاهرة: دار المعارف.</w:t>
      </w:r>
    </w:p>
    <w:p w14:paraId="05A2425E" w14:textId="77777777" w:rsidR="00251567" w:rsidRDefault="002006A7" w:rsidP="00365C52">
      <w:pPr>
        <w:spacing w:after="200" w:line="340" w:lineRule="auto"/>
        <w:ind w:firstLine="340"/>
      </w:pPr>
      <w:r>
        <w:rPr>
          <w:color w:val="222222"/>
          <w:rtl/>
        </w:rPr>
        <w:t>23. ابن عربي، محيي الدين. (د.ت.). الفتوحات المكية. بيروت: دار صادر.</w:t>
      </w:r>
    </w:p>
    <w:sectPr w:rsidR="00251567">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49099" w14:textId="77777777" w:rsidR="002006A7" w:rsidRDefault="002006A7">
      <w:r>
        <w:separator/>
      </w:r>
    </w:p>
  </w:endnote>
  <w:endnote w:type="continuationSeparator" w:id="0">
    <w:p w14:paraId="114FB711" w14:textId="77777777" w:rsidR="002006A7" w:rsidRDefault="0020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11A3" w14:textId="77777777" w:rsidR="00251567" w:rsidRDefault="002006A7">
    <w:pPr>
      <w:jc w:val="center"/>
    </w:pPr>
    <w:r>
      <w:rPr>
        <w:color w:val="B8860B"/>
        <w:sz w:val="18"/>
        <w:szCs w:val="18"/>
      </w:rPr>
      <w:fldChar w:fldCharType="begin"/>
    </w:r>
    <w:r>
      <w:rPr>
        <w:color w:val="B8860B"/>
        <w:sz w:val="18"/>
        <w:szCs w:val="18"/>
      </w:rPr>
      <w:instrText>PAGE</w:instrText>
    </w:r>
    <w:r>
      <w:rPr>
        <w:color w:val="B8860B"/>
        <w:sz w:val="18"/>
        <w:szCs w:val="18"/>
      </w:rPr>
      <w:fldChar w:fldCharType="separate"/>
    </w:r>
    <w:r>
      <w:rPr>
        <w:color w:val="B8860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B98E" w14:textId="77777777" w:rsidR="002006A7" w:rsidRDefault="002006A7">
      <w:r>
        <w:separator/>
      </w:r>
    </w:p>
  </w:footnote>
  <w:footnote w:type="continuationSeparator" w:id="0">
    <w:p w14:paraId="57A6EA0A" w14:textId="77777777" w:rsidR="002006A7" w:rsidRDefault="0020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4621" w14:textId="77777777" w:rsidR="00251567" w:rsidRDefault="002006A7">
    <w:pPr>
      <w:pBdr>
        <w:bottom w:val="single" w:sz="4" w:space="0" w:color="B8860B"/>
      </w:pBdr>
      <w:jc w:val="center"/>
    </w:pPr>
    <w:r>
      <w:rPr>
        <w:color w:val="116466"/>
        <w:sz w:val="18"/>
        <w:szCs w:val="18"/>
        <w:rtl/>
      </w:rPr>
      <w:t>علم النفس الاستخلافي — دراسة أنطولوجيا الجسد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42CC6"/>
    <w:multiLevelType w:val="hybridMultilevel"/>
    <w:tmpl w:val="FFFFFFFF"/>
    <w:lvl w:ilvl="0" w:tplc="A9A23180">
      <w:start w:val="1"/>
      <w:numFmt w:val="bullet"/>
      <w:lvlText w:val="●"/>
      <w:lvlJc w:val="left"/>
      <w:pPr>
        <w:ind w:left="720" w:hanging="360"/>
      </w:pPr>
    </w:lvl>
    <w:lvl w:ilvl="1" w:tplc="6F42C4A4">
      <w:start w:val="1"/>
      <w:numFmt w:val="bullet"/>
      <w:lvlText w:val="○"/>
      <w:lvlJc w:val="left"/>
      <w:pPr>
        <w:ind w:left="1440" w:hanging="360"/>
      </w:pPr>
    </w:lvl>
    <w:lvl w:ilvl="2" w:tplc="8116CE6C">
      <w:start w:val="1"/>
      <w:numFmt w:val="bullet"/>
      <w:lvlText w:val="■"/>
      <w:lvlJc w:val="left"/>
      <w:pPr>
        <w:ind w:left="2160" w:hanging="360"/>
      </w:pPr>
    </w:lvl>
    <w:lvl w:ilvl="3" w:tplc="9AA0980E">
      <w:start w:val="1"/>
      <w:numFmt w:val="bullet"/>
      <w:lvlText w:val="●"/>
      <w:lvlJc w:val="left"/>
      <w:pPr>
        <w:ind w:left="2880" w:hanging="360"/>
      </w:pPr>
    </w:lvl>
    <w:lvl w:ilvl="4" w:tplc="DD48B99E">
      <w:start w:val="1"/>
      <w:numFmt w:val="bullet"/>
      <w:lvlText w:val="○"/>
      <w:lvlJc w:val="left"/>
      <w:pPr>
        <w:ind w:left="3600" w:hanging="360"/>
      </w:pPr>
    </w:lvl>
    <w:lvl w:ilvl="5" w:tplc="8AF2D762">
      <w:start w:val="1"/>
      <w:numFmt w:val="bullet"/>
      <w:lvlText w:val="■"/>
      <w:lvlJc w:val="left"/>
      <w:pPr>
        <w:ind w:left="4320" w:hanging="360"/>
      </w:pPr>
    </w:lvl>
    <w:lvl w:ilvl="6" w:tplc="80F6E144">
      <w:start w:val="1"/>
      <w:numFmt w:val="bullet"/>
      <w:lvlText w:val="●"/>
      <w:lvlJc w:val="left"/>
      <w:pPr>
        <w:ind w:left="5040" w:hanging="360"/>
      </w:pPr>
    </w:lvl>
    <w:lvl w:ilvl="7" w:tplc="92E03D18">
      <w:start w:val="1"/>
      <w:numFmt w:val="bullet"/>
      <w:lvlText w:val="●"/>
      <w:lvlJc w:val="left"/>
      <w:pPr>
        <w:ind w:left="5760" w:hanging="360"/>
      </w:pPr>
    </w:lvl>
    <w:lvl w:ilvl="8" w:tplc="4B8EEE10">
      <w:start w:val="1"/>
      <w:numFmt w:val="bullet"/>
      <w:lvlText w:val="●"/>
      <w:lvlJc w:val="left"/>
      <w:pPr>
        <w:ind w:left="6480" w:hanging="360"/>
      </w:pPr>
    </w:lvl>
  </w:abstractNum>
  <w:num w:numId="1" w16cid:durableId="13933827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567"/>
    <w:rsid w:val="002006A7"/>
    <w:rsid w:val="00251567"/>
    <w:rsid w:val="00264D53"/>
    <w:rsid w:val="00365C52"/>
    <w:rsid w:val="00510000"/>
    <w:rsid w:val="006E1307"/>
    <w:rsid w:val="007D1F30"/>
    <w:rsid w:val="00F561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7042894"/>
  <w15:docId w15:val="{F922A3FE-95F4-B84D-A034-90700D77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3486</Words>
  <Characters>19873</Characters>
  <Application>Microsoft Office Word</Application>
  <DocSecurity>0</DocSecurity>
  <Lines>165</Lines>
  <Paragraphs>46</Paragraphs>
  <ScaleCrop>false</ScaleCrop>
  <Company/>
  <LinksUpToDate>false</LinksUpToDate>
  <CharactersWithSpaces>23313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2026-07-16T18:57:00Z</dcterms:created>
  <dcterms:modified xsi:type="dcterms:W3CDTF">2026-07-16T18:57:00Z</dcterms:modified>
</cp:coreProperties>
</file>