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E55C" w14:textId="77777777" w:rsidR="007E0928" w:rsidRDefault="007E0928">
      <w:pPr>
        <w:spacing w:before="1600"/>
        <w:rPr>
          <w:rFonts w:cs="Arial" w:hint="cs"/>
        </w:rPr>
      </w:pPr>
    </w:p>
    <w:p w14:paraId="20FACA99" w14:textId="77777777" w:rsidR="007E0928" w:rsidRDefault="00845DB9">
      <w:pPr>
        <w:jc w:val="center"/>
        <w:rPr>
          <w:rFonts w:cs="Arial"/>
        </w:rPr>
      </w:pPr>
      <w:r>
        <w:rPr>
          <w:b/>
          <w:bCs/>
          <w:color w:val="1B3A5C"/>
          <w:sz w:val="44"/>
          <w:szCs w:val="44"/>
        </w:rPr>
        <w:t>من "الفاقة الأصلية" إلى "سكينة المحبة"</w:t>
      </w:r>
    </w:p>
    <w:p w14:paraId="503B10B2" w14:textId="77777777" w:rsidR="007E0928" w:rsidRDefault="00845DB9">
      <w:pPr>
        <w:spacing w:before="200" w:after="200"/>
        <w:jc w:val="center"/>
        <w:rPr>
          <w:rFonts w:cs="Arial"/>
        </w:rPr>
      </w:pPr>
      <w:r>
        <w:rPr>
          <w:b/>
          <w:bCs/>
          <w:color w:val="1F6F6F"/>
          <w:sz w:val="36"/>
          <w:szCs w:val="36"/>
        </w:rPr>
        <w:t>نحو نظرية استخلافية للحب</w:t>
      </w:r>
    </w:p>
    <w:p w14:paraId="04FC5096" w14:textId="77777777" w:rsidR="007E0928" w:rsidRDefault="00845DB9">
      <w:pPr>
        <w:pBdr>
          <w:top w:val="single" w:sz="6" w:space="10" w:color="B8860B"/>
          <w:bottom w:val="single" w:sz="6" w:space="10" w:color="B8860B"/>
        </w:pBdr>
        <w:spacing w:before="400" w:after="100"/>
        <w:jc w:val="center"/>
        <w:rPr>
          <w:rFonts w:cs="Arial"/>
        </w:rPr>
      </w:pPr>
      <w:r>
        <w:rPr>
          <w:i/>
          <w:iCs/>
          <w:color w:val="1B3A5C"/>
          <w:sz w:val="26"/>
          <w:szCs w:val="26"/>
        </w:rPr>
        <w:t>دراسة موسعة معمّقة في أنطولوجيا "القوة التحويلية" عند عبد السلام الزراع</w:t>
      </w:r>
    </w:p>
    <w:p w14:paraId="5EAC4EC0" w14:textId="77777777" w:rsidR="007E0928" w:rsidRDefault="007E0928">
      <w:pPr>
        <w:spacing w:before="1600"/>
        <w:rPr>
          <w:rFonts w:cs="Arial"/>
        </w:rPr>
      </w:pPr>
    </w:p>
    <w:p w14:paraId="135607CD" w14:textId="77777777" w:rsidR="007E0928" w:rsidRDefault="00845DB9">
      <w:pPr>
        <w:jc w:val="center"/>
        <w:rPr>
          <w:rFonts w:cs="Arial"/>
        </w:rPr>
      </w:pPr>
      <w:r>
        <w:rPr>
          <w:color w:val="1F6F6F"/>
          <w:sz w:val="24"/>
          <w:szCs w:val="24"/>
        </w:rPr>
        <w:t>سلسلة الدراسات في علم النفس الاستخلافي</w:t>
      </w:r>
    </w:p>
    <w:p w14:paraId="6675F419" w14:textId="02889CB0" w:rsidR="007E0928" w:rsidRDefault="00845DB9">
      <w:pPr>
        <w:spacing w:before="120"/>
        <w:jc w:val="center"/>
        <w:rPr>
          <w:rFonts w:cs="Arial"/>
        </w:rPr>
      </w:pPr>
      <w:r>
        <w:rPr>
          <w:color w:val="1B3A5C"/>
          <w:sz w:val="22"/>
          <w:szCs w:val="22"/>
        </w:rPr>
        <w:t>الطبعة  — 1447هـ / 2026م</w:t>
      </w:r>
    </w:p>
    <w:p w14:paraId="56225EDD" w14:textId="77777777" w:rsidR="007E0928" w:rsidRDefault="00845DB9">
      <w:pPr>
        <w:rPr>
          <w:rFonts w:cs="Arial"/>
        </w:rPr>
      </w:pPr>
      <w:r>
        <w:br w:type="page"/>
      </w:r>
    </w:p>
    <w:p w14:paraId="7F9E20D1" w14:textId="77777777" w:rsidR="007E0928" w:rsidRDefault="00845DB9">
      <w:pPr>
        <w:pStyle w:val="1"/>
        <w:pBdr>
          <w:bottom w:val="single" w:sz="12" w:space="4" w:color="B8860B"/>
        </w:pBdr>
        <w:bidi/>
        <w:jc w:val="right"/>
        <w:rPr>
          <w:rFonts w:cs="Arial"/>
        </w:rPr>
      </w:pPr>
      <w:r>
        <w:t>فهرس المحتويات</w:t>
      </w:r>
    </w:p>
    <w:sdt>
      <w:sdtPr>
        <w:alias w:val="فهرس المحتويات"/>
        <w:id w:val="-546382445"/>
      </w:sdtPr>
      <w:sdtContent>
        <w:p w14:paraId="705DFEA3" w14:textId="77777777" w:rsidR="007E0928" w:rsidRDefault="00845DB9">
          <w:pPr>
            <w:rPr>
              <w:rFonts w:cs="Arial"/>
            </w:rPr>
          </w:pPr>
          <w:r>
            <w:fldChar w:fldCharType="begin"/>
          </w:r>
          <w:r>
            <w:instrText>TOC \h \o "1-2"</w:instrText>
          </w:r>
          <w:r>
            <w:fldChar w:fldCharType="separate"/>
          </w:r>
        </w:p>
        <w:p w14:paraId="60FEB810" w14:textId="77777777" w:rsidR="007E0928" w:rsidRDefault="00845DB9">
          <w:pPr>
            <w:rPr>
              <w:rFonts w:cs="Arial"/>
            </w:rPr>
          </w:pPr>
          <w:r>
            <w:fldChar w:fldCharType="end"/>
          </w:r>
        </w:p>
      </w:sdtContent>
    </w:sdt>
    <w:p w14:paraId="26E8199A" w14:textId="77777777" w:rsidR="007E0928" w:rsidRDefault="00845DB9">
      <w:pPr>
        <w:rPr>
          <w:rFonts w:cs="Arial"/>
        </w:rPr>
      </w:pPr>
      <w:r>
        <w:br w:type="page"/>
      </w:r>
    </w:p>
    <w:p w14:paraId="312AEFFB" w14:textId="77777777" w:rsidR="007E0928" w:rsidRDefault="00845DB9" w:rsidP="00341FEA">
      <w:pPr>
        <w:pStyle w:val="1"/>
        <w:pBdr>
          <w:bottom w:val="single" w:sz="12" w:space="4" w:color="B8860B"/>
        </w:pBdr>
        <w:bidi/>
        <w:rPr>
          <w:rFonts w:cs="Arial"/>
        </w:rPr>
      </w:pPr>
      <w:r>
        <w:t>تمهيد: الحب بوصفه "المسكوت عنه" في علم النفس الحديث — لماذا نحتاج إلى "أنطولوجيا" جديدة؟</w:t>
      </w:r>
    </w:p>
    <w:p w14:paraId="57452B27" w14:textId="77777777" w:rsidR="007E0928" w:rsidRDefault="00845DB9" w:rsidP="00341FEA">
      <w:pPr>
        <w:spacing w:after="200" w:line="340" w:lineRule="auto"/>
        <w:rPr>
          <w:rFonts w:cs="Arial"/>
        </w:rPr>
      </w:pPr>
      <w:r>
        <w:t>في "تاريخ" "علم النفس" و"الفلسفة"، نادراً ما "حظي" "الحب" بـ"مكانة" "مركزية" في "النماذج" "العلاجية". فـ"فرويد" — مثلاً — "اختزل" "الحب" في "الرغبة الجنسية" (</w:t>
      </w:r>
      <w:proofErr w:type="spellStart"/>
      <w:r>
        <w:t>Libido</w:t>
      </w:r>
      <w:proofErr w:type="spellEnd"/>
      <w:r>
        <w:t>)، و"جعل" منه "تسامياً" (</w:t>
      </w:r>
      <w:proofErr w:type="spellStart"/>
      <w:r>
        <w:t>Sublimation</w:t>
      </w:r>
      <w:proofErr w:type="spellEnd"/>
      <w:r>
        <w:t>) لـ"دوافع" "أكثر" "بدائية". و"العلاج المعرفي السلوكي" (CBT) — من "جهته" — "يُعامل" "الحب" كـ"مجرد" "انفعال" أو "فكرة" يمكن "تصحيحها" أو "تعديلها". وحتى "علم النفس الإيجابي" — الذي "أعاد" "الاعتبار" لـ"المشاعر" "الإيجابية" — "ظل" "ينظر" إلى "الحب" كـ"أحد" "مكونات" "الرفاه" (</w:t>
      </w:r>
      <w:proofErr w:type="spellStart"/>
      <w:r>
        <w:t>Well-being</w:t>
      </w:r>
      <w:proofErr w:type="spellEnd"/>
      <w:r>
        <w:t>)، لا كـ"قوة تحويلية مركزية" و"محرك أساسي" للوجود الإنساني.</w:t>
      </w:r>
    </w:p>
    <w:p w14:paraId="13954F23" w14:textId="77777777" w:rsidR="007E0928" w:rsidRDefault="00845DB9" w:rsidP="00341FEA">
      <w:pPr>
        <w:spacing w:after="200" w:line="340" w:lineRule="auto"/>
        <w:rPr>
          <w:rFonts w:cs="Arial"/>
        </w:rPr>
      </w:pPr>
      <w:r>
        <w:t>وهذا "التهميش" المنهجي للحب ليس أمراً عرضياً، بل هو — كما ستُبيّن هذه الدراسة — نتيجة حتمية لسيادة النموذج الوضعي (</w:t>
      </w:r>
      <w:proofErr w:type="spellStart"/>
      <w:r>
        <w:t>Positivist</w:t>
      </w:r>
      <w:proofErr w:type="spellEnd"/>
      <w:r>
        <w:t>) في العلوم الإنسانية الحديثة، الذي يشترط في "الظاهرة" العلمية أن تكون قابلة للقياس والتجريب والاختزال إلى متغيرات كمّية. والحب — بما هو تجربة وجودية شاملة تمس الجسد والنفس والروح معاً — يقاوم هذا الاختزال، فيُدفع إلى هامش البحث العلمي، أو يُعاد صياغته في قوالب لا تفي بغناه الأنطولوجي الأصلي.</w:t>
      </w:r>
    </w:p>
    <w:p w14:paraId="6209AEA1" w14:textId="77777777" w:rsidR="007E0928" w:rsidRDefault="00845DB9" w:rsidP="00341FEA">
      <w:pPr>
        <w:spacing w:after="200" w:line="340" w:lineRule="auto"/>
        <w:rPr>
          <w:rFonts w:cs="Arial"/>
        </w:rPr>
      </w:pPr>
      <w:r>
        <w:t xml:space="preserve">في "هذا السياق"، يقدم الباحث عبد السلام الزراع — من خلال "نموذجه الاستخلافي" وبروتوكول "العلاج بحرث المصالحة التحويلية" (TLRT) — "رؤية" "مغايرة" و"ثورية" للحب. فالحب — عنده — ليس "مجرد" "عاطفة" أو "انفعال" أو "حاجة" "بيولوجية"، بل هو — في "جوهره" — "الطاقة الوجودية" "الأسمى" التي "تُحرك" "الكون" </w:t>
      </w:r>
      <w:proofErr w:type="spellStart"/>
      <w:r>
        <w:t>و"تُنظم</w:t>
      </w:r>
      <w:proofErr w:type="spellEnd"/>
      <w:r>
        <w:t xml:space="preserve">" "النفس" </w:t>
      </w:r>
      <w:proofErr w:type="spellStart"/>
      <w:r>
        <w:t>و"تَربط</w:t>
      </w:r>
      <w:proofErr w:type="spellEnd"/>
      <w:r>
        <w:t>" "الإنسان" بـ"خالقه" و"بخلقه". إنه — كما "يُعبر" عنه — "البوصلة التي توجه الخليفة المسؤول"، و"الوقود الذي يحول الندم المحتجز إلى عمران"، و"السكينة التي تجعل من انشراح الصدر واقعاً فسيولوجياً ونفسياً يعيشه الإنسان المطمئن" [1124، 1130].</w:t>
      </w:r>
    </w:p>
    <w:p w14:paraId="287D4A2E" w14:textId="77777777" w:rsidR="007E0928" w:rsidRDefault="00845DB9" w:rsidP="00341FEA">
      <w:pPr>
        <w:spacing w:after="200" w:line="340" w:lineRule="auto"/>
        <w:rPr>
          <w:rFonts w:cs="Arial"/>
        </w:rPr>
      </w:pPr>
      <w:r>
        <w:t>وتكمن أصالة هذا الطرح — كما سيتضح — في كونه لا يكتفي بمعارضة الاختزالية الغربية من موقع دفاعي أو اعتذاري، بل يقترح بديلاً أنطولوجياً متكاملاً، يُعيد تعريف الحب انطلاقاً من ثلاثية: الفاقة الأصلية (الحاجة الوجودية القصوى)، والطاقة التحويلية (المحرك الدينامي للتحول النفسي)، والسكينة (الغاية والمآل). وهذه الثلاثية — كما سنُبيّن — تسمح بمقاربة نقدية لأهم النماذج الفلسفية والنفسية والعصبية للحب، مع استيعاب ما فيها من حقائق جزئية ضمن أفق أشمل.</w:t>
      </w:r>
    </w:p>
    <w:p w14:paraId="69938B91" w14:textId="77777777" w:rsidR="007E0928" w:rsidRDefault="00845DB9" w:rsidP="00341FEA">
      <w:pPr>
        <w:spacing w:after="200" w:line="340" w:lineRule="auto"/>
        <w:rPr>
          <w:rFonts w:cs="Arial"/>
        </w:rPr>
      </w:pPr>
      <w:r>
        <w:t xml:space="preserve">هذه "الدراسة الموسعة" — التي تتجاوز "الوصف" إلى "التحليل" و"التأصيل" — تسعى إلى "تفكيك" "مفهوم" "الحب" في "النظرية الاستخلافية"، و"إعادة بنائه" في ضوء "النموذج الهرمي القرآني" و"الأضلاع الثمانية"، و"مقارنته" بـ"النماذج" "الأخرى" في "تاريخ" "الفكر" — من أفلاطون إلى فروم، ومن فرويد إلى </w:t>
      </w:r>
      <w:proofErr w:type="spellStart"/>
      <w:r>
        <w:t>بانكسِب</w:t>
      </w:r>
      <w:proofErr w:type="spellEnd"/>
      <w:r>
        <w:t xml:space="preserve"> وسيغل — و"تتبعه" في "مراحل" "العلاج" و"التحول" كما "يُطبقها" بروتوكول TLRT. وتخلص الدراسة إلى محاولة تركيب نقدي يُبرز موقع النموذج الاستخلافي ضمن الخريطة الفكرية العالمية لموضوع الحب، وما يميزه عنها من حيث المصدر والغاية والمنهج.</w:t>
      </w:r>
    </w:p>
    <w:p w14:paraId="5C5E371B" w14:textId="77777777" w:rsidR="007E0928" w:rsidRDefault="00845DB9" w:rsidP="00341FEA">
      <w:pPr>
        <w:rPr>
          <w:rFonts w:cs="Arial"/>
        </w:rPr>
      </w:pPr>
      <w:r>
        <w:br w:type="page"/>
      </w:r>
    </w:p>
    <w:p w14:paraId="2574E332" w14:textId="77777777" w:rsidR="007E0928" w:rsidRDefault="00845DB9" w:rsidP="00341FEA">
      <w:pPr>
        <w:pStyle w:val="1"/>
        <w:pBdr>
          <w:bottom w:val="single" w:sz="12" w:space="4" w:color="B8860B"/>
        </w:pBdr>
        <w:bidi/>
        <w:rPr>
          <w:rFonts w:cs="Arial"/>
        </w:rPr>
      </w:pPr>
      <w:r>
        <w:t>الفصل الأول: أركيولوجيا الحب في تاريخ الفكر الإنساني</w:t>
      </w:r>
    </w:p>
    <w:p w14:paraId="103CCD95" w14:textId="77777777" w:rsidR="007E0928" w:rsidRDefault="00845DB9" w:rsidP="00341FEA">
      <w:pPr>
        <w:pStyle w:val="2"/>
        <w:bidi/>
        <w:rPr>
          <w:rFonts w:cs="Arial"/>
        </w:rPr>
      </w:pPr>
      <w:r>
        <w:t xml:space="preserve">1.1 الحب في الفلسفة اليونانية: </w:t>
      </w:r>
      <w:proofErr w:type="spellStart"/>
      <w:r>
        <w:t>إيروس</w:t>
      </w:r>
      <w:proofErr w:type="spellEnd"/>
      <w:r>
        <w:t xml:space="preserve"> </w:t>
      </w:r>
      <w:proofErr w:type="spellStart"/>
      <w:r>
        <w:t>وفيليا</w:t>
      </w:r>
      <w:proofErr w:type="spellEnd"/>
      <w:r>
        <w:t xml:space="preserve"> وأغابي والشوق إلى الكمال</w:t>
      </w:r>
    </w:p>
    <w:p w14:paraId="07A78D7F" w14:textId="77777777" w:rsidR="007E0928" w:rsidRDefault="00845DB9" w:rsidP="00341FEA">
      <w:pPr>
        <w:spacing w:after="200" w:line="340" w:lineRule="auto"/>
        <w:rPr>
          <w:rFonts w:cs="Arial"/>
        </w:rPr>
      </w:pPr>
      <w:r>
        <w:t>في "الفلسفة اليونانية"، "تعددت" "مفاهيم" "الحب" و"تنوعت". فـ"أفلاطون" — في "محاورة المأدبة" (</w:t>
      </w:r>
      <w:proofErr w:type="spellStart"/>
      <w:r>
        <w:t>Symposium</w:t>
      </w:r>
      <w:proofErr w:type="spellEnd"/>
      <w:r>
        <w:t>) — "ميّز" بين "</w:t>
      </w:r>
      <w:proofErr w:type="spellStart"/>
      <w:r>
        <w:t>إيروس</w:t>
      </w:r>
      <w:proofErr w:type="spellEnd"/>
      <w:r>
        <w:t>" (</w:t>
      </w:r>
      <w:proofErr w:type="spellStart"/>
      <w:r>
        <w:t>Eros</w:t>
      </w:r>
      <w:proofErr w:type="spellEnd"/>
      <w:r>
        <w:t xml:space="preserve">): "الحب" "الشهواني" الذي "يبدأ" بـ"الجمال" "الجسدي" و"يرتقي" — عبر "سُلم" "الجمال" — إلى "حب" "المُثل" و"الخير" "المُطلق" [5]. وتستحق أسطورة </w:t>
      </w:r>
      <w:proofErr w:type="spellStart"/>
      <w:r>
        <w:t>أرسطوفانيس</w:t>
      </w:r>
      <w:proofErr w:type="spellEnd"/>
      <w:r>
        <w:t>، التي ترد ضمن المحاورة نفسها، وقفة خاصة: فهي تصوّر الإنسان الأول ككائن مزدوج مكتمل، شُطر شطرين عقاباً له على تمرده، فصار كل نصف يبحث أبداً عن نصفه المفقود؛ وهذا التصور — رغم شاعريته — يُرسّخ فهماً للحب بوصفه سعياً نحو ملء نقص أصلي، وهي فكرة ستجد صدى بعيداً في مفهوم "الفاقة الأصلية" عند الزراع، وإن اختلف المصدر اختلافاً جذرياً كما سيأتي.</w:t>
      </w:r>
    </w:p>
    <w:p w14:paraId="41EBF5BD" w14:textId="77777777" w:rsidR="007E0928" w:rsidRDefault="00845DB9" w:rsidP="00341FEA">
      <w:pPr>
        <w:spacing w:after="200" w:line="340" w:lineRule="auto"/>
        <w:rPr>
          <w:rFonts w:cs="Arial"/>
        </w:rPr>
      </w:pPr>
      <w:r>
        <w:t xml:space="preserve">و"أرسطو" — في "الأخلاق إلى </w:t>
      </w:r>
      <w:proofErr w:type="spellStart"/>
      <w:r>
        <w:t>نيقوماخوس</w:t>
      </w:r>
      <w:proofErr w:type="spellEnd"/>
      <w:r>
        <w:t>" — "تحدث" عن "فيليا" (</w:t>
      </w:r>
      <w:proofErr w:type="spellStart"/>
      <w:r>
        <w:t>Philia</w:t>
      </w:r>
      <w:proofErr w:type="spellEnd"/>
      <w:r>
        <w:t>): "حب" "الصداقة" و"المودة" و"التعاون" بين "المواطنين" [6]، مقسّماً إياها إلى صداقة المنفعة وصداقة اللذة وصداقة الفضيلة، هذه الأخيرة هي وحدها الحب الكامل لأنها تستهدف الصديق لذاته لا لما يُجتنى منه. أما "</w:t>
      </w:r>
      <w:proofErr w:type="spellStart"/>
      <w:r>
        <w:t>الأغابي</w:t>
      </w:r>
      <w:proofErr w:type="spellEnd"/>
      <w:r>
        <w:t>" (</w:t>
      </w:r>
      <w:proofErr w:type="spellStart"/>
      <w:r>
        <w:t>Agape</w:t>
      </w:r>
      <w:proofErr w:type="spellEnd"/>
      <w:r>
        <w:t>) — الذي "سَيُصبح" "لاحقاً" "المفهوم" "المسيحي" "المركزي" — فَظل "هامشياً" في "الفكر" "اليوناني" "الكلاسيكي".</w:t>
      </w:r>
    </w:p>
    <w:p w14:paraId="143F1AC5" w14:textId="77777777" w:rsidR="007E0928" w:rsidRDefault="00845DB9" w:rsidP="00341FEA">
      <w:pPr>
        <w:spacing w:after="200" w:line="340" w:lineRule="auto"/>
        <w:rPr>
          <w:rFonts w:cs="Arial"/>
        </w:rPr>
      </w:pPr>
      <w:r>
        <w:t xml:space="preserve">هذه "التصورات" — رغم "عُمقها" — "ظلت" "أسيرة" لـ"ثنائية" "الجسد/الروح" و"الشهوة/العفة". و"الحب" — فيها — "إما" أن "يكون" "شهوانياً" </w:t>
      </w:r>
      <w:proofErr w:type="spellStart"/>
      <w:r>
        <w:t>و"دنيوياً</w:t>
      </w:r>
      <w:proofErr w:type="spellEnd"/>
      <w:r>
        <w:t>" (</w:t>
      </w:r>
      <w:proofErr w:type="spellStart"/>
      <w:r>
        <w:t>إيروس</w:t>
      </w:r>
      <w:proofErr w:type="spellEnd"/>
      <w:r>
        <w:t xml:space="preserve">)، و"إما" أن "يكون" "عقلياً" </w:t>
      </w:r>
      <w:proofErr w:type="spellStart"/>
      <w:r>
        <w:t>و"مُتجرداً</w:t>
      </w:r>
      <w:proofErr w:type="spellEnd"/>
      <w:r>
        <w:t xml:space="preserve">" (حب المُثل). </w:t>
      </w:r>
      <w:proofErr w:type="spellStart"/>
      <w:r>
        <w:t>و"لم</w:t>
      </w:r>
      <w:proofErr w:type="spellEnd"/>
      <w:r>
        <w:t xml:space="preserve"> تَنجح" — بشكل "كامل" — في "التوفيق" بين "هذين" "البُعدين"، وهي ثنائية ستظل تُرافق الفكر الغربي في تناوله للحب حتى العصور الحديثة، بينما — كما سيُبيَّن في الفصل الثاني — يقترح النموذج الاستخلافي تصوراً يتجاوز هذه الثنائية من أصلها.</w:t>
      </w:r>
    </w:p>
    <w:p w14:paraId="53F2B981" w14:textId="77777777" w:rsidR="007E0928" w:rsidRDefault="00845DB9" w:rsidP="00341FEA">
      <w:pPr>
        <w:pStyle w:val="2"/>
        <w:bidi/>
        <w:rPr>
          <w:rFonts w:cs="Arial"/>
        </w:rPr>
      </w:pPr>
      <w:r>
        <w:t xml:space="preserve">1.2 الحب في التصور المسيحي: </w:t>
      </w:r>
      <w:proofErr w:type="spellStart"/>
      <w:r>
        <w:t>الأغابي</w:t>
      </w:r>
      <w:proofErr w:type="spellEnd"/>
      <w:r>
        <w:t xml:space="preserve"> والتضحية ومحبة الأعداء</w:t>
      </w:r>
    </w:p>
    <w:p w14:paraId="21C35DB6" w14:textId="77777777" w:rsidR="007E0928" w:rsidRDefault="00845DB9" w:rsidP="00341FEA">
      <w:pPr>
        <w:spacing w:after="200" w:line="340" w:lineRule="auto"/>
        <w:rPr>
          <w:rFonts w:cs="Arial"/>
        </w:rPr>
      </w:pPr>
      <w:r>
        <w:t>في "التصور المسيحي"، "حظي" "الحب" بـ"مكانة" "مركزية" "غير مسبوقة". فـ"الله" — في "العهد الجديد" — هو "محبة" (1 يوحنا 4: 8). و"الوصية" "العُظمى" هي: "تُحب الرب إلهك من كل قلبك... وتُحب قريبك كنفسك" (متى 22: 37-39). و"الذروة" "الأخلاقية" هي "محبة الأعداء" (متى 5: 44). وهذا "المفهوم" — "</w:t>
      </w:r>
      <w:proofErr w:type="spellStart"/>
      <w:r>
        <w:t>الأغابي</w:t>
      </w:r>
      <w:proofErr w:type="spellEnd"/>
      <w:r>
        <w:t>" — "يَتجاوز" "</w:t>
      </w:r>
      <w:proofErr w:type="spellStart"/>
      <w:r>
        <w:t>الإيروس</w:t>
      </w:r>
      <w:proofErr w:type="spellEnd"/>
      <w:r>
        <w:t xml:space="preserve">" "اليوناني" </w:t>
      </w:r>
      <w:proofErr w:type="spellStart"/>
      <w:r>
        <w:t>و"الفيليا</w:t>
      </w:r>
      <w:proofErr w:type="spellEnd"/>
      <w:r>
        <w:t>" "</w:t>
      </w:r>
      <w:proofErr w:type="spellStart"/>
      <w:r>
        <w:t>الأرسطية</w:t>
      </w:r>
      <w:proofErr w:type="spellEnd"/>
      <w:r>
        <w:t xml:space="preserve">" إلى "حب" "غير مشروط" </w:t>
      </w:r>
      <w:proofErr w:type="spellStart"/>
      <w:r>
        <w:t>و"مُضحي</w:t>
      </w:r>
      <w:proofErr w:type="spellEnd"/>
      <w:r>
        <w:t xml:space="preserve">" </w:t>
      </w:r>
      <w:proofErr w:type="spellStart"/>
      <w:r>
        <w:t>و"مُتجه</w:t>
      </w:r>
      <w:proofErr w:type="spellEnd"/>
      <w:r>
        <w:t>" إلى "الآخر" (حتى "العدو").</w:t>
      </w:r>
    </w:p>
    <w:p w14:paraId="5EEECC68" w14:textId="77777777" w:rsidR="007E0928" w:rsidRDefault="00845DB9" w:rsidP="00341FEA">
      <w:pPr>
        <w:spacing w:after="200" w:line="340" w:lineRule="auto"/>
        <w:rPr>
          <w:rFonts w:cs="Arial"/>
        </w:rPr>
      </w:pPr>
      <w:r>
        <w:t xml:space="preserve">ويُعدّ كتاب اللاهوتي السويدي أندرس </w:t>
      </w:r>
      <w:proofErr w:type="spellStart"/>
      <w:r>
        <w:t>نيغرين</w:t>
      </w:r>
      <w:proofErr w:type="spellEnd"/>
      <w:r>
        <w:t xml:space="preserve"> "أغابي </w:t>
      </w:r>
      <w:proofErr w:type="spellStart"/>
      <w:r>
        <w:t>وإيروس</w:t>
      </w:r>
      <w:proofErr w:type="spellEnd"/>
      <w:r>
        <w:t xml:space="preserve">" أهم دراسة نقدية-تاريخية لهذا التمايز؛ إذ يذهب </w:t>
      </w:r>
      <w:proofErr w:type="spellStart"/>
      <w:r>
        <w:t>نيغرين</w:t>
      </w:r>
      <w:proofErr w:type="spellEnd"/>
      <w:r>
        <w:t xml:space="preserve"> إلى أن </w:t>
      </w:r>
      <w:proofErr w:type="spellStart"/>
      <w:r>
        <w:t>الأغابي</w:t>
      </w:r>
      <w:proofErr w:type="spellEnd"/>
      <w:r>
        <w:t xml:space="preserve"> المسيحي حب نازل من الله إلى الإنسان، غير مشروط بقيمة المحبوب ولا نابع من حاجة المحب، على النقيض التام من </w:t>
      </w:r>
      <w:proofErr w:type="spellStart"/>
      <w:r>
        <w:t>الإيروس</w:t>
      </w:r>
      <w:proofErr w:type="spellEnd"/>
      <w:r>
        <w:t xml:space="preserve"> الأفلاطوني الذي هو حركة صاعدة من الإنسان الناقص نحو الكمال المفتقَد إليه [7]. وهذا التقابل الحاد — بين حب "نازل من فوق" وحب "صاعد من نقص" — سيُستعاد لاحقاً في هذه الدراسة عند مناقشة العلاقة بين "الفاقة الأصلية" و"الرحمة النازلة" في النموذج الاستخلافي، حيث سنبيّن أن الأخير يجمع — بشكل فريد — بين حركتي الصعود والنزول في آن واحد.</w:t>
      </w:r>
    </w:p>
    <w:p w14:paraId="0A24A1F4" w14:textId="77777777" w:rsidR="007E0928" w:rsidRDefault="00845DB9" w:rsidP="00341FEA">
      <w:pPr>
        <w:spacing w:after="200" w:line="340" w:lineRule="auto"/>
        <w:rPr>
          <w:rFonts w:cs="Arial"/>
        </w:rPr>
      </w:pPr>
      <w:r>
        <w:t xml:space="preserve">غير أن هذا "التصور" — رغم "سُموه" — "واجه" "صعوبات" في "التطبيق" و"التحقق" "التاريخي". كما أنه — في "بعض" "تفسيراته" — "أنتج" "ازدراءً" للجسد و"للحياة" "الدُنيا"، </w:t>
      </w:r>
      <w:proofErr w:type="spellStart"/>
      <w:r>
        <w:t>و"ركّز</w:t>
      </w:r>
      <w:proofErr w:type="spellEnd"/>
      <w:r>
        <w:t>" على "الآخرة" على "حساب" "الدنيا"، بما يُفضي أحياناً إلى نوع من الثنائية الأفلاطونية المقنّعة، يُعيد إنتاج القطيعة بين الجسد والروح بدل تجاوزها.</w:t>
      </w:r>
    </w:p>
    <w:p w14:paraId="3A65BDE5" w14:textId="77777777" w:rsidR="007E0928" w:rsidRDefault="00845DB9" w:rsidP="00341FEA">
      <w:pPr>
        <w:pStyle w:val="2"/>
        <w:bidi/>
        <w:rPr>
          <w:rFonts w:cs="Arial"/>
        </w:rPr>
      </w:pPr>
      <w:r>
        <w:t xml:space="preserve">1.3 الحب في التحليل النفسي </w:t>
      </w:r>
      <w:proofErr w:type="spellStart"/>
      <w:r>
        <w:t>الفرويدي</w:t>
      </w:r>
      <w:proofErr w:type="spellEnd"/>
      <w:r>
        <w:t xml:space="preserve">: </w:t>
      </w:r>
      <w:proofErr w:type="spellStart"/>
      <w:r>
        <w:t>الليبيدو</w:t>
      </w:r>
      <w:proofErr w:type="spellEnd"/>
      <w:r>
        <w:t xml:space="preserve"> والتسامي وعقدة أوديب</w:t>
      </w:r>
    </w:p>
    <w:p w14:paraId="6C32D321" w14:textId="77777777" w:rsidR="007E0928" w:rsidRDefault="00845DB9" w:rsidP="00341FEA">
      <w:pPr>
        <w:spacing w:after="200" w:line="340" w:lineRule="auto"/>
        <w:rPr>
          <w:rFonts w:cs="Arial"/>
        </w:rPr>
      </w:pPr>
      <w:r>
        <w:t>في "التحليل النفسي" "</w:t>
      </w:r>
      <w:proofErr w:type="spellStart"/>
      <w:r>
        <w:t>الفرويدي</w:t>
      </w:r>
      <w:proofErr w:type="spellEnd"/>
      <w:r>
        <w:t>"، "تم" "اختزال" "الحب" — بشكل "جذري" — إلى "الرغبة الجنسية" (</w:t>
      </w:r>
      <w:proofErr w:type="spellStart"/>
      <w:r>
        <w:t>Libido</w:t>
      </w:r>
      <w:proofErr w:type="spellEnd"/>
      <w:r>
        <w:t xml:space="preserve">). فـ"الحب" — عند "فرويد" — هو "تعبير" — "مُباشر" أو "مُسامي" — عن "دوافع" "جنسية" و"عدوانية" "مكبوتة" [9]. </w:t>
      </w:r>
      <w:proofErr w:type="spellStart"/>
      <w:r>
        <w:t>و"حب</w:t>
      </w:r>
      <w:proofErr w:type="spellEnd"/>
      <w:r>
        <w:t>" "الطفل" لـ"أمه" — مثلاً — هو "تعبير" عن "عقدة أوديب" (</w:t>
      </w:r>
      <w:proofErr w:type="spellStart"/>
      <w:r>
        <w:t>Oedipus</w:t>
      </w:r>
      <w:proofErr w:type="spellEnd"/>
      <w:r>
        <w:t xml:space="preserve"> </w:t>
      </w:r>
      <w:proofErr w:type="spellStart"/>
      <w:r>
        <w:t>Complex</w:t>
      </w:r>
      <w:proofErr w:type="spellEnd"/>
      <w:r>
        <w:t xml:space="preserve">). </w:t>
      </w:r>
      <w:proofErr w:type="spellStart"/>
      <w:r>
        <w:t>و"حب</w:t>
      </w:r>
      <w:proofErr w:type="spellEnd"/>
      <w:r>
        <w:t xml:space="preserve">" "الإنسان" لـ"الله" هو "إسقاط" لـ"حاجته" إلى "أب" "قوي" </w:t>
      </w:r>
      <w:proofErr w:type="spellStart"/>
      <w:r>
        <w:t>و"حامٍ</w:t>
      </w:r>
      <w:proofErr w:type="spellEnd"/>
      <w:r>
        <w:t>".</w:t>
      </w:r>
    </w:p>
    <w:p w14:paraId="74DA8A21" w14:textId="77777777" w:rsidR="007E0928" w:rsidRDefault="00845DB9" w:rsidP="00341FEA">
      <w:pPr>
        <w:spacing w:after="200" w:line="340" w:lineRule="auto"/>
        <w:rPr>
          <w:rFonts w:cs="Arial"/>
        </w:rPr>
      </w:pPr>
      <w:r>
        <w:t>هذا "الاختزال" — الذي "فضح" "الجذور" "</w:t>
      </w:r>
      <w:proofErr w:type="spellStart"/>
      <w:r>
        <w:t>اللاواعية</w:t>
      </w:r>
      <w:proofErr w:type="spellEnd"/>
      <w:r>
        <w:t xml:space="preserve">" لـ"كثير" من "السلوكيات" — "أفقد" "الحب" "سُموه" </w:t>
      </w:r>
      <w:proofErr w:type="spellStart"/>
      <w:r>
        <w:t>و"قُدسيته</w:t>
      </w:r>
      <w:proofErr w:type="spellEnd"/>
      <w:r>
        <w:t>"، و"جعله" — في "التحليل" "الأخير" — "نتاجاً" لـ"آليات" "نفسية" "بدائية". وهو — كما "يُعلق" "الزراع" — "نموذج" لـ"الاختزال" "المادي" الذي "يُعمي" عن "الأبعاد" "الوجودية" و"الروحية" للظاهرة الإنسانية.</w:t>
      </w:r>
    </w:p>
    <w:p w14:paraId="7EF1F877" w14:textId="77777777" w:rsidR="007E0928" w:rsidRDefault="00845DB9" w:rsidP="00341FEA">
      <w:pPr>
        <w:pStyle w:val="2"/>
        <w:bidi/>
        <w:rPr>
          <w:rFonts w:cs="Arial"/>
        </w:rPr>
      </w:pPr>
      <w:r>
        <w:t xml:space="preserve">1.4 الحب عند </w:t>
      </w:r>
      <w:proofErr w:type="spellStart"/>
      <w:r>
        <w:t>إريش</w:t>
      </w:r>
      <w:proofErr w:type="spellEnd"/>
      <w:r>
        <w:t xml:space="preserve"> فروم: فن المحبة كممارسة نشطة</w:t>
      </w:r>
    </w:p>
    <w:p w14:paraId="23D5DD66" w14:textId="77777777" w:rsidR="007E0928" w:rsidRDefault="00845DB9" w:rsidP="00341FEA">
      <w:pPr>
        <w:spacing w:after="200" w:line="340" w:lineRule="auto"/>
        <w:rPr>
          <w:rFonts w:cs="Arial"/>
        </w:rPr>
      </w:pPr>
      <w:r>
        <w:t xml:space="preserve">يُشكّل </w:t>
      </w:r>
      <w:proofErr w:type="spellStart"/>
      <w:r>
        <w:t>إريش</w:t>
      </w:r>
      <w:proofErr w:type="spellEnd"/>
      <w:r>
        <w:t xml:space="preserve"> فروم — في كتابه المرجعي "فن الحب" — نقلة نوعية داخل التقليد التحليلي-النفسي ذاته، إذ يرفض اختزال فرويد للحب في </w:t>
      </w:r>
      <w:proofErr w:type="spellStart"/>
      <w:r>
        <w:t>الليبيدو</w:t>
      </w:r>
      <w:proofErr w:type="spellEnd"/>
      <w:r>
        <w:t>، ويطرح بدلاً منه تصوراً للحب بوصفه "فناً" يُمارَس ويُتعلَّم، لا حالة "يُقَع" فيها المرء سلبياً [10]. ويحدد فروم للحب الناضج أربعة عناصر متلازمة: العناية (</w:t>
      </w:r>
      <w:proofErr w:type="spellStart"/>
      <w:r>
        <w:t>Care</w:t>
      </w:r>
      <w:proofErr w:type="spellEnd"/>
      <w:r>
        <w:t>)، والمسؤولية (</w:t>
      </w:r>
      <w:proofErr w:type="spellStart"/>
      <w:r>
        <w:t>Responsibility</w:t>
      </w:r>
      <w:proofErr w:type="spellEnd"/>
      <w:r>
        <w:t>)، والاحترام (</w:t>
      </w:r>
      <w:proofErr w:type="spellStart"/>
      <w:r>
        <w:t>Respect</w:t>
      </w:r>
      <w:proofErr w:type="spellEnd"/>
      <w:r>
        <w:t>)، والمعرفة (</w:t>
      </w:r>
      <w:proofErr w:type="spellStart"/>
      <w:r>
        <w:t>Knowledge</w:t>
      </w:r>
      <w:proofErr w:type="spellEnd"/>
      <w:r>
        <w:t>)، وهي عناصر تجعل الحب فعلاً إرادياً واعياً لا انفعالاً عابراً.</w:t>
      </w:r>
    </w:p>
    <w:p w14:paraId="5E9B68BF" w14:textId="77777777" w:rsidR="007E0928" w:rsidRDefault="00845DB9" w:rsidP="00341FEA">
      <w:pPr>
        <w:spacing w:after="200" w:line="340" w:lineRule="auto"/>
        <w:rPr>
          <w:rFonts w:cs="Arial"/>
        </w:rPr>
      </w:pPr>
      <w:r>
        <w:t xml:space="preserve">وتتقاطع رؤية فروم — من حيث كون الحب "فعلاً" و"ممارسة" لا "مجرد" "شعور" — مع ما يؤكده الزراع من أن الحب الحقيقي "فعل وسلوك وطاعة" لا انفعالاً خالصاً، كما سيرد في الفصل الثاني. غير أن الفارق الجوهري بينهما يكمن في المرجعية: فحب فروم </w:t>
      </w:r>
      <w:proofErr w:type="spellStart"/>
      <w:r>
        <w:t>إنسانوي</w:t>
      </w:r>
      <w:proofErr w:type="spellEnd"/>
      <w:r>
        <w:t xml:space="preserve"> محض، مصدره وغايته الإنسان ذاته وقدرته على "الإنتاجية" النفسية، بينما حب الزراع تراتبي المصدر، ينطلق من حب الله ليفيض على سائر أصناف الحب، وهو فارق سنعود إليه في خاتمة هذا الفصل.</w:t>
      </w:r>
    </w:p>
    <w:p w14:paraId="0B0E474C" w14:textId="77777777" w:rsidR="007E0928" w:rsidRDefault="00845DB9" w:rsidP="00341FEA">
      <w:pPr>
        <w:pStyle w:val="2"/>
        <w:bidi/>
        <w:rPr>
          <w:rFonts w:cs="Arial"/>
        </w:rPr>
      </w:pPr>
      <w:r>
        <w:t xml:space="preserve">1.5 الحب والتعلق: نظرية </w:t>
      </w:r>
      <w:proofErr w:type="spellStart"/>
      <w:r>
        <w:t>بولبي</w:t>
      </w:r>
      <w:proofErr w:type="spellEnd"/>
      <w:r>
        <w:t xml:space="preserve"> في التعلق</w:t>
      </w:r>
    </w:p>
    <w:p w14:paraId="3DD1F544" w14:textId="77777777" w:rsidR="007E0928" w:rsidRDefault="00845DB9" w:rsidP="00341FEA">
      <w:pPr>
        <w:spacing w:after="200" w:line="340" w:lineRule="auto"/>
        <w:rPr>
          <w:rFonts w:cs="Arial"/>
        </w:rPr>
      </w:pPr>
      <w:r>
        <w:t xml:space="preserve">يقدم عالم النفس البريطاني جون </w:t>
      </w:r>
      <w:proofErr w:type="spellStart"/>
      <w:r>
        <w:t>بولبي</w:t>
      </w:r>
      <w:proofErr w:type="spellEnd"/>
      <w:r>
        <w:t xml:space="preserve"> — عبر نظرية التعلق (</w:t>
      </w:r>
      <w:proofErr w:type="spellStart"/>
      <w:r>
        <w:t>Attachment</w:t>
      </w:r>
      <w:proofErr w:type="spellEnd"/>
      <w:r>
        <w:t xml:space="preserve"> </w:t>
      </w:r>
      <w:proofErr w:type="spellStart"/>
      <w:r>
        <w:t>Theory</w:t>
      </w:r>
      <w:proofErr w:type="spellEnd"/>
      <w:r>
        <w:t xml:space="preserve">) — إطاراً تطورياً-سلوكياً لفهم الروابط الوجدانية المبكرة بين الرضيع ومقدّم الرعاية، مؤكداً أن حاجة الإنسان إلى القرب الآمن من "الآخر المُتعلَّق به" حاجة بيولوجية أصيلة، لا نتاجاً ثانوياً لإشباع الجوع أو الغريزة الجنسية كما ذهب فرويد [11]. وتُميّز هذه النظرية بين أنماط تعلق آمنة وأخرى قلقة أو </w:t>
      </w:r>
      <w:proofErr w:type="spellStart"/>
      <w:r>
        <w:t>تجنبية</w:t>
      </w:r>
      <w:proofErr w:type="spellEnd"/>
      <w:r>
        <w:t xml:space="preserve"> أو مشوشة، بحسب استجابة بيئة الرعاية الأولى لحاجات الطفل.</w:t>
      </w:r>
    </w:p>
    <w:p w14:paraId="3ABB168F" w14:textId="77777777" w:rsidR="007E0928" w:rsidRDefault="00845DB9" w:rsidP="00341FEA">
      <w:pPr>
        <w:spacing w:after="200" w:line="340" w:lineRule="auto"/>
        <w:rPr>
          <w:rFonts w:cs="Arial"/>
        </w:rPr>
      </w:pPr>
      <w:r>
        <w:t xml:space="preserve">وتحظى نظرية التعلق بأهمية خاصة في هذه الدراسة، لأنها تقدم — من زاوية تجريبية بحتة — ما يشبه صدى علمانياً لمفهوم "الفاقة الأصلية": فالطفل، في نظر </w:t>
      </w:r>
      <w:proofErr w:type="spellStart"/>
      <w:r>
        <w:t>بولبي</w:t>
      </w:r>
      <w:proofErr w:type="spellEnd"/>
      <w:r>
        <w:t xml:space="preserve">، "يُفتقر" بيولوجياً إلى القرب الآمن، تماماً كما "يفتقر" الإنسان أنطولوجياً — في النموذج الاستخلافي — إلى الاتصال بمصدره الإلهي. غير أن </w:t>
      </w:r>
      <w:proofErr w:type="spellStart"/>
      <w:r>
        <w:t>بولبي</w:t>
      </w:r>
      <w:proofErr w:type="spellEnd"/>
      <w:r>
        <w:t xml:space="preserve"> يقف عند حدود العلاقة البشرية-البشرية، بينما يمتد التصور الاستخلافي — كما سيأتي في الفصل الثاني — إلى العلاقة التأسيسية بين الخالق والمخلوق، التي تُعدّ في نظر الزراع الأصل الذي تُقاس عليه سائر الروابط، لا فرعاً عنها.</w:t>
      </w:r>
    </w:p>
    <w:p w14:paraId="365D3228" w14:textId="77777777" w:rsidR="007E0928" w:rsidRDefault="00845DB9" w:rsidP="00341FEA">
      <w:pPr>
        <w:pStyle w:val="2"/>
        <w:bidi/>
        <w:rPr>
          <w:rFonts w:cs="Arial"/>
        </w:rPr>
      </w:pPr>
      <w:r>
        <w:t xml:space="preserve">1.6 الحب في علم الأعصاب الوجداني: </w:t>
      </w:r>
      <w:proofErr w:type="spellStart"/>
      <w:r>
        <w:t>بانكسِب</w:t>
      </w:r>
      <w:proofErr w:type="spellEnd"/>
      <w:r>
        <w:t xml:space="preserve"> وأنظمة السعي والرعاية</w:t>
      </w:r>
    </w:p>
    <w:p w14:paraId="305A09F0" w14:textId="77777777" w:rsidR="007E0928" w:rsidRDefault="00845DB9" w:rsidP="00341FEA">
      <w:pPr>
        <w:spacing w:after="200" w:line="340" w:lineRule="auto"/>
        <w:rPr>
          <w:rFonts w:cs="Arial"/>
        </w:rPr>
      </w:pPr>
      <w:r>
        <w:t xml:space="preserve">يقدّم عالم الأعصاب الوجدانية جاك </w:t>
      </w:r>
      <w:proofErr w:type="spellStart"/>
      <w:r>
        <w:t>بانكسِب</w:t>
      </w:r>
      <w:proofErr w:type="spellEnd"/>
      <w:r>
        <w:t xml:space="preserve"> — عبر كتابه "علم الأعصاب الوجداني" — خريطة للأنظمة الدماغية العاطفية الأساسية المشتركة بين الإنسان والحيوان، ومنها نظام "السعي" (SEEKING) الذي يُحرّك الكائن نحو ما يحتاجه ويرغب فيه، ونظام "الرعاية" (CARE) المسؤول عصبياً عن سلوكيات الحنان والتعلق والإيثار الوالدي [12]. وتُظهر هذه الأنظمة — تشريحياً وكيميائياً — أن الحب، في بعده الفسيولوجي، ليس بناءً ثقافياً محضاً، بل متجذر في بنى دماغية قديمة تطورياً.</w:t>
      </w:r>
    </w:p>
    <w:p w14:paraId="093C1B20" w14:textId="77777777" w:rsidR="007E0928" w:rsidRDefault="00845DB9">
      <w:pPr>
        <w:spacing w:after="200" w:line="340" w:lineRule="auto"/>
        <w:jc w:val="both"/>
        <w:rPr>
          <w:rFonts w:cs="Arial"/>
        </w:rPr>
      </w:pPr>
      <w:r>
        <w:t>ويرى الزراع أن هذه المكتشفات العصبية لا تُناقض التصور الاستخلافي، بل تُؤكد أحد شقيه: فالجسد — بما هو "طين" — مُهيَّأ فطرياً لحمل "النفخة" الإلهية والتفاعل معها عبر آليات كيميائية-عصبية (</w:t>
      </w:r>
      <w:proofErr w:type="spellStart"/>
      <w:r>
        <w:t>كالأوكسيتوسين</w:t>
      </w:r>
      <w:proofErr w:type="spellEnd"/>
      <w:r>
        <w:t xml:space="preserve"> </w:t>
      </w:r>
      <w:proofErr w:type="spellStart"/>
      <w:r>
        <w:t>والدوبامين</w:t>
      </w:r>
      <w:proofErr w:type="spellEnd"/>
      <w:r>
        <w:t>)، دون أن تختزل هذه الآليات "معنى" الحب أو "مصدره" الأنطولوجي. فوجود الرابط العصبي شرط لازم لتجربة الحب في عالم الشهادة، لكنه ليس تفسيراً كافياً لحقيقته، تماماً كما أن السلك الكهربائي شرط لسريان النور، دون أن يكون هو مصدر النور ذاته.</w:t>
      </w:r>
    </w:p>
    <w:p w14:paraId="61E9536B" w14:textId="77777777" w:rsidR="007E0928" w:rsidRDefault="00845DB9">
      <w:pPr>
        <w:pStyle w:val="2"/>
        <w:bidi/>
        <w:jc w:val="right"/>
        <w:rPr>
          <w:rFonts w:cs="Arial"/>
        </w:rPr>
      </w:pPr>
      <w:r>
        <w:t>1.7 الدماغ اليقظ والحب: مساهمة دانيال سيغل</w:t>
      </w:r>
    </w:p>
    <w:p w14:paraId="4F3223EF" w14:textId="77777777" w:rsidR="007E0928" w:rsidRDefault="00845DB9">
      <w:pPr>
        <w:spacing w:after="200" w:line="340" w:lineRule="auto"/>
        <w:jc w:val="both"/>
        <w:rPr>
          <w:rFonts w:cs="Arial"/>
        </w:rPr>
      </w:pPr>
      <w:r>
        <w:t>يُطوّر الطبيب النفسي دانيال سيغل — في كتابه "الدماغ اليقظ" — مفهوم "التآلف" (</w:t>
      </w:r>
      <w:proofErr w:type="spellStart"/>
      <w:r>
        <w:t>Attunement</w:t>
      </w:r>
      <w:proofErr w:type="spellEnd"/>
      <w:r>
        <w:t xml:space="preserve">) بوصفه العملية العصبية-النفسية التي يتواصل بها عقلان معاً بحيث "يشعر" كل منهما بالآخر ويُنظّم حالته الداخلية استجابة له، مستنداً إلى اكتشافات الخلايا العصبية </w:t>
      </w:r>
      <w:proofErr w:type="spellStart"/>
      <w:r>
        <w:t>المرآتية</w:t>
      </w:r>
      <w:proofErr w:type="spellEnd"/>
      <w:r>
        <w:t xml:space="preserve"> والتكامل العصبي [13]. ويربط سيغل هذا التآلف بممارسات اليقظة الذهنية (</w:t>
      </w:r>
      <w:proofErr w:type="spellStart"/>
      <w:r>
        <w:t>Mindfulness</w:t>
      </w:r>
      <w:proofErr w:type="spellEnd"/>
      <w:r>
        <w:t>) بوصفها طريقاً لتعميق القدرة على الحضور والانتباه، وهما — كما سيتضح في الفصل الرابع — ركيزتان أساسيتان في فهم الزراع للحب العلاجي.</w:t>
      </w:r>
    </w:p>
    <w:p w14:paraId="51996F86" w14:textId="77777777" w:rsidR="007E0928" w:rsidRDefault="00845DB9">
      <w:pPr>
        <w:spacing w:after="200" w:line="340" w:lineRule="auto"/>
        <w:jc w:val="both"/>
        <w:rPr>
          <w:rFonts w:cs="Arial"/>
        </w:rPr>
      </w:pPr>
      <w:r>
        <w:t>وتُشكّل مساهمة سيغل جسراً مهماً بين علم الأعصاب المعاصر ومفهوم "الانتباه" الذي يستشهد به الزراع عبر مقولة سيمون فايل الشهيرة "الانتباه هو أصفى صور الحب"؛ ذلك أن التآلف العصبي، في جوهره، هو انتباه متجسّد بيولوجياً، وهو ما يمنح المفهوم الصوفي-القرآني لـ"الذكر" — كما سيأتي — سنداً تجريبياً إضافياً، دون أن يكون علم الأعصاب مصدر مشروعية ذلك المفهوم أو بديلاً عنه.</w:t>
      </w:r>
    </w:p>
    <w:p w14:paraId="06585082" w14:textId="77777777" w:rsidR="007E0928" w:rsidRDefault="00845DB9">
      <w:pPr>
        <w:pStyle w:val="2"/>
        <w:bidi/>
        <w:jc w:val="right"/>
        <w:rPr>
          <w:rFonts w:cs="Arial"/>
        </w:rPr>
      </w:pPr>
      <w:r>
        <w:t>1.8 خلاصة نقدية: أوجه القصور المشتركة في النماذج الغربية</w:t>
      </w:r>
    </w:p>
    <w:p w14:paraId="05154321" w14:textId="77777777" w:rsidR="007E0928" w:rsidRDefault="00845DB9">
      <w:pPr>
        <w:spacing w:after="200" w:line="340" w:lineRule="auto"/>
        <w:jc w:val="both"/>
        <w:rPr>
          <w:rFonts w:cs="Arial"/>
        </w:rPr>
      </w:pPr>
      <w:r>
        <w:t>يمكن، بعد هذا الاستعراض، أن نُميّز ثلاثة أوجه قصور مشتركة تعتري هذه النماذج مجتمعة، رغم تفاوت عمقها وقيمتها الجزئية: أولها، غياب المرجعية الإلهية التأسيسية، إذ تنطلق جميعها — من أفلاطون إلى سيغل — من الإنسان أو من الطبيعة البيولوجية، دون أن تجعل حب الله أصلاً تُقاس عليه سائر الأنواع. وثانيها، الاكتفاء بالوصف دون التأصيل الغائي، فهي تشرح "كيف" يحدث الحب عصبياً أو نفسياً، دون أن تُجيب عن "لماذا" يوجد هذا الافتقار الوجودي أصلاً في بنية الإنسان. وثالثها، القصور عن ربط الحب بمشروع أخلاقي-حضاري شامل يتجاوز العلاقة الثنائية إلى عمارة الأرض والإحسان الاجتماعي.</w:t>
      </w:r>
    </w:p>
    <w:p w14:paraId="1BBCE96F" w14:textId="77777777" w:rsidR="007E0928" w:rsidRDefault="00845DB9">
      <w:pPr>
        <w:spacing w:after="200" w:line="340" w:lineRule="auto"/>
        <w:jc w:val="both"/>
        <w:rPr>
          <w:rFonts w:cs="Arial"/>
        </w:rPr>
      </w:pPr>
      <w:r>
        <w:t>وهذه الثغرات الثلاث هي بالضبط ما يسعى النموذج الاستخلافي — كما سيتبيّن في الفصلين التاليين — إلى سدّها، عبر تأصيل أنطولوجي-قرآني للحب يستوعب المعطيات الجزئية الصحيحة في كل نموذج من هذه النماذج، دون الوقوع في اختزاليتها.</w:t>
      </w:r>
    </w:p>
    <w:p w14:paraId="395413C0" w14:textId="77777777" w:rsidR="007E0928" w:rsidRDefault="00845DB9">
      <w:pPr>
        <w:rPr>
          <w:rFonts w:cs="Arial"/>
        </w:rPr>
      </w:pPr>
      <w:r>
        <w:br w:type="page"/>
      </w:r>
    </w:p>
    <w:p w14:paraId="69869114" w14:textId="77777777" w:rsidR="007E0928" w:rsidRDefault="00845DB9">
      <w:pPr>
        <w:pStyle w:val="1"/>
        <w:pBdr>
          <w:bottom w:val="single" w:sz="12" w:space="4" w:color="B8860B"/>
        </w:pBdr>
        <w:bidi/>
        <w:jc w:val="right"/>
        <w:rPr>
          <w:rFonts w:cs="Arial"/>
        </w:rPr>
      </w:pPr>
      <w:r>
        <w:t>الفصل الثاني: أنطولوجيا الحب الاستخلافي — الفاقة الأصلية والشوق الوجودي</w:t>
      </w:r>
    </w:p>
    <w:p w14:paraId="6A788E6B" w14:textId="77777777" w:rsidR="007E0928" w:rsidRDefault="00845DB9">
      <w:pPr>
        <w:pStyle w:val="2"/>
        <w:bidi/>
        <w:jc w:val="right"/>
        <w:rPr>
          <w:rFonts w:cs="Arial"/>
        </w:rPr>
      </w:pPr>
      <w:r>
        <w:t>2.1 الفاقة الأصلية والحاجة إلى الحب: الجوع الوجودي</w:t>
      </w:r>
    </w:p>
    <w:p w14:paraId="2DFC9D20" w14:textId="77777777" w:rsidR="007E0928" w:rsidRDefault="00845DB9">
      <w:pPr>
        <w:spacing w:after="200" w:line="340" w:lineRule="auto"/>
        <w:jc w:val="both"/>
        <w:rPr>
          <w:rFonts w:cs="Arial"/>
        </w:rPr>
      </w:pPr>
      <w:r>
        <w:t>ينطلق "الزراع" — في "تحليله" لـ"لحب" — من "مفهوم" "أنطولوجي" "أساسي" هو "الفاقة الأصلية" (</w:t>
      </w:r>
      <w:proofErr w:type="spellStart"/>
      <w:r>
        <w:t>Original</w:t>
      </w:r>
      <w:proofErr w:type="spellEnd"/>
      <w:r>
        <w:t xml:space="preserve"> </w:t>
      </w:r>
      <w:proofErr w:type="spellStart"/>
      <w:r>
        <w:t>Indigence</w:t>
      </w:r>
      <w:proofErr w:type="spellEnd"/>
      <w:r>
        <w:t xml:space="preserve">). فـ"الإنسان" — في "النموذج الاستخلافي" — "يُولد" وهو "يَحمل" في "أعماق" "نفسه" "فراغاً" "وجودياً" </w:t>
      </w:r>
      <w:proofErr w:type="spellStart"/>
      <w:r>
        <w:t>و"جوعاً</w:t>
      </w:r>
      <w:proofErr w:type="spellEnd"/>
      <w:r>
        <w:t>" "روحياً" لا "</w:t>
      </w:r>
      <w:proofErr w:type="spellStart"/>
      <w:r>
        <w:t>يَملؤه</w:t>
      </w:r>
      <w:proofErr w:type="spellEnd"/>
      <w:r>
        <w:t>" "شيء" من "الماديات": لا "مال" ولا "جاه" ولا "شهرة" ولا "لذة". وهذا "الفراغ" — كما "يُعبر" عنه — هو "أثر" "النفخة الإلهية" (الروح) في "الطين" (الجسد). إنه "الحنين" إلى "الأصل"، و"الشوق" إلى "المصدر"، و"البحث" "الدائم" عن "المعنى" و"الحب" [737، 738].</w:t>
      </w:r>
    </w:p>
    <w:p w14:paraId="4F24B0F0" w14:textId="77777777" w:rsidR="007E0928" w:rsidRDefault="00845DB9">
      <w:pPr>
        <w:spacing w:after="200" w:line="340" w:lineRule="auto"/>
        <w:jc w:val="both"/>
        <w:rPr>
          <w:rFonts w:cs="Arial"/>
        </w:rPr>
      </w:pPr>
      <w:r>
        <w:t xml:space="preserve">وهذه "الفاقة" — في "علم النفس الاستخلافي" — ليست "مرضاً" أو "نقصاً"، بل هي — في "الحقيقة" — "الدليل" على "سُمو" "الإنسان" و"اتصاله" </w:t>
      </w:r>
      <w:proofErr w:type="spellStart"/>
      <w:r>
        <w:t>بـ"المُتعالي</w:t>
      </w:r>
      <w:proofErr w:type="spellEnd"/>
      <w:r>
        <w:t xml:space="preserve">". فـ"الحيوان" — الذي "لا روح" له — "لا يَشعر" بـ"هذا" "الجوع" "الوجودي". أما "الإنسان" — "الخليفة" — </w:t>
      </w:r>
      <w:proofErr w:type="spellStart"/>
      <w:r>
        <w:t>فـ"يَشعر</w:t>
      </w:r>
      <w:proofErr w:type="spellEnd"/>
      <w:r>
        <w:t xml:space="preserve">" به "باستمرار"، </w:t>
      </w:r>
      <w:proofErr w:type="spellStart"/>
      <w:r>
        <w:t>و"يَبحث</w:t>
      </w:r>
      <w:proofErr w:type="spellEnd"/>
      <w:r>
        <w:t>" — "بوعي" أو "بغير وعي" — عن "ما يَسُده".</w:t>
      </w:r>
    </w:p>
    <w:p w14:paraId="4DA4B8A2" w14:textId="77777777" w:rsidR="007E0928" w:rsidRDefault="00845DB9">
      <w:pPr>
        <w:spacing w:after="200" w:line="340" w:lineRule="auto"/>
        <w:jc w:val="both"/>
        <w:rPr>
          <w:rFonts w:cs="Arial"/>
        </w:rPr>
      </w:pPr>
      <w:r>
        <w:t xml:space="preserve">ويتميّز هذا التأصيل — مقارنة بأسطورة </w:t>
      </w:r>
      <w:proofErr w:type="spellStart"/>
      <w:r>
        <w:t>أرسطوفانيس</w:t>
      </w:r>
      <w:proofErr w:type="spellEnd"/>
      <w:r>
        <w:t xml:space="preserve"> التي مرّ ذكرها في الفصل الأول — بأن النقص ليس عقاباً على تمرد سابق، ولا هو بحث عن "نصف" بشري مفقود يُكمّل الذات، بل هو افتقار بنيوي أصلي مقصود من الخالق ذاته، غايته أن يظل الإنسان في حالة شوق دائم يدفعه نحو مصدره الحق. وبهذا يتحول "النقص" من عيب وجودي إلى آلية تربوية-إلهية، وظيفتها إبقاء "الخليفة" في حالة يقظة روحية مستمرة، لا في سكون كاذب يُوهمه بالاكتفاء الذاتي.</w:t>
      </w:r>
    </w:p>
    <w:p w14:paraId="434C09B3" w14:textId="77777777" w:rsidR="007E0928" w:rsidRDefault="00845DB9">
      <w:pPr>
        <w:pStyle w:val="2"/>
        <w:bidi/>
        <w:jc w:val="right"/>
        <w:rPr>
          <w:rFonts w:cs="Arial"/>
        </w:rPr>
      </w:pPr>
      <w:r>
        <w:t>2.2 الحب الإلهي والحب في الله: التراتبية والتكامل</w:t>
      </w:r>
    </w:p>
    <w:p w14:paraId="571CF29D" w14:textId="77777777" w:rsidR="007E0928" w:rsidRDefault="00845DB9">
      <w:pPr>
        <w:spacing w:after="200" w:line="340" w:lineRule="auto"/>
        <w:jc w:val="both"/>
        <w:rPr>
          <w:rFonts w:cs="Arial"/>
        </w:rPr>
      </w:pPr>
      <w:r>
        <w:t>في "النموذج الاستخلافي"، "الحب" "الحقيقي" هو — في "المقام" "الأول" — "حب الله": "محبة" "الخالق" و"الشوق" إليه و"الأنس" به. وهذا "الحب" — كما "يُؤكد" "الزراع" — ليس "مجرد" "شعور" "عاطفي"، بل هو "فعل" و"سلوك" و"طاعة":</w:t>
      </w:r>
    </w:p>
    <w:p w14:paraId="0C946208" w14:textId="77777777" w:rsidR="007E0928" w:rsidRDefault="00845DB9">
      <w:pPr>
        <w:pBdr>
          <w:top w:val="single" w:sz="8" w:space="8" w:color="B8860B"/>
          <w:left w:val="single" w:sz="8" w:space="8" w:color="B8860B"/>
          <w:bottom w:val="single" w:sz="8" w:space="8" w:color="B8860B"/>
          <w:right w:val="single" w:sz="8" w:space="8" w:color="B8860B"/>
        </w:pBdr>
        <w:shd w:val="clear" w:color="auto" w:fill="F5EFD9"/>
        <w:spacing w:before="240" w:after="240"/>
        <w:jc w:val="center"/>
        <w:rPr>
          <w:rFonts w:cs="Arial"/>
        </w:rPr>
      </w:pPr>
      <w:r>
        <w:rPr>
          <w:b/>
          <w:bCs/>
          <w:color w:val="1B3A5C"/>
          <w:sz w:val="30"/>
          <w:szCs w:val="30"/>
        </w:rPr>
        <w:t>﴿ قُلْ إِن كُنتُمْ تُحِبُّونَ اللَّهَ فَاتَّبِعُونِي يُحْبِبْكُمُ اللَّهُ ﴾</w:t>
      </w:r>
      <w:r>
        <w:rPr>
          <w:i/>
          <w:iCs/>
          <w:color w:val="1F6F6F"/>
          <w:sz w:val="24"/>
          <w:szCs w:val="24"/>
        </w:rPr>
        <w:t xml:space="preserve">   [آل عمران: 31]</w:t>
      </w:r>
    </w:p>
    <w:p w14:paraId="33817D16" w14:textId="77777777" w:rsidR="007E0928" w:rsidRDefault="00845DB9">
      <w:pPr>
        <w:spacing w:after="200" w:line="340" w:lineRule="auto"/>
        <w:jc w:val="both"/>
        <w:rPr>
          <w:rFonts w:cs="Arial"/>
        </w:rPr>
      </w:pPr>
      <w:r>
        <w:t xml:space="preserve">وهذا "الحب" "للخالق" هو "الأساس" </w:t>
      </w:r>
      <w:proofErr w:type="spellStart"/>
      <w:r>
        <w:t>و"المَنبع</w:t>
      </w:r>
      <w:proofErr w:type="spellEnd"/>
      <w:r>
        <w:t xml:space="preserve">" الذي "يَفيض" منه "كل" "حب" "آخر" "حقيقي": "حب" "الوالدين"، </w:t>
      </w:r>
      <w:proofErr w:type="spellStart"/>
      <w:r>
        <w:t>و"حب</w:t>
      </w:r>
      <w:proofErr w:type="spellEnd"/>
      <w:r>
        <w:t xml:space="preserve">" "الزوج"، </w:t>
      </w:r>
      <w:proofErr w:type="spellStart"/>
      <w:r>
        <w:t>و"حب</w:t>
      </w:r>
      <w:proofErr w:type="spellEnd"/>
      <w:r>
        <w:t xml:space="preserve">" "الأبناء"، </w:t>
      </w:r>
      <w:proofErr w:type="spellStart"/>
      <w:r>
        <w:t>و"حب</w:t>
      </w:r>
      <w:proofErr w:type="spellEnd"/>
      <w:r>
        <w:t xml:space="preserve">" "الجيران"، </w:t>
      </w:r>
      <w:proofErr w:type="spellStart"/>
      <w:r>
        <w:t>و"حب</w:t>
      </w:r>
      <w:proofErr w:type="spellEnd"/>
      <w:r>
        <w:t xml:space="preserve">" "البشرية" جمعاء. فـ"الحب في الله" — كما "يُعبر" عنه "الزراع" — هو "حب" "نقي" و"خالص"، "لا تَشوبه" "شائبة" "مصلحة" أو "هوى". وهو "حب" "يَصمد" أمام "الخلافات" و"الصعاب"، لأنه "مُستند" إلى "الثابت" </w:t>
      </w:r>
      <w:proofErr w:type="spellStart"/>
      <w:r>
        <w:t>و"المُتعالي</w:t>
      </w:r>
      <w:proofErr w:type="spellEnd"/>
      <w:r>
        <w:t>"، لا إلى "المُتغير" و"الزائل".</w:t>
      </w:r>
    </w:p>
    <w:p w14:paraId="09A886F8" w14:textId="77777777" w:rsidR="007E0928" w:rsidRDefault="00845DB9">
      <w:pPr>
        <w:spacing w:after="200" w:line="340" w:lineRule="auto"/>
        <w:jc w:val="both"/>
        <w:rPr>
          <w:rFonts w:cs="Arial"/>
        </w:rPr>
      </w:pPr>
      <w:r>
        <w:t xml:space="preserve">وتكمن الفرادة النظرية لهذا التراتب في كونه لا يُقصي المحبوبات الأرضية لصالح المحبوب الإلهي — كما قد يُفهم خطأً من بعض القراءات الزهدية المتطرفة — بل يجعل حب الله شرط صحة سائر المحبات وضمانتها من الانحراف. فحين يكون حب الزوج، مثلاً، فرعاً عن حب الله لا بديلاً عنه، يتحرر من هشاشة التعلق المطلق بكائن فانٍ، ويكتسب في المقابل عمقاً وثباتاً يتجاوز تقلبات الحال. وهذا ما يُميّز هذا النموذج عن </w:t>
      </w:r>
      <w:proofErr w:type="spellStart"/>
      <w:r>
        <w:t>الأغابي</w:t>
      </w:r>
      <w:proofErr w:type="spellEnd"/>
      <w:r>
        <w:t xml:space="preserve"> المسيحي الذي مرّ ذكره، إذ لا يُطالب الإنسان بالتخلي عن محبوباته الأرضية أو "تسامي" حبه نحو الله على حسابها، بل يُرتّبها ضمن سلّم لا يُلغي واحدة منها.</w:t>
      </w:r>
    </w:p>
    <w:p w14:paraId="214E80A2" w14:textId="77777777" w:rsidR="007E0928" w:rsidRDefault="00845DB9">
      <w:pPr>
        <w:pStyle w:val="2"/>
        <w:bidi/>
        <w:jc w:val="right"/>
        <w:rPr>
          <w:rFonts w:cs="Arial"/>
        </w:rPr>
      </w:pPr>
      <w:r>
        <w:t>2.3 الحب والطاقة التحويلية: الوقود والمُحرك</w:t>
      </w:r>
    </w:p>
    <w:p w14:paraId="5BA98497" w14:textId="77777777" w:rsidR="007E0928" w:rsidRDefault="00845DB9">
      <w:pPr>
        <w:spacing w:after="200" w:line="340" w:lineRule="auto"/>
        <w:jc w:val="both"/>
        <w:rPr>
          <w:rFonts w:cs="Arial"/>
        </w:rPr>
      </w:pPr>
      <w:r>
        <w:t>"الحب" — في "النموذج الاستخلافي" — ليس "مجرد" "حالة" "</w:t>
      </w:r>
      <w:proofErr w:type="spellStart"/>
      <w:r>
        <w:t>سكونية</w:t>
      </w:r>
      <w:proofErr w:type="spellEnd"/>
      <w:r>
        <w:t>" أو "شعور" "سلبي"، بل هو — في "جوهره" — "طاقة تحويلية" و"قوة دافعة". إنه "الوقود" الذي "يُحرك" "النفس" في "رحلة" "الارتقاء" من "الأمارة" إلى "المطمئنة". وهو "المُحرك" الذي "يَدفع" "الإنسان" إلى "العطاء" و"الإحسان" و"التضحية".</w:t>
      </w:r>
    </w:p>
    <w:p w14:paraId="11508879" w14:textId="77777777" w:rsidR="007E0928" w:rsidRDefault="00845DB9">
      <w:pPr>
        <w:spacing w:after="200" w:line="340" w:lineRule="auto"/>
        <w:jc w:val="both"/>
        <w:rPr>
          <w:rFonts w:cs="Arial"/>
        </w:rPr>
      </w:pPr>
      <w:r>
        <w:t xml:space="preserve">وهذا — في "بروتوكول TLRT" — "يَجد" "تعبيره" "العملي" في "الجسر السلوكي": "تحويل" "طاقة" "الحب" إلى "فعل" و"خدمة" و"عمارة". </w:t>
      </w:r>
      <w:proofErr w:type="spellStart"/>
      <w:r>
        <w:t>فـ"المُحب</w:t>
      </w:r>
      <w:proofErr w:type="spellEnd"/>
      <w:r>
        <w:t xml:space="preserve">" "الحقيقي" — كما "يقول" "الزراع" — ليس "من" "يَكتفي" بـ"الشعور" بـ"الحب" في "قلبه"، بل "من" "يُترجم" هذا "الحب" إلى "سلوك" و"عطاء" و"إحسان" للآخرين. وهنا تلتقي رؤية الزراع مع تأكيد فروم على أن الحب "ممارسة" لا "شعوراً" مُنفعلاً به، وإن اختلف — كما مرّ — مصدر الإلزام بين النموذجين: </w:t>
      </w:r>
      <w:proofErr w:type="spellStart"/>
      <w:r>
        <w:t>إنسانوي</w:t>
      </w:r>
      <w:proofErr w:type="spellEnd"/>
      <w:r>
        <w:t xml:space="preserve"> عند فروم، رباني عند الزراع.</w:t>
      </w:r>
    </w:p>
    <w:p w14:paraId="599047D9" w14:textId="77777777" w:rsidR="007E0928" w:rsidRDefault="00845DB9">
      <w:pPr>
        <w:pStyle w:val="2"/>
        <w:bidi/>
        <w:jc w:val="right"/>
        <w:rPr>
          <w:rFonts w:cs="Arial"/>
        </w:rPr>
      </w:pPr>
      <w:r>
        <w:t xml:space="preserve">2.4 الحب من منظور فسيولوجي-روحي: بين السكينة </w:t>
      </w:r>
      <w:proofErr w:type="spellStart"/>
      <w:r>
        <w:t>والأوكسيتوسين</w:t>
      </w:r>
      <w:proofErr w:type="spellEnd"/>
    </w:p>
    <w:p w14:paraId="0F212B06" w14:textId="77777777" w:rsidR="007E0928" w:rsidRDefault="00845DB9">
      <w:pPr>
        <w:spacing w:after="200" w:line="340" w:lineRule="auto"/>
        <w:jc w:val="both"/>
        <w:rPr>
          <w:rFonts w:cs="Arial"/>
        </w:rPr>
      </w:pPr>
      <w:r>
        <w:t xml:space="preserve">تُقدّم الأبحاث المعاصرة في علم الأعصاب الوجداني — كما مرّ عند </w:t>
      </w:r>
      <w:proofErr w:type="spellStart"/>
      <w:r>
        <w:t>بانكسِب</w:t>
      </w:r>
      <w:proofErr w:type="spellEnd"/>
      <w:r>
        <w:t xml:space="preserve"> وسيغل في الفصل الأول — وصفاً كيميائياً-عصبياً لبعض مظاهر الحب: إفراز الأوكسيتوسين عند التقارب الآمن، ونشاط أنظمة </w:t>
      </w:r>
      <w:proofErr w:type="spellStart"/>
      <w:r>
        <w:t>الدوبامين</w:t>
      </w:r>
      <w:proofErr w:type="spellEnd"/>
      <w:r>
        <w:t xml:space="preserve"> المرتبطة بالسعي والرغبة، وتنظّم الجهاز العصبي </w:t>
      </w:r>
      <w:proofErr w:type="spellStart"/>
      <w:r>
        <w:t>الباراسمبثاوي</w:t>
      </w:r>
      <w:proofErr w:type="spellEnd"/>
      <w:r>
        <w:t xml:space="preserve"> عند الشعور بالأمان الوجداني. ولا يرى النموذج الاستخلافي في هذه المعطيات تهديداً لتصوره الروحي، بل يستوعبها بوصفها "الآلية الجسدية" التي يتجلى بها "المعنى الروحي" الأعمق للسكينة.</w:t>
      </w:r>
    </w:p>
    <w:p w14:paraId="067C3AD5" w14:textId="77777777" w:rsidR="007E0928" w:rsidRDefault="00845DB9">
      <w:pPr>
        <w:spacing w:after="200" w:line="340" w:lineRule="auto"/>
        <w:jc w:val="both"/>
        <w:rPr>
          <w:rFonts w:cs="Arial"/>
        </w:rPr>
      </w:pPr>
      <w:r>
        <w:t>فحين يصف القرآن الكريم نزول السكينة على قلب المؤمن، فإن ما يحدث فسيولوجياً — من هدوء نبضات القلب، وتراجع هرمونات التوتر، واستقرار النَّفَس — هو الترجمة الجسدية لحالة روحية مصدرها الحقيقي متعالٍ عن الجسد وسابق عليه. وهذا هو بالضبط ما يعنيه الزراع حين يصف الحب بأنه "السكينة التي تجعل من انشراح الصدر واقعاً فسيولوجياً ونفسياً يعيشه الإنسان المطمئن": فالفسيولوجيا هنا أثر لا سبب، ونتيجة لا علة.</w:t>
      </w:r>
    </w:p>
    <w:p w14:paraId="66E9B2F3" w14:textId="77777777" w:rsidR="007E0928" w:rsidRDefault="00845DB9">
      <w:pPr>
        <w:pStyle w:val="2"/>
        <w:bidi/>
        <w:jc w:val="right"/>
        <w:rPr>
          <w:rFonts w:cs="Arial"/>
        </w:rPr>
      </w:pPr>
      <w:r>
        <w:t xml:space="preserve">2.5 مقاربة مقارنة: مثلث </w:t>
      </w:r>
      <w:proofErr w:type="spellStart"/>
      <w:r>
        <w:t>سترنبرغ</w:t>
      </w:r>
      <w:proofErr w:type="spellEnd"/>
      <w:r>
        <w:t xml:space="preserve"> والنموذج الاستخلافي</w:t>
      </w:r>
    </w:p>
    <w:p w14:paraId="2E830F9C" w14:textId="77777777" w:rsidR="007E0928" w:rsidRDefault="00845DB9">
      <w:pPr>
        <w:spacing w:after="200" w:line="340" w:lineRule="auto"/>
        <w:jc w:val="both"/>
        <w:rPr>
          <w:rFonts w:cs="Arial"/>
        </w:rPr>
      </w:pPr>
      <w:r>
        <w:t xml:space="preserve">قدّم عالم النفس روبرت </w:t>
      </w:r>
      <w:proofErr w:type="spellStart"/>
      <w:r>
        <w:t>سترنبرغ</w:t>
      </w:r>
      <w:proofErr w:type="spellEnd"/>
      <w:r>
        <w:t xml:space="preserve"> — في نظريته الشهيرة عن "الحب المثلث" — نموذجاً تحليلياً يُفكك الحب إلى ثلاثة مكونات: الحميمية (</w:t>
      </w:r>
      <w:proofErr w:type="spellStart"/>
      <w:r>
        <w:t>Intimacy</w:t>
      </w:r>
      <w:proofErr w:type="spellEnd"/>
      <w:r>
        <w:t>) وهي القرب الوجداني والتواصل، والشغف (</w:t>
      </w:r>
      <w:proofErr w:type="spellStart"/>
      <w:r>
        <w:t>Passion</w:t>
      </w:r>
      <w:proofErr w:type="spellEnd"/>
      <w:r>
        <w:t>) وهو الانجذاب الجسدي والرغبة، والالتزام (</w:t>
      </w:r>
      <w:proofErr w:type="spellStart"/>
      <w:r>
        <w:t>Commitment</w:t>
      </w:r>
      <w:proofErr w:type="spellEnd"/>
      <w:r>
        <w:t xml:space="preserve">) وهو القرار الواعي بالاستمرار في العلاقة [18]. ويرى </w:t>
      </w:r>
      <w:proofErr w:type="spellStart"/>
      <w:r>
        <w:t>سترنبرغ</w:t>
      </w:r>
      <w:proofErr w:type="spellEnd"/>
      <w:r>
        <w:t xml:space="preserve"> أن اجتماع هذه العناصر الثلاثة ينتج ما يسميه "الحب الكامل" (</w:t>
      </w:r>
      <w:proofErr w:type="spellStart"/>
      <w:r>
        <w:t>Consummate</w:t>
      </w:r>
      <w:proofErr w:type="spellEnd"/>
      <w:r>
        <w:t xml:space="preserve"> </w:t>
      </w:r>
      <w:proofErr w:type="spellStart"/>
      <w:r>
        <w:t>Love</w:t>
      </w:r>
      <w:proofErr w:type="spellEnd"/>
      <w:r>
        <w:t>)، بينما يُنتج غياب بعضها أنماطاً أدنى من الحب كالإعجاب أو الافتتان أو الحب الفارغ.</w:t>
      </w:r>
    </w:p>
    <w:p w14:paraId="74FAACC2" w14:textId="77777777" w:rsidR="007E0928" w:rsidRDefault="00845DB9">
      <w:pPr>
        <w:spacing w:after="200" w:line="340" w:lineRule="auto"/>
        <w:jc w:val="both"/>
        <w:rPr>
          <w:rFonts w:cs="Arial"/>
        </w:rPr>
      </w:pPr>
      <w:r>
        <w:t xml:space="preserve">ويمكن قراءة الأضلاع الثمانية في النموذج الاستخلافي — كما سيرد تفصيلها في الفصل الثالث — بوصفها توسيعاً جذرياً لهذا المثلث، إذ لا تكتفي بتحليل بنية العلاقة الثنائية بين محبَّين بشريين، بل تُدخل بُعداً رأسياً غائباً كلياً عن نموذج </w:t>
      </w:r>
      <w:proofErr w:type="spellStart"/>
      <w:r>
        <w:t>سترنبرغ</w:t>
      </w:r>
      <w:proofErr w:type="spellEnd"/>
      <w:r>
        <w:t xml:space="preserve">: العلاقة التأسيسية بين النفس وربها، التي تُشكّل — في النموذج الاستخلافي — الشرط القبلي لصحة أي حميمية أو التزام أو شغف بشري. فبينما تظل مكونات </w:t>
      </w:r>
      <w:proofErr w:type="spellStart"/>
      <w:r>
        <w:t>سترنبرغ</w:t>
      </w:r>
      <w:proofErr w:type="spellEnd"/>
      <w:r>
        <w:t xml:space="preserve"> الثلاثة أفقية الطابع، تُضيف الأضلاع الاستخلافية بعداً عمودياً يمنح الحب البشري ثباته </w:t>
      </w:r>
      <w:proofErr w:type="spellStart"/>
      <w:r>
        <w:t>ومرجعيته</w:t>
      </w:r>
      <w:proofErr w:type="spellEnd"/>
      <w:r>
        <w:t xml:space="preserve"> الأخلاقية.</w:t>
      </w:r>
    </w:p>
    <w:p w14:paraId="4FC28D8E" w14:textId="77777777" w:rsidR="007E0928" w:rsidRDefault="00845DB9">
      <w:pPr>
        <w:rPr>
          <w:rFonts w:cs="Arial"/>
        </w:rPr>
      </w:pPr>
      <w:r>
        <w:br w:type="page"/>
      </w:r>
    </w:p>
    <w:p w14:paraId="75BD5CD2" w14:textId="77777777" w:rsidR="007E0928" w:rsidRDefault="00845DB9">
      <w:pPr>
        <w:pStyle w:val="1"/>
        <w:pBdr>
          <w:bottom w:val="single" w:sz="12" w:space="4" w:color="B8860B"/>
        </w:pBdr>
        <w:bidi/>
        <w:jc w:val="right"/>
        <w:rPr>
          <w:rFonts w:cs="Arial"/>
        </w:rPr>
      </w:pPr>
      <w:r>
        <w:t>الفصل الثالث: ديناميكية الحب — الأضلاع الثمانية ومسارات التحول</w:t>
      </w:r>
    </w:p>
    <w:p w14:paraId="7C9ED521" w14:textId="77777777" w:rsidR="007E0928" w:rsidRDefault="00845DB9">
      <w:pPr>
        <w:pStyle w:val="2"/>
        <w:bidi/>
        <w:jc w:val="right"/>
        <w:rPr>
          <w:rFonts w:cs="Arial"/>
        </w:rPr>
      </w:pPr>
      <w:r>
        <w:t>3.1 الحب والضلع الثامن (رحمة إلهية ← مطمئنة): السكينة والطمأنينة</w:t>
      </w:r>
    </w:p>
    <w:p w14:paraId="746341F4" w14:textId="77777777" w:rsidR="007E0928" w:rsidRDefault="00845DB9">
      <w:pPr>
        <w:spacing w:after="200" w:line="340" w:lineRule="auto"/>
        <w:jc w:val="both"/>
        <w:rPr>
          <w:rFonts w:cs="Arial"/>
        </w:rPr>
      </w:pPr>
      <w:r>
        <w:t xml:space="preserve">في "النموذج الهرمي"، "يُمثل" "الضلع الثامن" (رحمة إلهية ← مطمئنة) "مسار" "الحب" "الإلهي" "المُنزل": "الرحمة" التي "تَنزِل" من "الله" على "قلب" "المُحب" "فَتَملؤه" "سكينة" و"طمأنينة". وهذا "الضلع" — كما "يُؤكد" "الزراع" — هو "المسار" "الأسمى" في "الهرم": "تاج الرحلة" و"غاية" "المُجاهدة". وهو "لا يَتحقق" إلا "بعد" "تفعيل" "الأضلاع" "الأخرى" (التوبة، التزكية، المجاهدة). فـ"الحب" "الإلهي" — كما "يقول" "الصوفية" — هو "ثمرة" "المُجاهدة" </w:t>
      </w:r>
      <w:proofErr w:type="spellStart"/>
      <w:r>
        <w:t>و"المُكافأة</w:t>
      </w:r>
      <w:proofErr w:type="spellEnd"/>
      <w:r>
        <w:t>" على "الصبر" و"الإخلاص".</w:t>
      </w:r>
    </w:p>
    <w:p w14:paraId="1EE62E4B" w14:textId="77777777" w:rsidR="007E0928" w:rsidRDefault="00845DB9">
      <w:pPr>
        <w:spacing w:after="200" w:line="340" w:lineRule="auto"/>
        <w:jc w:val="both"/>
        <w:rPr>
          <w:rFonts w:cs="Arial"/>
        </w:rPr>
      </w:pPr>
      <w:r>
        <w:t>ويلتقي هذا المسار مع ما يصفه دانيال سيغل بـ"التكامل العصبي" (</w:t>
      </w:r>
      <w:proofErr w:type="spellStart"/>
      <w:r>
        <w:t>Neural</w:t>
      </w:r>
      <w:proofErr w:type="spellEnd"/>
      <w:r>
        <w:t xml:space="preserve"> </w:t>
      </w:r>
      <w:proofErr w:type="spellStart"/>
      <w:r>
        <w:t>Integration</w:t>
      </w:r>
      <w:proofErr w:type="spellEnd"/>
      <w:r>
        <w:t>)، وهي الحالة التي تصل فيها مختلف مناطق الدماغ ووظائفه إلى تناغم وظيفي، فيُصبح الفرد أكثر مرونة واستقراراً وجدانياً. غير أن الفارق الجوهري هو أن التكامل عند سيغل غاية نفسية تُحقَّق بالتمرين الذهني، بينما السكينة في الضلع الثامن عطاء رباني يتنزل استجابة لمجاهدة روحية، فهي منحة قبل أن تكون مكتسباً، وإن كانت المجاهدة شرطاً لتهيئة القلب لاستقبالها.</w:t>
      </w:r>
    </w:p>
    <w:p w14:paraId="7F8AC870" w14:textId="77777777" w:rsidR="007E0928" w:rsidRDefault="00845DB9">
      <w:pPr>
        <w:pStyle w:val="2"/>
        <w:bidi/>
        <w:jc w:val="right"/>
        <w:rPr>
          <w:rFonts w:cs="Arial"/>
        </w:rPr>
      </w:pPr>
      <w:r>
        <w:t>3.2 الحب والضلع الرابع (لوامة ← مطمئنة): التزكية والإحسان</w:t>
      </w:r>
    </w:p>
    <w:p w14:paraId="0A385EB0" w14:textId="77777777" w:rsidR="007E0928" w:rsidRDefault="00845DB9">
      <w:pPr>
        <w:spacing w:after="200" w:line="340" w:lineRule="auto"/>
        <w:jc w:val="both"/>
        <w:rPr>
          <w:rFonts w:cs="Arial"/>
        </w:rPr>
      </w:pPr>
      <w:r>
        <w:t xml:space="preserve">"الحب" — في "بُعده" "الإنساني" — "يَجد" "تعبيره" في "الضلع الرابع" (لوامة ← مطمئنة): "مسار" "التزكية" </w:t>
      </w:r>
      <w:proofErr w:type="spellStart"/>
      <w:r>
        <w:t>و"المُجاهدة</w:t>
      </w:r>
      <w:proofErr w:type="spellEnd"/>
      <w:r>
        <w:t xml:space="preserve">" و"الإحسان". </w:t>
      </w:r>
      <w:proofErr w:type="spellStart"/>
      <w:r>
        <w:t>فـ"المُحب</w:t>
      </w:r>
      <w:proofErr w:type="spellEnd"/>
      <w:r>
        <w:t xml:space="preserve">" — في "هذا" "المسار" — "يُجاهد" "نفسه" </w:t>
      </w:r>
      <w:proofErr w:type="spellStart"/>
      <w:r>
        <w:t>و"يُزكيها</w:t>
      </w:r>
      <w:proofErr w:type="spellEnd"/>
      <w:r>
        <w:t xml:space="preserve">" </w:t>
      </w:r>
      <w:proofErr w:type="spellStart"/>
      <w:r>
        <w:t>و"يَدعو</w:t>
      </w:r>
      <w:proofErr w:type="spellEnd"/>
      <w:r>
        <w:t>" "الآخرين" إلى "الخير"، لا "بدافع" "الخوف" أو "الواجب" "الأخلاقي" "المُجرد"، بل "بدافع" "الحب" و"الرغبة" في "القُرب" من "الله" و"نفع" "خلقه".</w:t>
      </w:r>
    </w:p>
    <w:p w14:paraId="2F952BED" w14:textId="77777777" w:rsidR="007E0928" w:rsidRDefault="00845DB9">
      <w:pPr>
        <w:spacing w:after="200" w:line="340" w:lineRule="auto"/>
        <w:jc w:val="both"/>
        <w:rPr>
          <w:rFonts w:cs="Arial"/>
        </w:rPr>
      </w:pPr>
      <w:r>
        <w:t xml:space="preserve">وهذا — في "بروتوكول TLRT" — هو "جوهر" "الجسر السلوكي" و"مشروع الكفارة الإبداعية": "تحويل" "طاقة" "الحب" إلى "فعل" و"عطاء" و"خدمة". </w:t>
      </w:r>
      <w:proofErr w:type="spellStart"/>
      <w:r>
        <w:t>فـ"المُذنب</w:t>
      </w:r>
      <w:proofErr w:type="spellEnd"/>
      <w:r>
        <w:t xml:space="preserve">" "التائب" — الذي "يَشعر" بـ"حب" "الله" و"رحمته" — "لا يَكتفي" بـ"الندم" و"الاستغفار"، بل "يَنطلق" — "مدفوعاً" بـ"هذا" "الحب" — "ليُصلح" ما "أفسد" </w:t>
      </w:r>
      <w:proofErr w:type="spellStart"/>
      <w:r>
        <w:t>و"يَخدم</w:t>
      </w:r>
      <w:proofErr w:type="spellEnd"/>
      <w:r>
        <w:t xml:space="preserve">" "المُجتمع" </w:t>
      </w:r>
      <w:proofErr w:type="spellStart"/>
      <w:r>
        <w:t>و"يَعمر</w:t>
      </w:r>
      <w:proofErr w:type="spellEnd"/>
      <w:r>
        <w:t>" "الأرض".</w:t>
      </w:r>
    </w:p>
    <w:p w14:paraId="08C30076" w14:textId="77777777" w:rsidR="007E0928" w:rsidRDefault="00845DB9">
      <w:pPr>
        <w:pStyle w:val="2"/>
        <w:bidi/>
        <w:jc w:val="right"/>
        <w:rPr>
          <w:rFonts w:cs="Arial"/>
        </w:rPr>
      </w:pPr>
      <w:r>
        <w:t>3.3 الحب والأضلاع المُشوهة: التعلق المرضي والتبعية والاستغلال</w:t>
      </w:r>
    </w:p>
    <w:p w14:paraId="3BF56EC8" w14:textId="77777777" w:rsidR="007E0928" w:rsidRDefault="00845DB9">
      <w:pPr>
        <w:spacing w:after="200" w:line="340" w:lineRule="auto"/>
        <w:jc w:val="both"/>
        <w:rPr>
          <w:rFonts w:cs="Arial"/>
        </w:rPr>
      </w:pPr>
      <w:r>
        <w:t xml:space="preserve">لكن "الحب" — في "النموذج الاستخلافي" — ليس "دائماً" "قوة" "إيجابية". فهو — إذا "انحرف" عن "مساره" — "قد يَتحول" إلى "طاقة مُدمرة" و"قوة </w:t>
      </w:r>
      <w:proofErr w:type="spellStart"/>
      <w:r>
        <w:t>استلابية</w:t>
      </w:r>
      <w:proofErr w:type="spellEnd"/>
      <w:r>
        <w:t>". وهذا "ما تُعبر" عنه "الأضلاع" "الهابطة":</w:t>
      </w:r>
    </w:p>
    <w:p w14:paraId="51A7C62C" w14:textId="77777777" w:rsidR="007E0928" w:rsidRDefault="00845DB9">
      <w:pPr>
        <w:pStyle w:val="a4"/>
        <w:numPr>
          <w:ilvl w:val="0"/>
          <w:numId w:val="1"/>
        </w:numPr>
        <w:bidi/>
        <w:spacing w:after="120" w:line="320" w:lineRule="auto"/>
        <w:jc w:val="both"/>
        <w:rPr>
          <w:rFonts w:cs="Arial"/>
        </w:rPr>
      </w:pPr>
      <w:r>
        <w:t xml:space="preserve">"الحب" المُشوه عبر "الضلع الثالث" (شيطان ← أمارة): "الحب" الذي "يَتحول" إلى "شهوة" </w:t>
      </w:r>
      <w:proofErr w:type="spellStart"/>
      <w:r>
        <w:t>و"تملُّك</w:t>
      </w:r>
      <w:proofErr w:type="spellEnd"/>
      <w:r>
        <w:t xml:space="preserve">" و"استغلال" للآخر. وهو "حب" "الأمارة": "حب" "أناني" </w:t>
      </w:r>
      <w:proofErr w:type="spellStart"/>
      <w:r>
        <w:t>و"مُتسَلط</w:t>
      </w:r>
      <w:proofErr w:type="spellEnd"/>
      <w:r>
        <w:t xml:space="preserve">" </w:t>
      </w:r>
      <w:proofErr w:type="spellStart"/>
      <w:r>
        <w:t>و"مُدمر</w:t>
      </w:r>
      <w:proofErr w:type="spellEnd"/>
      <w:r>
        <w:t>".</w:t>
      </w:r>
    </w:p>
    <w:p w14:paraId="2C6A65D2" w14:textId="77777777" w:rsidR="007E0928" w:rsidRDefault="00845DB9">
      <w:pPr>
        <w:pStyle w:val="a4"/>
        <w:numPr>
          <w:ilvl w:val="0"/>
          <w:numId w:val="1"/>
        </w:numPr>
        <w:bidi/>
        <w:spacing w:after="120" w:line="320" w:lineRule="auto"/>
        <w:jc w:val="both"/>
        <w:rPr>
          <w:rFonts w:cs="Arial"/>
        </w:rPr>
      </w:pPr>
      <w:r>
        <w:t xml:space="preserve">"الحب" المُشوه عبر "الضلع السابع" (شيطان ← أمارة): "الحب" الذي "يَتحول" إلى "تعلق" "مرضي" و"خوف" من "الفقدان" و"غيرة" "مُدمرة". وهو "حب" "الأنا الأعلى القاسي": "حب" "يَخنق" </w:t>
      </w:r>
      <w:proofErr w:type="spellStart"/>
      <w:r>
        <w:t>و"يُعذب</w:t>
      </w:r>
      <w:proofErr w:type="spellEnd"/>
      <w:r>
        <w:t xml:space="preserve">" </w:t>
      </w:r>
      <w:proofErr w:type="spellStart"/>
      <w:r>
        <w:t>و"يُحطم</w:t>
      </w:r>
      <w:proofErr w:type="spellEnd"/>
      <w:r>
        <w:t>".</w:t>
      </w:r>
    </w:p>
    <w:p w14:paraId="08D0E8FB" w14:textId="77777777" w:rsidR="007E0928" w:rsidRDefault="00845DB9">
      <w:pPr>
        <w:spacing w:after="200" w:line="340" w:lineRule="auto"/>
        <w:jc w:val="both"/>
        <w:rPr>
          <w:rFonts w:cs="Arial"/>
        </w:rPr>
      </w:pPr>
      <w:r>
        <w:t xml:space="preserve">وتجد هذه "الأضلاع الهابطة" سنداً وصفياً إضافياً فيما تُقدّمه دراسات التعلق اللاحقة </w:t>
      </w:r>
      <w:proofErr w:type="spellStart"/>
      <w:r>
        <w:t>لبولبي</w:t>
      </w:r>
      <w:proofErr w:type="spellEnd"/>
      <w:r>
        <w:t xml:space="preserve">، وخاصة عمل </w:t>
      </w:r>
      <w:proofErr w:type="spellStart"/>
      <w:r>
        <w:t>سينثيا</w:t>
      </w:r>
      <w:proofErr w:type="spellEnd"/>
      <w:r>
        <w:t xml:space="preserve"> </w:t>
      </w:r>
      <w:proofErr w:type="spellStart"/>
      <w:r>
        <w:t>هازان</w:t>
      </w:r>
      <w:proofErr w:type="spellEnd"/>
      <w:r>
        <w:t xml:space="preserve"> وفيليب شيفر اللذين طبّقا نظرية التعلق على علاقات الراشدين، فميّزا بين نمط التعلق الآمن وأنماط التعلق غير الآمنة: القلق، </w:t>
      </w:r>
      <w:proofErr w:type="spellStart"/>
      <w:r>
        <w:t>والتجنبي</w:t>
      </w:r>
      <w:proofErr w:type="spellEnd"/>
      <w:r>
        <w:t xml:space="preserve">، والمشوش [19]. فالنمط القلق — بما يتسم به من خوف مزمن من الهجر وحاجة ملحّة إلى طمأنة مستمرة — يصف سلوكياً ما يسميه الزراع "حب الأنا الأعلى القاسي"، بينما النمط </w:t>
      </w:r>
      <w:proofErr w:type="spellStart"/>
      <w:r>
        <w:t>التجنبي</w:t>
      </w:r>
      <w:proofErr w:type="spellEnd"/>
      <w:r>
        <w:t xml:space="preserve"> — بانغلاقه الوجداني ونفوره من القرب — قد يقترب من بعض تجليات "حب الأمارة" حين يتحول الانغلاق إلى أداة سيطرة أو تجنب مسؤولية. غير أن الفارق الحاسم هو أن علم نفس التعلق يُفسّر هذه الأنماط بتاريخ الرعاية المبكرة فقط، بينما يضيف النموذج الاستخلافي بُعداً روحياً-أخلاقياً: هذه الأنماط انحرافات عن مسار فطري أصله سليم، وعلاجها — عبر بروتوكول TLRT — لا يقتصر على إعادة البرمجة السلوكية، بل يمر عبر إعادة بناء العلاقة بالله ذاتها.</w:t>
      </w:r>
    </w:p>
    <w:p w14:paraId="5186A7CB" w14:textId="77777777" w:rsidR="007E0928" w:rsidRDefault="00845DB9">
      <w:pPr>
        <w:spacing w:after="200" w:line="340" w:lineRule="auto"/>
        <w:jc w:val="both"/>
        <w:rPr>
          <w:rFonts w:cs="Arial"/>
        </w:rPr>
      </w:pPr>
      <w:r>
        <w:t xml:space="preserve">و"العلاج" — في "بروتوكول TLRT" — "يَهدف" إلى "تفكيك" هذه "التشوهات" و"إعادة" "الحب" إلى "مساره" "الصحيح": "تحويله" من "طاقة" "مُدمرة" إلى "طاقة" "مُحررة" </w:t>
      </w:r>
      <w:proofErr w:type="spellStart"/>
      <w:r>
        <w:t>و"مُبدعة</w:t>
      </w:r>
      <w:proofErr w:type="spellEnd"/>
      <w:r>
        <w:t>".</w:t>
      </w:r>
    </w:p>
    <w:p w14:paraId="35E002F2" w14:textId="77777777" w:rsidR="007E0928" w:rsidRDefault="00845DB9">
      <w:pPr>
        <w:pStyle w:val="2"/>
        <w:bidi/>
        <w:jc w:val="right"/>
        <w:rPr>
          <w:rFonts w:cs="Arial"/>
        </w:rPr>
      </w:pPr>
      <w:r>
        <w:t>3.4 نحو تصنيف استخلافي لأنماط الحب</w:t>
      </w:r>
    </w:p>
    <w:p w14:paraId="6DDDBC7A" w14:textId="77777777" w:rsidR="007E0928" w:rsidRDefault="00845DB9">
      <w:pPr>
        <w:spacing w:after="200" w:line="340" w:lineRule="auto"/>
        <w:jc w:val="both"/>
        <w:rPr>
          <w:rFonts w:cs="Arial"/>
        </w:rPr>
      </w:pPr>
      <w:r>
        <w:t xml:space="preserve">يمكن، تركيباً لما سبق، اقتراح تصنيف ثلاثي لأنماط الحب في ضوء النموذج الاستخلافي، يتقاطع مع مستويات النفس الثلاثة التي يقوم عليها الهرم القرآني: فهناك أولاً "الحب </w:t>
      </w:r>
      <w:proofErr w:type="spellStart"/>
      <w:r>
        <w:t>الأماري</w:t>
      </w:r>
      <w:proofErr w:type="spellEnd"/>
      <w:r>
        <w:t xml:space="preserve">"، وهو حب يقوده الهوى والاستحواذ، محوره الذات ومصلحتها الآنية، ويُفضي إلى الاستغلال والتملك؛ وثانياً "الحب </w:t>
      </w:r>
      <w:proofErr w:type="spellStart"/>
      <w:r>
        <w:t>اللوّامي</w:t>
      </w:r>
      <w:proofErr w:type="spellEnd"/>
      <w:r>
        <w:t>"، وهو حب متأرجح بين الرغبة في الخير والانتكاس إلى الأنانية، تصحبه مساءلة ذاتية مستمرة ووعي بالتقصير؛ وثالثاً "الحب المطمئن"، وهو الحب الذي بلغ غايته: نقي من الهوى، ثابت المرجعية، فائض بالعطاء، ومصدره النهائي حب الله.</w:t>
      </w:r>
    </w:p>
    <w:p w14:paraId="6E9487DB" w14:textId="77777777" w:rsidR="007E0928" w:rsidRDefault="00845DB9">
      <w:pPr>
        <w:spacing w:after="200" w:line="340" w:lineRule="auto"/>
        <w:jc w:val="both"/>
        <w:rPr>
          <w:rFonts w:cs="Arial"/>
        </w:rPr>
      </w:pPr>
      <w:r>
        <w:t xml:space="preserve">وهذا التصنيف — خلافاً لنماذج التصنيف الغربية التي تُميّز الحب بحسب موضوعه (حب رومانسي، حب أبوي، حب صداقة...) أو بحسب مكوناته البنيوية كما عند </w:t>
      </w:r>
      <w:proofErr w:type="spellStart"/>
      <w:r>
        <w:t>سترنبرغ</w:t>
      </w:r>
      <w:proofErr w:type="spellEnd"/>
      <w:r>
        <w:t xml:space="preserve"> — يُميّز الحب بحسب "منزلة النفس" التي ينبع منها، وهو ما يجعله أداة تشخيصية-علاجية بامتياز داخل بروتوكول TLRT، إذ يتيح للمعالج أن يُحدد لا "نوع" العلاقة التي يعيشها المريض فحسب، بل "مستوى النضج الروحي" الذي ينبع منه حبه، وهو ما يفتح الباب مباشرة أمام الفصل الرابع.</w:t>
      </w:r>
    </w:p>
    <w:p w14:paraId="532CE035" w14:textId="77777777" w:rsidR="007E0928" w:rsidRDefault="00845DB9">
      <w:pPr>
        <w:rPr>
          <w:rFonts w:cs="Arial"/>
        </w:rPr>
      </w:pPr>
      <w:r>
        <w:br w:type="page"/>
      </w:r>
    </w:p>
    <w:p w14:paraId="7BA230A2" w14:textId="77777777" w:rsidR="007E0928" w:rsidRDefault="00845DB9">
      <w:pPr>
        <w:pStyle w:val="1"/>
        <w:pBdr>
          <w:bottom w:val="single" w:sz="12" w:space="4" w:color="B8860B"/>
        </w:pBdr>
        <w:bidi/>
        <w:jc w:val="right"/>
        <w:rPr>
          <w:rFonts w:cs="Arial"/>
        </w:rPr>
      </w:pPr>
      <w:r>
        <w:t>الفصل الرابع: الحب في العملية العلاجية — بروتوكول TLRT وترميم القلب</w:t>
      </w:r>
    </w:p>
    <w:p w14:paraId="1830BFD3" w14:textId="77777777" w:rsidR="007E0928" w:rsidRDefault="00845DB9">
      <w:pPr>
        <w:pStyle w:val="2"/>
        <w:bidi/>
        <w:jc w:val="right"/>
        <w:rPr>
          <w:rFonts w:cs="Arial"/>
        </w:rPr>
      </w:pPr>
      <w:r>
        <w:t>4.1 الحب وإعادة بناء صورة الله: من الخوف إلى الحب</w:t>
      </w:r>
    </w:p>
    <w:p w14:paraId="213BB6A1" w14:textId="77777777" w:rsidR="007E0928" w:rsidRDefault="00845DB9">
      <w:pPr>
        <w:spacing w:after="200" w:line="340" w:lineRule="auto"/>
        <w:jc w:val="both"/>
        <w:rPr>
          <w:rFonts w:cs="Arial"/>
        </w:rPr>
      </w:pPr>
      <w:r>
        <w:t>في "المرحلة الثانية" من "بروتوكول TLRT" (إعادة بناء صورة الله)، "يَهدف" "المُعالج" إلى "تحويل" صورة الخالق في "لاوعي" "المريض" من "قاضٍ سادي يتربص بالأخطاء" (وهي "صورة" "ناتجة" عن "الأنا الأعلى القاسي" و"التربية" "القاسية") إلى صورة "الشاهد الرحيم" و"الودود" [625، 631].</w:t>
      </w:r>
    </w:p>
    <w:p w14:paraId="0ADA0214" w14:textId="77777777" w:rsidR="007E0928" w:rsidRDefault="00845DB9">
      <w:pPr>
        <w:spacing w:after="200" w:line="340" w:lineRule="auto"/>
        <w:jc w:val="both"/>
        <w:rPr>
          <w:rFonts w:cs="Arial"/>
        </w:rPr>
      </w:pPr>
      <w:r>
        <w:t>وهذا "التحول" — من "الخوف" إلى "الحب" — هو "شرط" "أساسي" لـ"الشفاء". فـ"المريض" الذي "يَخاف" "الله" "خوفاً" "مرضياً" — ولا "يُحبه" — "يَبقى" "أسيراً" لـ"القلق" و"الوسواس" و"جلد الذات". أما "المريض" الذي "يُدرك" — عبر "العلاج" — أن "الله" "أرحم" به من "أمه"، وأن "رحمته" "وسعت" "كل" "شيء"، وأن "باب" "التوبة" "مفتوح" "دائماً" — فإنه "يَنطلق" من "سجن" "الخوف" إلى "فضاء" "الحب" و"الأمل".</w:t>
      </w:r>
    </w:p>
    <w:p w14:paraId="688E6698" w14:textId="77777777" w:rsidR="007E0928" w:rsidRDefault="00845DB9">
      <w:pPr>
        <w:pStyle w:val="2"/>
        <w:bidi/>
        <w:jc w:val="right"/>
        <w:rPr>
          <w:rFonts w:cs="Arial"/>
        </w:rPr>
      </w:pPr>
      <w:r>
        <w:t xml:space="preserve">4.2 الحب </w:t>
      </w:r>
      <w:proofErr w:type="spellStart"/>
      <w:r>
        <w:t>والكينتسوغي</w:t>
      </w:r>
      <w:proofErr w:type="spellEnd"/>
      <w:r>
        <w:t xml:space="preserve"> النفسي: ترميم الجرح بذهب الإحسان</w:t>
      </w:r>
    </w:p>
    <w:p w14:paraId="3A02D14D" w14:textId="77777777" w:rsidR="007E0928" w:rsidRDefault="00845DB9">
      <w:pPr>
        <w:spacing w:after="200" w:line="340" w:lineRule="auto"/>
        <w:jc w:val="both"/>
        <w:rPr>
          <w:rFonts w:cs="Arial"/>
        </w:rPr>
      </w:pPr>
      <w:r>
        <w:t xml:space="preserve">في "المرحلة الرابعة" من "بروتوكول TLRT" (إعادة كتابة السردية)، "يُطبق" "المُعالج" "فلسفة" "الكينتسوغي النفسي": "ترميم" "الجرح" بـ"ذهب" "الإحسان" [3]. وهذا "الذهب" — كما "يُعبر" عنه "الزراع" — هو في "جوهره" "حب الذات المصالحة مع خالقها". فـ"المريض" — بدلاً من أن "يَكره" "نفسه" بسبب "أخطائه" "الماضية"، "يَتعلم" — عبر "الحب" — أن "يَقبل" "نقصه" "البشري" </w:t>
      </w:r>
      <w:proofErr w:type="spellStart"/>
      <w:r>
        <w:t>و"يُحول</w:t>
      </w:r>
      <w:proofErr w:type="spellEnd"/>
      <w:r>
        <w:t>" "جرحه" إلى "رسالة" و"عطاء" للآخرين، "ليُصبح" — في "النهاية" — "خبيراً حياً" "يَشع" بـ"الرحمة" و"الحب" [856، 1225].</w:t>
      </w:r>
    </w:p>
    <w:p w14:paraId="19244906" w14:textId="77777777" w:rsidR="007E0928" w:rsidRDefault="00845DB9">
      <w:pPr>
        <w:pStyle w:val="2"/>
        <w:bidi/>
        <w:jc w:val="right"/>
        <w:rPr>
          <w:rFonts w:cs="Arial"/>
        </w:rPr>
      </w:pPr>
      <w:r>
        <w:t>4.3 الحب واستعادة سيادة الانتباه: الانتباه والذكر</w:t>
      </w:r>
    </w:p>
    <w:p w14:paraId="20121AB0" w14:textId="77777777" w:rsidR="007E0928" w:rsidRDefault="00845DB9">
      <w:pPr>
        <w:spacing w:after="200" w:line="340" w:lineRule="auto"/>
        <w:jc w:val="both"/>
        <w:rPr>
          <w:rFonts w:cs="Arial"/>
        </w:rPr>
      </w:pPr>
      <w:r>
        <w:t xml:space="preserve">يَستشهد "الزراع" — في "سياق" "تحليله" لـ"لحب" — بـ"مقولة" "الفيلسوفة" "سيمون </w:t>
      </w:r>
      <w:proofErr w:type="spellStart"/>
      <w:r>
        <w:t>ڤاي</w:t>
      </w:r>
      <w:proofErr w:type="spellEnd"/>
      <w:r>
        <w:t>" (</w:t>
      </w:r>
      <w:proofErr w:type="spellStart"/>
      <w:r>
        <w:t>Simone</w:t>
      </w:r>
      <w:proofErr w:type="spellEnd"/>
      <w:r>
        <w:t xml:space="preserve"> </w:t>
      </w:r>
      <w:proofErr w:type="spellStart"/>
      <w:r>
        <w:t>Weil</w:t>
      </w:r>
      <w:proofErr w:type="spellEnd"/>
      <w:r>
        <w:t>) بأن "الانتباه هو أصفى صور الحب" [8]. و"يربط" — بشكل "عبقري" — بين "هذه" "المقولة" و"مفهوم" "الذكر" (</w:t>
      </w:r>
      <w:proofErr w:type="spellStart"/>
      <w:r>
        <w:t>Dhikr</w:t>
      </w:r>
      <w:proofErr w:type="spellEnd"/>
      <w:r>
        <w:t xml:space="preserve">) في "الإسلام". فـ"الذكر" — كما "يُمارسه" "المُسلم" — هو "توجه" "بكامل" "الوعي" و"الانتباه" نحو "الله". وهو — في "جوهره" — "فعل حب" "يَستعيد" به "الإنسان" "سيادته" على "نفسه" و"انتباهه" من "استعمار" "الخوارزميات" </w:t>
      </w:r>
      <w:proofErr w:type="spellStart"/>
      <w:r>
        <w:t>و"المُشتتات</w:t>
      </w:r>
      <w:proofErr w:type="spellEnd"/>
      <w:r>
        <w:t>".</w:t>
      </w:r>
    </w:p>
    <w:p w14:paraId="71968B8E" w14:textId="77777777" w:rsidR="007E0928" w:rsidRDefault="00845DB9">
      <w:pPr>
        <w:spacing w:after="200" w:line="340" w:lineRule="auto"/>
        <w:jc w:val="both"/>
        <w:rPr>
          <w:rFonts w:cs="Arial"/>
        </w:rPr>
      </w:pPr>
      <w:r>
        <w:t>وهذا — في "علم النفس الاستخلافي" — هو "جوهر" "الاستخلاف الرقمي الواعي": "استعادة" "السيادة" على "الانتباه" عبر "الحب" و"الذكر"، و"تحرير" "العقل" و"القلب" من "التبعية" لـ"الآلة" و"الاستهلاك". وتلتقي هذه الرؤية — كما مرّ في الفصل الأول — مع مفهوم "التآلف العصبي" عند سيغل، لكنها تتجاوزه بجعل الله، لا مجرد "الآخر" البشري، الموضوع الأسمى لهذا الانتباه المتجسد حباً.</w:t>
      </w:r>
    </w:p>
    <w:p w14:paraId="3774BA93" w14:textId="77777777" w:rsidR="007E0928" w:rsidRDefault="00845DB9">
      <w:pPr>
        <w:pStyle w:val="2"/>
        <w:bidi/>
        <w:jc w:val="right"/>
        <w:rPr>
          <w:rFonts w:cs="Arial"/>
        </w:rPr>
      </w:pPr>
      <w:r>
        <w:t xml:space="preserve">4.4 الحب العلاجي بين </w:t>
      </w:r>
      <w:proofErr w:type="spellStart"/>
      <w:r>
        <w:t>كوهوت</w:t>
      </w:r>
      <w:proofErr w:type="spellEnd"/>
      <w:r>
        <w:t xml:space="preserve"> والزراع: المرآة الذاتية والاستجابة الرحيمة</w:t>
      </w:r>
    </w:p>
    <w:p w14:paraId="14267A23" w14:textId="77777777" w:rsidR="007E0928" w:rsidRDefault="00845DB9">
      <w:pPr>
        <w:spacing w:after="200" w:line="340" w:lineRule="auto"/>
        <w:jc w:val="both"/>
        <w:rPr>
          <w:rFonts w:cs="Arial"/>
        </w:rPr>
      </w:pPr>
      <w:r>
        <w:t xml:space="preserve">يُقدّم </w:t>
      </w:r>
      <w:proofErr w:type="spellStart"/>
      <w:r>
        <w:t>هاينز</w:t>
      </w:r>
      <w:proofErr w:type="spellEnd"/>
      <w:r>
        <w:t xml:space="preserve"> </w:t>
      </w:r>
      <w:proofErr w:type="spellStart"/>
      <w:r>
        <w:t>كوهوت</w:t>
      </w:r>
      <w:proofErr w:type="spellEnd"/>
      <w:r>
        <w:t xml:space="preserve"> — مؤسس "علم نفس الذات" (</w:t>
      </w:r>
      <w:proofErr w:type="spellStart"/>
      <w:r>
        <w:t>Self</w:t>
      </w:r>
      <w:proofErr w:type="spellEnd"/>
      <w:r>
        <w:t xml:space="preserve"> </w:t>
      </w:r>
      <w:proofErr w:type="spellStart"/>
      <w:r>
        <w:t>Psychology</w:t>
      </w:r>
      <w:proofErr w:type="spellEnd"/>
      <w:r>
        <w:t>) — مفهوم "</w:t>
      </w:r>
      <w:proofErr w:type="spellStart"/>
      <w:r>
        <w:t>المرآتية</w:t>
      </w:r>
      <w:proofErr w:type="spellEnd"/>
      <w:r>
        <w:t>" (</w:t>
      </w:r>
      <w:proofErr w:type="spellStart"/>
      <w:r>
        <w:t>Mirroring</w:t>
      </w:r>
      <w:proofErr w:type="spellEnd"/>
      <w:r>
        <w:t xml:space="preserve">)، وهو حاجة الطفل — ثم الراشد — إلى أن يجد في الآخر المُهم (وأولاً المعالج، في السياق الإكلينيكي) استجابة متعاطفة ودافئة تعكس له قيمته وتُثبّت تماسك ذاته، وهي حاجة إن لم تُشبع أدت إلى هشاشة نرجسية مزمنة [20]. ويرى </w:t>
      </w:r>
      <w:proofErr w:type="spellStart"/>
      <w:r>
        <w:t>كوهوت</w:t>
      </w:r>
      <w:proofErr w:type="spellEnd"/>
      <w:r>
        <w:t xml:space="preserve"> أن التعاطف العلاجي (</w:t>
      </w:r>
      <w:proofErr w:type="spellStart"/>
      <w:r>
        <w:t>Empathy</w:t>
      </w:r>
      <w:proofErr w:type="spellEnd"/>
      <w:r>
        <w:t>) ليس مجرد أسلوب فني، بل هو بذاته المادة الشافية للعلاقة العلاجية.</w:t>
      </w:r>
    </w:p>
    <w:p w14:paraId="2328574D" w14:textId="77777777" w:rsidR="007E0928" w:rsidRDefault="00845DB9">
      <w:pPr>
        <w:spacing w:after="200" w:line="340" w:lineRule="auto"/>
        <w:jc w:val="both"/>
        <w:rPr>
          <w:rFonts w:cs="Arial"/>
        </w:rPr>
      </w:pPr>
      <w:r>
        <w:t xml:space="preserve">وتلتقي هذه الرؤية مع ما يُمارسه المعالج في بروتوكول TLRT عند بناء صورة "الشاهد الرحيم": فكلاهما يُدرك أن الشفاء يمر عبر تجربة معايَشة لحضور متعاطف ومُحب. غير أن الفارق الجوهري هو أن "المرآة" </w:t>
      </w:r>
      <w:proofErr w:type="spellStart"/>
      <w:r>
        <w:t>الكوهوتية</w:t>
      </w:r>
      <w:proofErr w:type="spellEnd"/>
      <w:r>
        <w:t xml:space="preserve"> بشرية بالضرورة (المعالج، الوالد، الصديق)، وتبقى عرضة للهشاشة والزوال بزوال الطرف الآخر، بينما "الشاهد الرحيم" في النموذج الاستخلافي هو الله ذاته، حاضر بذاته لا بوساطة بشرية محضة، وإن كان المعالج قد يكون أداة لتجلي هذه الصورة في وعي المريض. وبذلك يُصبح العلاج، في المنظور الاستخلافي، تهيئة لقلب المريض ليكتشف مرآة لا تزول ولا تخون، بخلاف هشاشة كل مرآة بشرية مهما بلغت رحمتها.</w:t>
      </w:r>
    </w:p>
    <w:p w14:paraId="5DA9DC7E" w14:textId="77777777" w:rsidR="007E0928" w:rsidRDefault="00845DB9">
      <w:pPr>
        <w:rPr>
          <w:rFonts w:cs="Arial"/>
        </w:rPr>
      </w:pPr>
      <w:r>
        <w:br w:type="page"/>
      </w:r>
    </w:p>
    <w:p w14:paraId="587CBE77" w14:textId="77777777" w:rsidR="007E0928" w:rsidRDefault="00845DB9">
      <w:pPr>
        <w:pStyle w:val="1"/>
        <w:pBdr>
          <w:bottom w:val="single" w:sz="12" w:space="4" w:color="B8860B"/>
        </w:pBdr>
        <w:bidi/>
        <w:jc w:val="right"/>
        <w:rPr>
          <w:rFonts w:cs="Arial"/>
        </w:rPr>
      </w:pPr>
      <w:r>
        <w:t>الفصل الخامس: الحب بين الوجودية الفلسفية والتصوف الإسلامي</w:t>
      </w:r>
    </w:p>
    <w:p w14:paraId="44A3BC43" w14:textId="77777777" w:rsidR="007E0928" w:rsidRDefault="00845DB9">
      <w:pPr>
        <w:pStyle w:val="2"/>
        <w:bidi/>
        <w:jc w:val="right"/>
        <w:rPr>
          <w:rFonts w:cs="Arial"/>
        </w:rPr>
      </w:pPr>
      <w:r>
        <w:t xml:space="preserve">5.1 </w:t>
      </w:r>
      <w:proofErr w:type="spellStart"/>
      <w:r>
        <w:t>فرانكل</w:t>
      </w:r>
      <w:proofErr w:type="spellEnd"/>
      <w:r>
        <w:t xml:space="preserve"> والمعنى عبر الحب: الإرادة نحو المعنى</w:t>
      </w:r>
    </w:p>
    <w:p w14:paraId="587A38CB" w14:textId="77777777" w:rsidR="007E0928" w:rsidRDefault="00845DB9">
      <w:pPr>
        <w:spacing w:after="200" w:line="340" w:lineRule="auto"/>
        <w:jc w:val="both"/>
        <w:rPr>
          <w:rFonts w:cs="Arial"/>
        </w:rPr>
      </w:pPr>
      <w:r>
        <w:t xml:space="preserve">يذهب فيكتور </w:t>
      </w:r>
      <w:proofErr w:type="spellStart"/>
      <w:r>
        <w:t>فرانكل</w:t>
      </w:r>
      <w:proofErr w:type="spellEnd"/>
      <w:r>
        <w:t xml:space="preserve"> — مؤسس العلاج بالمعنى (</w:t>
      </w:r>
      <w:proofErr w:type="spellStart"/>
      <w:r>
        <w:t>Logotherapy</w:t>
      </w:r>
      <w:proofErr w:type="spellEnd"/>
      <w:r>
        <w:t xml:space="preserve">) وأحد الناجين من معسكرات الاعتقال النازية — إلى أن الحب أحد أسمى الطرق الثلاثة لاكتشاف المعنى في الحياة، إذ يتيح للمرء أن يُدرك الفرادة الجوهرية للشخص المحبوب ويستحضر كامل إمكاناته الكامنة [21]. ويصف </w:t>
      </w:r>
      <w:proofErr w:type="spellStart"/>
      <w:r>
        <w:t>فرانكل</w:t>
      </w:r>
      <w:proofErr w:type="spellEnd"/>
      <w:r>
        <w:t>، من واقع تجربته الشخصية القاسية، كيف أن استحضار صورة زوجته المحبوبة، حتى في أحلك ظروف المعسكر، منحه معنى يتجاوز الألم الجسدي المباشر.</w:t>
      </w:r>
    </w:p>
    <w:p w14:paraId="63E1B782" w14:textId="77777777" w:rsidR="007E0928" w:rsidRDefault="00845DB9">
      <w:pPr>
        <w:spacing w:after="200" w:line="340" w:lineRule="auto"/>
        <w:jc w:val="both"/>
        <w:rPr>
          <w:rFonts w:cs="Arial"/>
        </w:rPr>
      </w:pPr>
      <w:r>
        <w:t xml:space="preserve">وتتقاطع هذه الشهادة الوجودية مع ما يؤكده الزراع من أن الحب "طاقة تحويلية" تُبقي النفس متصلة بغايتها حتى في أقسى الظروف؛ غير أن </w:t>
      </w:r>
      <w:proofErr w:type="spellStart"/>
      <w:r>
        <w:t>فرانكل</w:t>
      </w:r>
      <w:proofErr w:type="spellEnd"/>
      <w:r>
        <w:t xml:space="preserve"> يُبقي مصدر المعنى مفتوحاً على تأويلات متعددة (قد تكون علمانية أو دينية)، بينما يُحدد النموذج الاستخلافي هذا المصدر تحديداً حاسماً: هو الله سبحانه، وسائر المحبوبات إنما تستمد معناها من كونها آيات دالة عليه ومسارب موصلة إليه.</w:t>
      </w:r>
    </w:p>
    <w:p w14:paraId="6549E86A" w14:textId="77777777" w:rsidR="007E0928" w:rsidRDefault="00845DB9">
      <w:pPr>
        <w:pStyle w:val="2"/>
        <w:bidi/>
        <w:jc w:val="right"/>
        <w:rPr>
          <w:rFonts w:cs="Arial"/>
        </w:rPr>
      </w:pPr>
      <w:r>
        <w:t>5.2 بوبر وعلاقة "أنا-أنت": الحب كلقاء وجودي</w:t>
      </w:r>
    </w:p>
    <w:p w14:paraId="5F6623D1" w14:textId="77777777" w:rsidR="007E0928" w:rsidRDefault="00845DB9">
      <w:pPr>
        <w:spacing w:after="200" w:line="340" w:lineRule="auto"/>
        <w:jc w:val="both"/>
        <w:rPr>
          <w:rFonts w:cs="Arial"/>
        </w:rPr>
      </w:pPr>
      <w:r>
        <w:t>يُميّز الفيلسوف مارتن بوبر — في كتابه "أنا وأنت" — بين نمطين من العلاقة بالعالم: علاقة "أنا-هو" (I-</w:t>
      </w:r>
      <w:proofErr w:type="spellStart"/>
      <w:r>
        <w:t>It</w:t>
      </w:r>
      <w:proofErr w:type="spellEnd"/>
      <w:r>
        <w:t xml:space="preserve">)، وهي علاقة الاستخدام والتحليل </w:t>
      </w:r>
      <w:proofErr w:type="spellStart"/>
      <w:r>
        <w:t>والموضعة</w:t>
      </w:r>
      <w:proofErr w:type="spellEnd"/>
      <w:r>
        <w:t xml:space="preserve"> التي نتعامل بها مع الأشياء، وعلاقة "أنا-أنت" (I-</w:t>
      </w:r>
      <w:proofErr w:type="spellStart"/>
      <w:r>
        <w:t>Thou</w:t>
      </w:r>
      <w:proofErr w:type="spellEnd"/>
      <w:r>
        <w:t>)، وهي لقاء مباشر كامل الحضور مع الآخر بوصفه ذاتاً لا موضوعاً [22]. ويرى بوبر أن الحب الحقيقي لا يتحقق إلا في أفق "أنا-أنت"، وأن كل علاقة "أنا-أنت" أصيلة تنفتح، في نهاية المطاف، على "</w:t>
      </w:r>
      <w:proofErr w:type="spellStart"/>
      <w:r>
        <w:t>الأنت</w:t>
      </w:r>
      <w:proofErr w:type="spellEnd"/>
      <w:r>
        <w:t xml:space="preserve"> الأبدي" (</w:t>
      </w:r>
      <w:proofErr w:type="spellStart"/>
      <w:r>
        <w:t>Eternal</w:t>
      </w:r>
      <w:proofErr w:type="spellEnd"/>
      <w:r>
        <w:t xml:space="preserve"> </w:t>
      </w:r>
      <w:proofErr w:type="spellStart"/>
      <w:r>
        <w:t>Thou</w:t>
      </w:r>
      <w:proofErr w:type="spellEnd"/>
      <w:r>
        <w:t>)، أي الله.</w:t>
      </w:r>
    </w:p>
    <w:p w14:paraId="6C78E5AF" w14:textId="77777777" w:rsidR="007E0928" w:rsidRDefault="00845DB9">
      <w:pPr>
        <w:spacing w:after="200" w:line="340" w:lineRule="auto"/>
        <w:jc w:val="both"/>
        <w:rPr>
          <w:rFonts w:cs="Arial"/>
        </w:rPr>
      </w:pPr>
      <w:r>
        <w:t>وهذا التصور — رغم قربه اللافت من الرؤية الاستخلافية في ربطه للحب البشري بأفق إلهي متعالٍ — يظل عند بوبر حدسياً-</w:t>
      </w:r>
      <w:proofErr w:type="spellStart"/>
      <w:r>
        <w:t>فينومينولوجياً</w:t>
      </w:r>
      <w:proofErr w:type="spellEnd"/>
      <w:r>
        <w:t>، لا يستند إلى نص تشريعي محدد ولا إلى بروتوكول علاجي عملي. وهنا تكمن إضافة الزراع: تحويل هذا الحدس الفلسفي العميق إلى منظومة تشخيصية-علاجية قابلة للتطبيق الإكلينيكي عبر الأضلاع الثمانية وبروتوكول TLRT، بما يمنحه فعالية عملية تتجاوز التأمل الفلسفي المجرد.</w:t>
      </w:r>
    </w:p>
    <w:p w14:paraId="751065D4" w14:textId="77777777" w:rsidR="007E0928" w:rsidRDefault="00845DB9">
      <w:pPr>
        <w:pStyle w:val="2"/>
        <w:bidi/>
        <w:jc w:val="right"/>
        <w:rPr>
          <w:rFonts w:cs="Arial"/>
        </w:rPr>
      </w:pPr>
      <w:r>
        <w:t>5.3 ابن عربي والحب الإلهي: وحدة الشهود وسريان المحبة</w:t>
      </w:r>
    </w:p>
    <w:p w14:paraId="111F6E94" w14:textId="77777777" w:rsidR="007E0928" w:rsidRDefault="00845DB9">
      <w:pPr>
        <w:spacing w:after="200" w:line="340" w:lineRule="auto"/>
        <w:jc w:val="both"/>
        <w:rPr>
          <w:rFonts w:cs="Arial"/>
        </w:rPr>
      </w:pPr>
      <w:r>
        <w:t>يُعدّ محيي الدين ابن عربي — في "الفتوحات المكية" وسائر مصنفاته — من أعمق من نظّروا لمفهوم الحب الإلهي في التراث الصوفي الإسلامي، إذ يرى أن المحبة سارية في الوجود كله، وأن كل حب — مهما بدا موضوعه أرضياً أو حسياً — هو في حقيقته الباطنة تعلق بالجمال الإلهي المتجلي في مظاهر الخلق [17]. وهذا التصور يُقارب — من زاوية معرفية-صوفية مختلفة عن منهج الزراع الإكلينيكي — فكرة أن حب الله هو الأصل الذي تفيض عنه سائر المحبات، والتي مرّت في الفصل الثاني.</w:t>
      </w:r>
    </w:p>
    <w:p w14:paraId="7DE1E147" w14:textId="77777777" w:rsidR="007E0928" w:rsidRDefault="00845DB9">
      <w:pPr>
        <w:spacing w:after="200" w:line="340" w:lineRule="auto"/>
        <w:jc w:val="both"/>
        <w:rPr>
          <w:rFonts w:cs="Arial"/>
        </w:rPr>
      </w:pPr>
      <w:r>
        <w:t>والفارق المنهجي الدقيق بين الطرحين هو أن ابن عربي ينطلق من رؤية معرفية-وجودية (</w:t>
      </w:r>
      <w:proofErr w:type="spellStart"/>
      <w:r>
        <w:t>إبستيمولوجية</w:t>
      </w:r>
      <w:proofErr w:type="spellEnd"/>
      <w:r>
        <w:t>-أنطولوجية) عن طبيعة الحقيقة ذاتها، بينما ينطلق الزراع من غاية إكلينيكية-علاجية: كيف يُستثمر هذا التصور الأنطولوجي عملياً في ترميم النفس المجروحة؟ وهذا ما يجعل النموذج الاستخلافي، رغم استلهامه العميق للتراث الصوفي، مشروعاً تطبيقياً حديثاً لا مجرد استعادة أو شرح لذلك التراث.</w:t>
      </w:r>
    </w:p>
    <w:p w14:paraId="5D8C65DD" w14:textId="77777777" w:rsidR="007E0928" w:rsidRDefault="00845DB9">
      <w:pPr>
        <w:pStyle w:val="2"/>
        <w:bidi/>
        <w:jc w:val="right"/>
        <w:rPr>
          <w:rFonts w:cs="Arial"/>
        </w:rPr>
      </w:pPr>
      <w:r>
        <w:t>5.4 الحب كطريق العودة: من الشوق الصوفي إلى السكينة الاستخلافية</w:t>
      </w:r>
    </w:p>
    <w:p w14:paraId="6E2CBFE6" w14:textId="77777777" w:rsidR="007E0928" w:rsidRDefault="00845DB9">
      <w:pPr>
        <w:spacing w:after="200" w:line="340" w:lineRule="auto"/>
        <w:jc w:val="both"/>
        <w:rPr>
          <w:rFonts w:cs="Arial"/>
        </w:rPr>
      </w:pPr>
      <w:r>
        <w:t>يُشكّل موضوع "الشوق" أحد أبرز الموضوعات المشتركة بين أدبيات التصوف الإسلامي الوجداني وبين مفهوم "الفاقة الأصلية" عند الزراع: فكلاهما يصف حالة توتر وجودي دائم يدفع النفس نحو مصدرها الأول، وكلاهما يرى في هذا التوتر لا علة يجب التخلص منها، بل طاقة يجب توجيهها. غير أن النموذج الاستخلافي يُضيف إلى هذا الميراث الوجداني بُعداً بنيوياً منهجياً غائباً غالباً عن الأدبيات الصوفية الكلاسيكية: تحديد مسارات واضحة (الأضلاع الثمانية) تُترجم هذا الشوق إلى مراحل علاجية-تربوية قابلة للتتبع والتقييم، بدل تركه حالة وجدانية غامضة المعالم.</w:t>
      </w:r>
    </w:p>
    <w:p w14:paraId="45CADAFB" w14:textId="77777777" w:rsidR="007E0928" w:rsidRDefault="00845DB9">
      <w:pPr>
        <w:spacing w:after="200" w:line="340" w:lineRule="auto"/>
        <w:jc w:val="both"/>
        <w:rPr>
          <w:rFonts w:cs="Arial"/>
        </w:rPr>
      </w:pPr>
      <w:r>
        <w:t xml:space="preserve">وبذلك يكتمل، في هذا الفصل، المسار الذي بدأ في الفصل الأول: من </w:t>
      </w:r>
      <w:proofErr w:type="spellStart"/>
      <w:r>
        <w:t>إيروس</w:t>
      </w:r>
      <w:proofErr w:type="spellEnd"/>
      <w:r>
        <w:t xml:space="preserve"> أفلاطون، مروراً </w:t>
      </w:r>
      <w:proofErr w:type="spellStart"/>
      <w:r>
        <w:t>بأغابي</w:t>
      </w:r>
      <w:proofErr w:type="spellEnd"/>
      <w:r>
        <w:t xml:space="preserve"> المسيحية، </w:t>
      </w:r>
      <w:proofErr w:type="spellStart"/>
      <w:r>
        <w:t>وليبيدو</w:t>
      </w:r>
      <w:proofErr w:type="spellEnd"/>
      <w:r>
        <w:t xml:space="preserve"> فرويد، وفن فروم، وتعلق </w:t>
      </w:r>
      <w:proofErr w:type="spellStart"/>
      <w:r>
        <w:t>بولبي</w:t>
      </w:r>
      <w:proofErr w:type="spellEnd"/>
      <w:r>
        <w:t xml:space="preserve">، وأعصاب </w:t>
      </w:r>
      <w:proofErr w:type="spellStart"/>
      <w:r>
        <w:t>بانكسِب</w:t>
      </w:r>
      <w:proofErr w:type="spellEnd"/>
      <w:r>
        <w:t xml:space="preserve"> وسيغل، ومثلث </w:t>
      </w:r>
      <w:proofErr w:type="spellStart"/>
      <w:r>
        <w:t>سترنبرغ</w:t>
      </w:r>
      <w:proofErr w:type="spellEnd"/>
      <w:r>
        <w:t xml:space="preserve">، ولقاء بوبر، ومعنى </w:t>
      </w:r>
      <w:proofErr w:type="spellStart"/>
      <w:r>
        <w:t>فرانكل</w:t>
      </w:r>
      <w:proofErr w:type="spellEnd"/>
      <w:r>
        <w:t>، ووحدة شهود ابن عربي — تتقاطع خيوط هذا التراث الفكري الهائل كلها، دون أن تذوب فرادتها، لتُنسج ضمن نسيج جديد هو النظرية الاستخلافية للحب.</w:t>
      </w:r>
    </w:p>
    <w:p w14:paraId="123FB5C3" w14:textId="77777777" w:rsidR="007E0928" w:rsidRDefault="00845DB9">
      <w:pPr>
        <w:rPr>
          <w:rFonts w:cs="Arial"/>
        </w:rPr>
      </w:pPr>
      <w:r>
        <w:br w:type="page"/>
      </w:r>
    </w:p>
    <w:p w14:paraId="312CC6DE" w14:textId="77777777" w:rsidR="007E0928" w:rsidRDefault="00845DB9">
      <w:pPr>
        <w:pStyle w:val="1"/>
        <w:pBdr>
          <w:bottom w:val="single" w:sz="12" w:space="4" w:color="B8860B"/>
        </w:pBdr>
        <w:bidi/>
        <w:jc w:val="right"/>
        <w:rPr>
          <w:rFonts w:cs="Arial"/>
        </w:rPr>
      </w:pPr>
      <w:r>
        <w:t>الفصل السادس: نحو تركيب نقدي — تفرّد النموذج الاستخلافي</w:t>
      </w:r>
    </w:p>
    <w:p w14:paraId="1DD60200" w14:textId="77777777" w:rsidR="007E0928" w:rsidRDefault="00845DB9">
      <w:pPr>
        <w:pStyle w:val="2"/>
        <w:bidi/>
        <w:jc w:val="right"/>
        <w:rPr>
          <w:rFonts w:cs="Arial"/>
        </w:rPr>
      </w:pPr>
      <w:r>
        <w:t>6.1 معيار المصدر: من أين ينبع الحب؟</w:t>
      </w:r>
    </w:p>
    <w:p w14:paraId="36177B30" w14:textId="77777777" w:rsidR="007E0928" w:rsidRDefault="00845DB9">
      <w:pPr>
        <w:spacing w:after="200" w:line="340" w:lineRule="auto"/>
        <w:jc w:val="both"/>
        <w:rPr>
          <w:rFonts w:cs="Arial"/>
        </w:rPr>
      </w:pPr>
      <w:r>
        <w:t>إذا ما قُورنت النماذج المستعرضة في هذه الدراسة بمعيار "مصدر" الحب، تبيّن أن أغلبها ينطلق من الإنسان ذاته: من رغبته (فرويد)، أو من قدرته على الممارسة الناضجة (فروم)، أو من تاريخه الرعائي المبكر (</w:t>
      </w:r>
      <w:proofErr w:type="spellStart"/>
      <w:r>
        <w:t>بولبي</w:t>
      </w:r>
      <w:proofErr w:type="spellEnd"/>
      <w:r>
        <w:t>)، أو من بنيته العصبية (</w:t>
      </w:r>
      <w:proofErr w:type="spellStart"/>
      <w:r>
        <w:t>بانكسِب</w:t>
      </w:r>
      <w:proofErr w:type="spellEnd"/>
      <w:r>
        <w:t>، سيغل)، أو من إرادته نحو المعنى (</w:t>
      </w:r>
      <w:proofErr w:type="spellStart"/>
      <w:r>
        <w:t>فرانكل</w:t>
      </w:r>
      <w:proofErr w:type="spellEnd"/>
      <w:r>
        <w:t xml:space="preserve">). ويستثني من ذلك، جزئياً، </w:t>
      </w:r>
      <w:proofErr w:type="spellStart"/>
      <w:r>
        <w:t>الأغابي</w:t>
      </w:r>
      <w:proofErr w:type="spellEnd"/>
      <w:r>
        <w:t xml:space="preserve"> المسيحي وتصوف ابن عربي وفلسفة بوبر، التي تفتح أفق الحب على متعالٍ إلهي. غير أن النموذج الاستخلافي وحده يجعل هذا المصدر الإلهي أساساً تشريعياً-تعبدياً واضحاً ({قُلْ إِن كُنتُمْ تُحِبُّونَ اللَّهَ فَاتَّبِعُونِي})، لا مجرد أفق حدسي أو خبرة صوفية فردية.</w:t>
      </w:r>
    </w:p>
    <w:p w14:paraId="3DDDBB53" w14:textId="77777777" w:rsidR="007E0928" w:rsidRDefault="00845DB9">
      <w:pPr>
        <w:pStyle w:val="2"/>
        <w:bidi/>
        <w:jc w:val="right"/>
        <w:rPr>
          <w:rFonts w:cs="Arial"/>
        </w:rPr>
      </w:pPr>
      <w:r>
        <w:t>6.2 معيار المنهج: بين الوصف والتشخيص والعلاج</w:t>
      </w:r>
    </w:p>
    <w:p w14:paraId="7E6845A7" w14:textId="77777777" w:rsidR="007E0928" w:rsidRDefault="00845DB9">
      <w:pPr>
        <w:spacing w:after="200" w:line="340" w:lineRule="auto"/>
        <w:jc w:val="both"/>
        <w:rPr>
          <w:rFonts w:cs="Arial"/>
        </w:rPr>
      </w:pPr>
      <w:r>
        <w:t xml:space="preserve">تتميز أغلب النماذج الفلسفية (أفلاطون، أرسطو، بوبر) والصوفية الكلاسيكية بطابعها الوصفي-التأملي، بينما تتميز النماذج النفسية والعصبية (فرويد، </w:t>
      </w:r>
      <w:proofErr w:type="spellStart"/>
      <w:r>
        <w:t>بولبي</w:t>
      </w:r>
      <w:proofErr w:type="spellEnd"/>
      <w:r>
        <w:t xml:space="preserve">، </w:t>
      </w:r>
      <w:proofErr w:type="spellStart"/>
      <w:r>
        <w:t>بانكسِب</w:t>
      </w:r>
      <w:proofErr w:type="spellEnd"/>
      <w:r>
        <w:t>، سيغل) بطابعها التفسيري-التجريبي. أما بروتوكول TLRT، فيتفرد بجمعه بين المستويات الثلاثة معاً: تأصيل أنطولوجي-قرآني (المستوى الوصفي)، وتصنيف دقيق لأنماط الحب السوي والمشوَّه عبر الأضلاع الثمانية (المستوى التشخيصي)، ومسارات علاجية محددة المراحل لترميم الحب المشوَّه وتحويله إلى طاقة بنّاءة (المستوى العلاجي التطبيقي).</w:t>
      </w:r>
    </w:p>
    <w:p w14:paraId="01450418" w14:textId="77777777" w:rsidR="007E0928" w:rsidRDefault="00845DB9">
      <w:pPr>
        <w:pStyle w:val="2"/>
        <w:bidi/>
        <w:jc w:val="right"/>
        <w:rPr>
          <w:rFonts w:cs="Arial"/>
        </w:rPr>
      </w:pPr>
      <w:r>
        <w:t>6.3 معيار الغاية: من العلاقة الثنائية إلى عمارة الأرض</w:t>
      </w:r>
    </w:p>
    <w:p w14:paraId="4FBAB9E6" w14:textId="77777777" w:rsidR="007E0928" w:rsidRDefault="00845DB9">
      <w:pPr>
        <w:spacing w:after="200" w:line="340" w:lineRule="auto"/>
        <w:jc w:val="both"/>
        <w:rPr>
          <w:rFonts w:cs="Arial"/>
        </w:rPr>
      </w:pPr>
      <w:r>
        <w:t>تنتهي معظم النماذج الغربية عند حدود العلاقة الثنائية بين المحب والمحبوب، إنسانَين كانا أو إنساناً وإلهاً. أما النموذج الاستخلافي، فيمتد بالحب — عبر مفهوم "الجسر السلوكي" ومشروع "الكفارة الإبداعية" — إلى أفق اجتماعي-حضاري أشمل: عمارة الأرض والإحسان إلى الخلق، بما يجعل الحب الفردي رافعة لمشروع استخلافي جماعي، لا غاية في ذاته منغلقة على طرفَي العلاقة.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7E0928" w14:paraId="65ADF3DE" w14:textId="77777777">
        <w:trPr>
          <w:tblHeader/>
        </w:trPr>
        <w:tc>
          <w:tcPr>
            <w:tcW w:w="1650" w:type="pct"/>
            <w:shd w:val="clear" w:color="auto" w:fill="1B3A5C"/>
          </w:tcPr>
          <w:p w14:paraId="497A9AB3" w14:textId="77777777" w:rsidR="007E0928" w:rsidRDefault="00845DB9">
            <w:pPr>
              <w:jc w:val="center"/>
              <w:rPr>
                <w:rFonts w:cs="Arial"/>
              </w:rPr>
            </w:pPr>
            <w:r>
              <w:rPr>
                <w:b/>
                <w:bCs/>
                <w:color w:val="FFFFFF"/>
                <w:sz w:val="24"/>
                <w:szCs w:val="24"/>
              </w:rPr>
              <w:t>المعيار</w:t>
            </w:r>
          </w:p>
        </w:tc>
        <w:tc>
          <w:tcPr>
            <w:tcW w:w="1650" w:type="pct"/>
            <w:shd w:val="clear" w:color="auto" w:fill="1B3A5C"/>
          </w:tcPr>
          <w:p w14:paraId="7F8DAAC7" w14:textId="77777777" w:rsidR="007E0928" w:rsidRDefault="00845DB9">
            <w:pPr>
              <w:jc w:val="center"/>
              <w:rPr>
                <w:rFonts w:cs="Arial"/>
              </w:rPr>
            </w:pPr>
            <w:r>
              <w:rPr>
                <w:b/>
                <w:bCs/>
                <w:color w:val="FFFFFF"/>
                <w:sz w:val="24"/>
                <w:szCs w:val="24"/>
              </w:rPr>
              <w:t>النماذج الغربية/الفلسفية</w:t>
            </w:r>
          </w:p>
        </w:tc>
        <w:tc>
          <w:tcPr>
            <w:tcW w:w="1650" w:type="pct"/>
            <w:shd w:val="clear" w:color="auto" w:fill="1B3A5C"/>
          </w:tcPr>
          <w:p w14:paraId="78DD87C1" w14:textId="77777777" w:rsidR="007E0928" w:rsidRDefault="00845DB9">
            <w:pPr>
              <w:jc w:val="center"/>
              <w:rPr>
                <w:rFonts w:cs="Arial"/>
              </w:rPr>
            </w:pPr>
            <w:r>
              <w:rPr>
                <w:b/>
                <w:bCs/>
                <w:color w:val="FFFFFF"/>
                <w:sz w:val="24"/>
                <w:szCs w:val="24"/>
              </w:rPr>
              <w:t>النموذج الاستخلافي</w:t>
            </w:r>
          </w:p>
        </w:tc>
      </w:tr>
      <w:tr w:rsidR="007E0928" w14:paraId="1EE26C0F" w14:textId="77777777">
        <w:tc>
          <w:tcPr>
            <w:tcW w:w="1650" w:type="pct"/>
            <w:shd w:val="clear" w:color="auto" w:fill="F5EFD9"/>
          </w:tcPr>
          <w:p w14:paraId="5D71761F" w14:textId="77777777" w:rsidR="007E0928" w:rsidRDefault="00845DB9">
            <w:pPr>
              <w:jc w:val="right"/>
              <w:rPr>
                <w:rFonts w:cs="Arial"/>
              </w:rPr>
            </w:pPr>
            <w:r>
              <w:rPr>
                <w:b/>
                <w:bCs/>
                <w:color w:val="1B3A5C"/>
                <w:sz w:val="24"/>
                <w:szCs w:val="24"/>
              </w:rPr>
              <w:t>المصدر</w:t>
            </w:r>
          </w:p>
        </w:tc>
        <w:tc>
          <w:tcPr>
            <w:tcW w:w="1650" w:type="pct"/>
            <w:shd w:val="clear" w:color="auto" w:fill="FFFFFF"/>
          </w:tcPr>
          <w:p w14:paraId="64CD615F" w14:textId="77777777" w:rsidR="007E0928" w:rsidRDefault="00845DB9">
            <w:pPr>
              <w:jc w:val="right"/>
              <w:rPr>
                <w:rFonts w:cs="Arial"/>
              </w:rPr>
            </w:pPr>
            <w:r>
              <w:rPr>
                <w:color w:val="333333"/>
                <w:sz w:val="24"/>
                <w:szCs w:val="24"/>
              </w:rPr>
              <w:t>الإنسان، الطبيعة، أو أفق حدسي متعالٍ</w:t>
            </w:r>
          </w:p>
        </w:tc>
        <w:tc>
          <w:tcPr>
            <w:tcW w:w="1650" w:type="pct"/>
            <w:shd w:val="clear" w:color="auto" w:fill="FFFFFF"/>
          </w:tcPr>
          <w:p w14:paraId="361D58BF" w14:textId="77777777" w:rsidR="007E0928" w:rsidRDefault="00845DB9">
            <w:pPr>
              <w:jc w:val="right"/>
              <w:rPr>
                <w:rFonts w:cs="Arial"/>
              </w:rPr>
            </w:pPr>
            <w:r>
              <w:rPr>
                <w:color w:val="333333"/>
                <w:sz w:val="24"/>
                <w:szCs w:val="24"/>
              </w:rPr>
              <w:t>الله تعالى تشريعاً وتعبداً</w:t>
            </w:r>
          </w:p>
        </w:tc>
      </w:tr>
      <w:tr w:rsidR="007E0928" w14:paraId="5DA70896" w14:textId="77777777">
        <w:tc>
          <w:tcPr>
            <w:tcW w:w="1650" w:type="pct"/>
            <w:shd w:val="clear" w:color="auto" w:fill="F5EFD9"/>
          </w:tcPr>
          <w:p w14:paraId="6F5838AA" w14:textId="77777777" w:rsidR="007E0928" w:rsidRDefault="00845DB9">
            <w:pPr>
              <w:jc w:val="right"/>
              <w:rPr>
                <w:rFonts w:cs="Arial"/>
              </w:rPr>
            </w:pPr>
            <w:r>
              <w:rPr>
                <w:b/>
                <w:bCs/>
                <w:color w:val="1B3A5C"/>
                <w:sz w:val="24"/>
                <w:szCs w:val="24"/>
              </w:rPr>
              <w:t>المنهج</w:t>
            </w:r>
          </w:p>
        </w:tc>
        <w:tc>
          <w:tcPr>
            <w:tcW w:w="1650" w:type="pct"/>
            <w:shd w:val="clear" w:color="auto" w:fill="FFFFFF"/>
          </w:tcPr>
          <w:p w14:paraId="2682BAF6" w14:textId="77777777" w:rsidR="007E0928" w:rsidRDefault="00845DB9">
            <w:pPr>
              <w:jc w:val="right"/>
              <w:rPr>
                <w:rFonts w:cs="Arial"/>
              </w:rPr>
            </w:pPr>
            <w:r>
              <w:rPr>
                <w:color w:val="333333"/>
                <w:sz w:val="24"/>
                <w:szCs w:val="24"/>
              </w:rPr>
              <w:t>وصفي أو تجريبي منفصلان غالباً</w:t>
            </w:r>
          </w:p>
        </w:tc>
        <w:tc>
          <w:tcPr>
            <w:tcW w:w="1650" w:type="pct"/>
            <w:shd w:val="clear" w:color="auto" w:fill="FFFFFF"/>
          </w:tcPr>
          <w:p w14:paraId="004B23BF" w14:textId="77777777" w:rsidR="007E0928" w:rsidRDefault="00845DB9">
            <w:pPr>
              <w:jc w:val="right"/>
              <w:rPr>
                <w:rFonts w:cs="Arial"/>
              </w:rPr>
            </w:pPr>
            <w:r>
              <w:rPr>
                <w:color w:val="333333"/>
                <w:sz w:val="24"/>
                <w:szCs w:val="24"/>
              </w:rPr>
              <w:t>وصفي وتشخيصي وعلاجي متكامل</w:t>
            </w:r>
          </w:p>
        </w:tc>
      </w:tr>
      <w:tr w:rsidR="007E0928" w14:paraId="70EC64DB" w14:textId="77777777">
        <w:tc>
          <w:tcPr>
            <w:tcW w:w="1650" w:type="pct"/>
            <w:shd w:val="clear" w:color="auto" w:fill="F5EFD9"/>
          </w:tcPr>
          <w:p w14:paraId="6C015728" w14:textId="77777777" w:rsidR="007E0928" w:rsidRDefault="00845DB9">
            <w:pPr>
              <w:jc w:val="right"/>
              <w:rPr>
                <w:rFonts w:cs="Arial"/>
              </w:rPr>
            </w:pPr>
            <w:r>
              <w:rPr>
                <w:b/>
                <w:bCs/>
                <w:color w:val="1B3A5C"/>
                <w:sz w:val="24"/>
                <w:szCs w:val="24"/>
              </w:rPr>
              <w:t>الغاية</w:t>
            </w:r>
          </w:p>
        </w:tc>
        <w:tc>
          <w:tcPr>
            <w:tcW w:w="1650" w:type="pct"/>
            <w:shd w:val="clear" w:color="auto" w:fill="FFFFFF"/>
          </w:tcPr>
          <w:p w14:paraId="0A797AA4" w14:textId="77777777" w:rsidR="007E0928" w:rsidRDefault="00845DB9">
            <w:pPr>
              <w:jc w:val="right"/>
              <w:rPr>
                <w:rFonts w:cs="Arial"/>
              </w:rPr>
            </w:pPr>
            <w:r>
              <w:rPr>
                <w:color w:val="333333"/>
                <w:sz w:val="24"/>
                <w:szCs w:val="24"/>
              </w:rPr>
              <w:t>العلاقة الثنائية أو الرفاه الفردي</w:t>
            </w:r>
          </w:p>
        </w:tc>
        <w:tc>
          <w:tcPr>
            <w:tcW w:w="1650" w:type="pct"/>
            <w:shd w:val="clear" w:color="auto" w:fill="FFFFFF"/>
          </w:tcPr>
          <w:p w14:paraId="7162A8A3" w14:textId="77777777" w:rsidR="007E0928" w:rsidRDefault="00845DB9">
            <w:pPr>
              <w:jc w:val="right"/>
              <w:rPr>
                <w:rFonts w:cs="Arial"/>
              </w:rPr>
            </w:pPr>
            <w:r>
              <w:rPr>
                <w:color w:val="333333"/>
                <w:sz w:val="24"/>
                <w:szCs w:val="24"/>
              </w:rPr>
              <w:t>السكينة الفردية وعمارة الأرض معاً</w:t>
            </w:r>
          </w:p>
        </w:tc>
      </w:tr>
    </w:tbl>
    <w:p w14:paraId="37E61820" w14:textId="77777777" w:rsidR="007E0928" w:rsidRDefault="007E0928">
      <w:pPr>
        <w:spacing w:before="200"/>
        <w:rPr>
          <w:rFonts w:cs="Arial"/>
        </w:rPr>
      </w:pPr>
    </w:p>
    <w:p w14:paraId="11385321" w14:textId="77777777" w:rsidR="007E0928" w:rsidRDefault="00845DB9">
      <w:pPr>
        <w:rPr>
          <w:rFonts w:cs="Arial"/>
        </w:rPr>
      </w:pPr>
      <w:r>
        <w:br w:type="page"/>
      </w:r>
    </w:p>
    <w:p w14:paraId="38D9C1C0" w14:textId="77777777" w:rsidR="007E0928" w:rsidRDefault="00845DB9">
      <w:pPr>
        <w:pStyle w:val="1"/>
        <w:pBdr>
          <w:bottom w:val="single" w:sz="12" w:space="4" w:color="B8860B"/>
        </w:pBdr>
        <w:bidi/>
        <w:jc w:val="right"/>
        <w:rPr>
          <w:rFonts w:cs="Arial"/>
        </w:rPr>
      </w:pPr>
      <w:r>
        <w:t>خاتمة: الحب — طريق الاستخلاف وسرّ الحياة الطيبة</w:t>
      </w:r>
    </w:p>
    <w:p w14:paraId="14EAB566" w14:textId="77777777" w:rsidR="007E0928" w:rsidRDefault="00845DB9" w:rsidP="00386CBB">
      <w:pPr>
        <w:spacing w:after="200" w:line="340" w:lineRule="auto"/>
        <w:rPr>
          <w:rFonts w:cs="Arial"/>
        </w:rPr>
      </w:pPr>
      <w:r>
        <w:t xml:space="preserve">في نهاية هذه "الدراسة الموسعة"، نخلص إلى أن "مفهوم الحب" — كما "يُقدمه" "الزراع" في "نظريته الاستخلافية" — هو "مفهوم" "ثري" و"عميق" </w:t>
      </w:r>
      <w:proofErr w:type="spellStart"/>
      <w:r>
        <w:t>و"مُتعدد</w:t>
      </w:r>
      <w:proofErr w:type="spellEnd"/>
      <w:r>
        <w:t xml:space="preserve"> الأبعاد". إنه "يَتجاوز" — بكثير — "المفهوم" "المادي" "الضيق" للحب، </w:t>
      </w:r>
      <w:proofErr w:type="spellStart"/>
      <w:r>
        <w:t>و"يُعيد</w:t>
      </w:r>
      <w:proofErr w:type="spellEnd"/>
      <w:r>
        <w:t>" "الاعتبار" لـ"الحب" كـ"قوة وجودية" و"طاقة تحويلية" و"أسمى مراتب العلاقة مع الله".</w:t>
      </w:r>
    </w:p>
    <w:p w14:paraId="0B3DCAF2" w14:textId="77777777" w:rsidR="007E0928" w:rsidRDefault="00845DB9">
      <w:pPr>
        <w:spacing w:after="200" w:line="340" w:lineRule="auto"/>
        <w:jc w:val="both"/>
        <w:rPr>
          <w:rFonts w:cs="Arial"/>
        </w:rPr>
      </w:pPr>
      <w:r>
        <w:t xml:space="preserve">وقد حاولت هذه الدراسة — عبر مسارها عبر ستة فصول — أن تُبيّن أن هذا التصور لا ينشأ من فراغ، بل يدخل في حوار نقدي عميق مع أهم ما أنتجه الفكر الإنساني حول الحب: من </w:t>
      </w:r>
      <w:proofErr w:type="spellStart"/>
      <w:r>
        <w:t>إيروس</w:t>
      </w:r>
      <w:proofErr w:type="spellEnd"/>
      <w:r>
        <w:t xml:space="preserve"> أفلاطون وأغابي المسيحية، إلى </w:t>
      </w:r>
      <w:proofErr w:type="spellStart"/>
      <w:r>
        <w:t>ليبيدو</w:t>
      </w:r>
      <w:proofErr w:type="spellEnd"/>
      <w:r>
        <w:t xml:space="preserve"> فرويد وفن فروم وتعلق </w:t>
      </w:r>
      <w:proofErr w:type="spellStart"/>
      <w:r>
        <w:t>بولبي</w:t>
      </w:r>
      <w:proofErr w:type="spellEnd"/>
      <w:r>
        <w:t xml:space="preserve">، إلى أعصاب </w:t>
      </w:r>
      <w:proofErr w:type="spellStart"/>
      <w:r>
        <w:t>بانكسِب</w:t>
      </w:r>
      <w:proofErr w:type="spellEnd"/>
      <w:r>
        <w:t xml:space="preserve"> وسيغل، ومثلث </w:t>
      </w:r>
      <w:proofErr w:type="spellStart"/>
      <w:r>
        <w:t>سترنبرغ</w:t>
      </w:r>
      <w:proofErr w:type="spellEnd"/>
      <w:r>
        <w:t xml:space="preserve">، إلى وجودية </w:t>
      </w:r>
      <w:proofErr w:type="spellStart"/>
      <w:r>
        <w:t>فرانكل</w:t>
      </w:r>
      <w:proofErr w:type="spellEnd"/>
      <w:r>
        <w:t xml:space="preserve"> وبوبر </w:t>
      </w:r>
      <w:proofErr w:type="spellStart"/>
      <w:r>
        <w:t>ومعرفانية</w:t>
      </w:r>
      <w:proofErr w:type="spellEnd"/>
      <w:r>
        <w:t xml:space="preserve"> ابن عربي الصوفية. وقد استوعب هذا الحوار ما في كل نموذج من حقيقة جزئية، دون أن يذوب فيه أو يفقد أصالته الأنطولوجية-القرآنية الخاصة.</w:t>
      </w:r>
    </w:p>
    <w:p w14:paraId="5C9F64ED" w14:textId="77777777" w:rsidR="007E0928" w:rsidRDefault="00845DB9">
      <w:pPr>
        <w:spacing w:after="200" w:line="340" w:lineRule="auto"/>
        <w:jc w:val="both"/>
        <w:rPr>
          <w:rFonts w:cs="Arial"/>
        </w:rPr>
      </w:pPr>
      <w:r>
        <w:t>فـ"الحب" — في "هذا" "النموذج" — ليس "مجرد" "عاطفة" أو "شعور"، بل هو "البوصلة التي توجه الخليفة المسؤول"، و"الوقود الذي يحول الندم المحتجز إلى عمران"، و"السكينة التي تجعل من انشراح الصدر واقعاً فسيولوجياً ونفسياً يعيشه الإنسان المطمئن". وهو — في "النهاية" — "الطريق" "الأقصر" إلى "الحياة الطيبة" و"الرضوان" "الأبدي".</w:t>
      </w:r>
    </w:p>
    <w:p w14:paraId="69EFCF15" w14:textId="77777777" w:rsidR="007E0928" w:rsidRDefault="00845DB9">
      <w:pPr>
        <w:spacing w:after="200" w:line="340" w:lineRule="auto"/>
        <w:jc w:val="both"/>
        <w:rPr>
          <w:rFonts w:cs="Arial"/>
        </w:rPr>
      </w:pPr>
      <w:r>
        <w:t>وتبقى هذه الدراسة، رغم اتساعها، مفتوحة على آفاق بحثية أخرى تستحق التوسع مستقبلاً: دراسة تطبيقية-إحصائية لأثر بروتوكول TLRT على مقاييس الحب والتعلق المعيارية، ومقارنة أعمق بين مفهوم "السكينة" ومفهوم "التنظيم الذاتي الوجداني" (</w:t>
      </w:r>
      <w:proofErr w:type="spellStart"/>
      <w:r>
        <w:t>Emotional</w:t>
      </w:r>
      <w:proofErr w:type="spellEnd"/>
      <w:r>
        <w:t xml:space="preserve"> </w:t>
      </w:r>
      <w:proofErr w:type="spellStart"/>
      <w:r>
        <w:t>Self-Regulation</w:t>
      </w:r>
      <w:proofErr w:type="spellEnd"/>
      <w:r>
        <w:t>) في علم النفس المعاصر، فضلاً عن استقصاء تجليات هذا النموذج في سياقات علاجية جماعية وأسرية، لا فردية فحسب.</w:t>
      </w:r>
    </w:p>
    <w:p w14:paraId="2FE8438E" w14:textId="77777777" w:rsidR="007E0928" w:rsidRDefault="00845DB9">
      <w:pPr>
        <w:pBdr>
          <w:top w:val="single" w:sz="8" w:space="8" w:color="B8860B"/>
          <w:left w:val="single" w:sz="8" w:space="8" w:color="B8860B"/>
          <w:bottom w:val="single" w:sz="8" w:space="8" w:color="B8860B"/>
          <w:right w:val="single" w:sz="8" w:space="8" w:color="B8860B"/>
        </w:pBdr>
        <w:shd w:val="clear" w:color="auto" w:fill="F5EFD9"/>
        <w:spacing w:before="240" w:after="240"/>
        <w:jc w:val="center"/>
        <w:rPr>
          <w:rFonts w:cs="Arial"/>
        </w:rPr>
      </w:pPr>
      <w:r>
        <w:rPr>
          <w:b/>
          <w:bCs/>
          <w:color w:val="1B3A5C"/>
          <w:sz w:val="30"/>
          <w:szCs w:val="30"/>
        </w:rPr>
        <w:t>﴿ وَالَّذِينَ آمَنُوا أَشَدُّ حُبًّا لِّلَّهِ ﴾</w:t>
      </w:r>
      <w:r>
        <w:rPr>
          <w:i/>
          <w:iCs/>
          <w:color w:val="1F6F6F"/>
          <w:sz w:val="24"/>
          <w:szCs w:val="24"/>
        </w:rPr>
        <w:t xml:space="preserve">   [البقرة: 165]</w:t>
      </w:r>
    </w:p>
    <w:p w14:paraId="7C7459C7" w14:textId="77777777" w:rsidR="007E0928" w:rsidRDefault="00845DB9">
      <w:pPr>
        <w:rPr>
          <w:rFonts w:cs="Arial"/>
        </w:rPr>
      </w:pPr>
      <w:r>
        <w:br w:type="page"/>
      </w:r>
    </w:p>
    <w:p w14:paraId="16A5142B" w14:textId="77777777" w:rsidR="007E0928" w:rsidRDefault="00845DB9">
      <w:pPr>
        <w:pStyle w:val="1"/>
        <w:pBdr>
          <w:bottom w:val="single" w:sz="12" w:space="4" w:color="B8860B"/>
        </w:pBdr>
        <w:bidi/>
        <w:jc w:val="right"/>
        <w:rPr>
          <w:rFonts w:cs="Arial"/>
        </w:rPr>
      </w:pPr>
      <w:r>
        <w:t>المراجع والمصادر</w:t>
      </w:r>
    </w:p>
    <w:p w14:paraId="56036640" w14:textId="77777777" w:rsidR="007E0928" w:rsidRDefault="00845DB9">
      <w:pPr>
        <w:spacing w:before="240" w:after="120"/>
        <w:jc w:val="right"/>
        <w:rPr>
          <w:rFonts w:cs="Arial"/>
        </w:rPr>
      </w:pPr>
      <w:r>
        <w:rPr>
          <w:b/>
          <w:bCs/>
          <w:color w:val="1F6F6F"/>
          <w:sz w:val="26"/>
          <w:szCs w:val="26"/>
        </w:rPr>
        <w:t>أولاً: المصادر الأساسية (النموذج الاستخلافي)</w:t>
      </w:r>
    </w:p>
    <w:p w14:paraId="5B767AAB" w14:textId="77777777" w:rsidR="007E0928" w:rsidRDefault="00845DB9">
      <w:pPr>
        <w:spacing w:after="140" w:line="300" w:lineRule="auto"/>
        <w:ind w:left="400" w:hanging="400"/>
        <w:jc w:val="both"/>
        <w:rPr>
          <w:rFonts w:cs="Arial"/>
        </w:rPr>
      </w:pPr>
      <w:r>
        <w:t>1. الزراع، عبد السلام. (2026). العلاج بحرث المصالحة التحويلية (TLRT): الدليل النظري والإكلينيكي. (الطبعة التجريبية الأولى).</w:t>
      </w:r>
    </w:p>
    <w:p w14:paraId="6B4CCEA8" w14:textId="77777777" w:rsidR="007E0928" w:rsidRDefault="00845DB9">
      <w:pPr>
        <w:spacing w:after="140" w:line="300" w:lineRule="auto"/>
        <w:ind w:left="400" w:hanging="400"/>
        <w:jc w:val="both"/>
        <w:rPr>
          <w:rFonts w:cs="Arial"/>
        </w:rPr>
      </w:pPr>
      <w:r>
        <w:t>2. الزراع، عبد السلام. (2026). الفصام الأخلاقي ومصدر الأزمات النفسية: قراءة في ضوء نظرية TLRT.</w:t>
      </w:r>
    </w:p>
    <w:p w14:paraId="7CA0E961" w14:textId="77777777" w:rsidR="007E0928" w:rsidRDefault="00845DB9">
      <w:pPr>
        <w:spacing w:after="140" w:line="300" w:lineRule="auto"/>
        <w:ind w:left="400" w:hanging="400"/>
        <w:jc w:val="both"/>
        <w:rPr>
          <w:rFonts w:cs="Arial"/>
        </w:rPr>
      </w:pPr>
      <w:r>
        <w:t xml:space="preserve">3. الزراع، عبد السلام. (2026). </w:t>
      </w:r>
      <w:proofErr w:type="spellStart"/>
      <w:r>
        <w:t>التمثلات</w:t>
      </w:r>
      <w:proofErr w:type="spellEnd"/>
      <w:r>
        <w:t xml:space="preserve"> الداخلية للإله: من نظرية </w:t>
      </w:r>
      <w:proofErr w:type="spellStart"/>
      <w:r>
        <w:t>ريزوتو</w:t>
      </w:r>
      <w:proofErr w:type="spellEnd"/>
      <w:r>
        <w:t xml:space="preserve"> إلى إعادة بناء صورة الله في TLRT.</w:t>
      </w:r>
    </w:p>
    <w:p w14:paraId="44263316" w14:textId="77777777" w:rsidR="007E0928" w:rsidRDefault="00845DB9">
      <w:pPr>
        <w:spacing w:after="140" w:line="300" w:lineRule="auto"/>
        <w:ind w:left="400" w:hanging="400"/>
        <w:jc w:val="both"/>
        <w:rPr>
          <w:rFonts w:cs="Arial"/>
        </w:rPr>
      </w:pPr>
      <w:r>
        <w:t>4. الزراع، عبد السلام. (2026). نموذج قياس الشعور بالذنب: مقاربة تكاملية متعددة الأبعاد.</w:t>
      </w:r>
    </w:p>
    <w:p w14:paraId="0882AEC8" w14:textId="77777777" w:rsidR="007E0928" w:rsidRDefault="00845DB9">
      <w:pPr>
        <w:spacing w:before="240" w:after="120"/>
        <w:jc w:val="right"/>
        <w:rPr>
          <w:rFonts w:cs="Arial"/>
        </w:rPr>
      </w:pPr>
      <w:r>
        <w:rPr>
          <w:b/>
          <w:bCs/>
          <w:color w:val="1F6F6F"/>
          <w:sz w:val="26"/>
          <w:szCs w:val="26"/>
        </w:rPr>
        <w:t>ثانياً: مراجع في فلسفة الحب</w:t>
      </w:r>
    </w:p>
    <w:p w14:paraId="1877F5B1" w14:textId="77777777" w:rsidR="007E0928" w:rsidRDefault="00845DB9">
      <w:pPr>
        <w:spacing w:after="140" w:line="300" w:lineRule="auto"/>
        <w:ind w:left="400" w:hanging="400"/>
        <w:jc w:val="both"/>
        <w:rPr>
          <w:rFonts w:cs="Arial"/>
        </w:rPr>
      </w:pPr>
      <w:r>
        <w:t xml:space="preserve">5. </w:t>
      </w:r>
      <w:proofErr w:type="spellStart"/>
      <w:r>
        <w:t>Plato</w:t>
      </w:r>
      <w:proofErr w:type="spellEnd"/>
      <w:r>
        <w:t xml:space="preserve">. (1989). </w:t>
      </w:r>
      <w:proofErr w:type="spellStart"/>
      <w:r>
        <w:t>Symposium</w:t>
      </w:r>
      <w:proofErr w:type="spellEnd"/>
      <w:r>
        <w:t xml:space="preserve"> (A. </w:t>
      </w:r>
      <w:proofErr w:type="spellStart"/>
      <w:r>
        <w:t>Nehamas</w:t>
      </w:r>
      <w:proofErr w:type="spellEnd"/>
      <w:r>
        <w:t xml:space="preserve"> &amp; P. </w:t>
      </w:r>
      <w:proofErr w:type="spellStart"/>
      <w:r>
        <w:t>Woodruff</w:t>
      </w:r>
      <w:proofErr w:type="spellEnd"/>
      <w:r>
        <w:t xml:space="preserve">, </w:t>
      </w:r>
      <w:proofErr w:type="spellStart"/>
      <w:r>
        <w:t>Trans</w:t>
      </w:r>
      <w:proofErr w:type="spellEnd"/>
      <w:r>
        <w:t xml:space="preserve">.). </w:t>
      </w:r>
      <w:proofErr w:type="spellStart"/>
      <w:r>
        <w:t>Indianapolis</w:t>
      </w:r>
      <w:proofErr w:type="spellEnd"/>
      <w:r>
        <w:t xml:space="preserve">: </w:t>
      </w:r>
      <w:proofErr w:type="spellStart"/>
      <w:r>
        <w:t>Hackett</w:t>
      </w:r>
      <w:proofErr w:type="spellEnd"/>
      <w:r>
        <w:t xml:space="preserve"> </w:t>
      </w:r>
      <w:proofErr w:type="spellStart"/>
      <w:r>
        <w:t>Publishing</w:t>
      </w:r>
      <w:proofErr w:type="spellEnd"/>
      <w:r>
        <w:t>.</w:t>
      </w:r>
    </w:p>
    <w:p w14:paraId="4D194245" w14:textId="77777777" w:rsidR="007E0928" w:rsidRDefault="00845DB9">
      <w:pPr>
        <w:spacing w:after="140" w:line="300" w:lineRule="auto"/>
        <w:ind w:left="400" w:hanging="400"/>
        <w:jc w:val="both"/>
        <w:rPr>
          <w:rFonts w:cs="Arial"/>
        </w:rPr>
      </w:pPr>
      <w:r>
        <w:t xml:space="preserve">6. </w:t>
      </w:r>
      <w:proofErr w:type="spellStart"/>
      <w:r>
        <w:t>Aristotle</w:t>
      </w:r>
      <w:proofErr w:type="spellEnd"/>
      <w:r>
        <w:t xml:space="preserve">. (2009). </w:t>
      </w:r>
      <w:proofErr w:type="spellStart"/>
      <w:r>
        <w:t>The</w:t>
      </w:r>
      <w:proofErr w:type="spellEnd"/>
      <w:r>
        <w:t xml:space="preserve"> </w:t>
      </w:r>
      <w:proofErr w:type="spellStart"/>
      <w:r>
        <w:t>Nicomachean</w:t>
      </w:r>
      <w:proofErr w:type="spellEnd"/>
      <w:r>
        <w:t xml:space="preserve"> </w:t>
      </w:r>
      <w:proofErr w:type="spellStart"/>
      <w:r>
        <w:t>Ethics</w:t>
      </w:r>
      <w:proofErr w:type="spellEnd"/>
      <w:r>
        <w:t xml:space="preserve"> (D. </w:t>
      </w:r>
      <w:proofErr w:type="spellStart"/>
      <w:r>
        <w:t>Ross</w:t>
      </w:r>
      <w:proofErr w:type="spellEnd"/>
      <w:r>
        <w:t xml:space="preserve">, </w:t>
      </w:r>
      <w:proofErr w:type="spellStart"/>
      <w:r>
        <w:t>Trans</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w:t>
      </w:r>
      <w:proofErr w:type="spellStart"/>
      <w:r>
        <w:t>Press</w:t>
      </w:r>
      <w:proofErr w:type="spellEnd"/>
      <w:r>
        <w:t>.</w:t>
      </w:r>
    </w:p>
    <w:p w14:paraId="5D102908" w14:textId="77777777" w:rsidR="007E0928" w:rsidRDefault="00845DB9">
      <w:pPr>
        <w:spacing w:after="140" w:line="300" w:lineRule="auto"/>
        <w:ind w:left="400" w:hanging="400"/>
        <w:jc w:val="both"/>
        <w:rPr>
          <w:rFonts w:cs="Arial"/>
        </w:rPr>
      </w:pPr>
      <w:r>
        <w:t xml:space="preserve">7. </w:t>
      </w:r>
      <w:proofErr w:type="spellStart"/>
      <w:r>
        <w:t>Nygren</w:t>
      </w:r>
      <w:proofErr w:type="spellEnd"/>
      <w:r>
        <w:t xml:space="preserve">, A. (1953). </w:t>
      </w:r>
      <w:proofErr w:type="spellStart"/>
      <w:r>
        <w:t>Agape</w:t>
      </w:r>
      <w:proofErr w:type="spellEnd"/>
      <w:r>
        <w:t xml:space="preserve"> </w:t>
      </w:r>
      <w:proofErr w:type="spellStart"/>
      <w:r>
        <w:t>and</w:t>
      </w:r>
      <w:proofErr w:type="spellEnd"/>
      <w:r>
        <w:t xml:space="preserve"> </w:t>
      </w:r>
      <w:proofErr w:type="spellStart"/>
      <w:r>
        <w:t>Eros</w:t>
      </w:r>
      <w:proofErr w:type="spellEnd"/>
      <w:r>
        <w:t xml:space="preserve">. </w:t>
      </w:r>
      <w:proofErr w:type="spellStart"/>
      <w:r>
        <w:t>Philadelphia</w:t>
      </w:r>
      <w:proofErr w:type="spellEnd"/>
      <w:r>
        <w:t xml:space="preserve">: </w:t>
      </w:r>
      <w:proofErr w:type="spellStart"/>
      <w:r>
        <w:t>Westminster</w:t>
      </w:r>
      <w:proofErr w:type="spellEnd"/>
      <w:r>
        <w:t xml:space="preserve"> </w:t>
      </w:r>
      <w:proofErr w:type="spellStart"/>
      <w:r>
        <w:t>Press</w:t>
      </w:r>
      <w:proofErr w:type="spellEnd"/>
      <w:r>
        <w:t>.</w:t>
      </w:r>
    </w:p>
    <w:p w14:paraId="5002FB30" w14:textId="77777777" w:rsidR="007E0928" w:rsidRDefault="00845DB9">
      <w:pPr>
        <w:spacing w:after="140" w:line="300" w:lineRule="auto"/>
        <w:ind w:left="400" w:hanging="400"/>
        <w:jc w:val="both"/>
        <w:rPr>
          <w:rFonts w:cs="Arial"/>
        </w:rPr>
      </w:pPr>
      <w:r>
        <w:t xml:space="preserve">8. </w:t>
      </w:r>
      <w:proofErr w:type="spellStart"/>
      <w:r>
        <w:t>Weil</w:t>
      </w:r>
      <w:proofErr w:type="spellEnd"/>
      <w:r>
        <w:t xml:space="preserve">, S. (1952). </w:t>
      </w:r>
      <w:proofErr w:type="spellStart"/>
      <w:r>
        <w:t>Gravity</w:t>
      </w:r>
      <w:proofErr w:type="spellEnd"/>
      <w:r>
        <w:t xml:space="preserve"> </w:t>
      </w:r>
      <w:proofErr w:type="spellStart"/>
      <w:r>
        <w:t>and</w:t>
      </w:r>
      <w:proofErr w:type="spellEnd"/>
      <w:r>
        <w:t xml:space="preserve"> </w:t>
      </w:r>
      <w:proofErr w:type="spellStart"/>
      <w:r>
        <w:t>Grace</w:t>
      </w:r>
      <w:proofErr w:type="spellEnd"/>
      <w:r>
        <w:t xml:space="preserve">. </w:t>
      </w:r>
      <w:proofErr w:type="spellStart"/>
      <w:r>
        <w:t>London</w:t>
      </w:r>
      <w:proofErr w:type="spellEnd"/>
      <w:r>
        <w:t xml:space="preserve">: </w:t>
      </w:r>
      <w:proofErr w:type="spellStart"/>
      <w:r>
        <w:t>Routledge</w:t>
      </w:r>
      <w:proofErr w:type="spellEnd"/>
      <w:r>
        <w:t>.</w:t>
      </w:r>
    </w:p>
    <w:p w14:paraId="1D6B2DC4" w14:textId="77777777" w:rsidR="007E0928" w:rsidRDefault="00845DB9">
      <w:pPr>
        <w:spacing w:after="140" w:line="300" w:lineRule="auto"/>
        <w:ind w:left="400" w:hanging="400"/>
        <w:jc w:val="both"/>
        <w:rPr>
          <w:rFonts w:cs="Arial"/>
        </w:rPr>
      </w:pPr>
      <w:r>
        <w:t xml:space="preserve">22. </w:t>
      </w:r>
      <w:proofErr w:type="spellStart"/>
      <w:r>
        <w:t>Buber</w:t>
      </w:r>
      <w:proofErr w:type="spellEnd"/>
      <w:r>
        <w:t xml:space="preserve">, M. (1970). I </w:t>
      </w:r>
      <w:proofErr w:type="spellStart"/>
      <w:r>
        <w:t>and</w:t>
      </w:r>
      <w:proofErr w:type="spellEnd"/>
      <w:r>
        <w:t xml:space="preserve"> </w:t>
      </w:r>
      <w:proofErr w:type="spellStart"/>
      <w:r>
        <w:t>Thou</w:t>
      </w:r>
      <w:proofErr w:type="spellEnd"/>
      <w:r>
        <w:t xml:space="preserve"> (W. </w:t>
      </w:r>
      <w:proofErr w:type="spellStart"/>
      <w:r>
        <w:t>Kaufmann</w:t>
      </w:r>
      <w:proofErr w:type="spellEnd"/>
      <w:r>
        <w:t xml:space="preserve">, </w:t>
      </w:r>
      <w:proofErr w:type="spellStart"/>
      <w:r>
        <w:t>Trans</w:t>
      </w:r>
      <w:proofErr w:type="spellEnd"/>
      <w:r>
        <w:t xml:space="preserve">.). </w:t>
      </w:r>
      <w:proofErr w:type="spellStart"/>
      <w:r>
        <w:t>New</w:t>
      </w:r>
      <w:proofErr w:type="spellEnd"/>
      <w:r>
        <w:t xml:space="preserve"> </w:t>
      </w:r>
      <w:proofErr w:type="spellStart"/>
      <w:r>
        <w:t>York</w:t>
      </w:r>
      <w:proofErr w:type="spellEnd"/>
      <w:r>
        <w:t xml:space="preserve">: </w:t>
      </w:r>
      <w:proofErr w:type="spellStart"/>
      <w:r>
        <w:t>Charles</w:t>
      </w:r>
      <w:proofErr w:type="spellEnd"/>
      <w:r>
        <w:t xml:space="preserve"> </w:t>
      </w:r>
      <w:proofErr w:type="spellStart"/>
      <w:r>
        <w:t>Scribner's</w:t>
      </w:r>
      <w:proofErr w:type="spellEnd"/>
      <w:r>
        <w:t xml:space="preserve"> </w:t>
      </w:r>
      <w:proofErr w:type="spellStart"/>
      <w:r>
        <w:t>Sons</w:t>
      </w:r>
      <w:proofErr w:type="spellEnd"/>
      <w:r>
        <w:t>.</w:t>
      </w:r>
    </w:p>
    <w:p w14:paraId="33C77D10" w14:textId="77777777" w:rsidR="007E0928" w:rsidRDefault="00845DB9">
      <w:pPr>
        <w:spacing w:before="240" w:after="120"/>
        <w:jc w:val="right"/>
        <w:rPr>
          <w:rFonts w:cs="Arial"/>
        </w:rPr>
      </w:pPr>
      <w:r>
        <w:rPr>
          <w:b/>
          <w:bCs/>
          <w:color w:val="1F6F6F"/>
          <w:sz w:val="26"/>
          <w:szCs w:val="26"/>
        </w:rPr>
        <w:t>ثالثاً: مراجع في التحليل النفسي وعلم النفس</w:t>
      </w:r>
    </w:p>
    <w:p w14:paraId="0715A5E2" w14:textId="77777777" w:rsidR="007E0928" w:rsidRDefault="00845DB9">
      <w:pPr>
        <w:spacing w:after="140" w:line="300" w:lineRule="auto"/>
        <w:ind w:left="400" w:hanging="400"/>
        <w:jc w:val="both"/>
        <w:rPr>
          <w:rFonts w:cs="Arial"/>
        </w:rPr>
      </w:pPr>
      <w:r>
        <w:t xml:space="preserve">9. </w:t>
      </w:r>
      <w:proofErr w:type="spellStart"/>
      <w:r>
        <w:t>Freud</w:t>
      </w:r>
      <w:proofErr w:type="spellEnd"/>
      <w:r>
        <w:t xml:space="preserve">, S. (1905). </w:t>
      </w:r>
      <w:proofErr w:type="spellStart"/>
      <w:r>
        <w:t>Three</w:t>
      </w:r>
      <w:proofErr w:type="spellEnd"/>
      <w:r>
        <w:t xml:space="preserve"> </w:t>
      </w:r>
      <w:proofErr w:type="spellStart"/>
      <w:r>
        <w:t>Essays</w:t>
      </w:r>
      <w:proofErr w:type="spellEnd"/>
      <w:r>
        <w:t xml:space="preserve"> </w:t>
      </w:r>
      <w:proofErr w:type="spellStart"/>
      <w:r>
        <w:t>on</w:t>
      </w:r>
      <w:proofErr w:type="spellEnd"/>
      <w:r>
        <w:t xml:space="preserve"> </w:t>
      </w:r>
      <w:proofErr w:type="spellStart"/>
      <w:r>
        <w:t>the</w:t>
      </w:r>
      <w:proofErr w:type="spellEnd"/>
      <w:r>
        <w:t xml:space="preserve"> </w:t>
      </w:r>
      <w:proofErr w:type="spellStart"/>
      <w:r>
        <w:t>Theory</w:t>
      </w:r>
      <w:proofErr w:type="spellEnd"/>
      <w:r>
        <w:t xml:space="preserve"> </w:t>
      </w:r>
      <w:proofErr w:type="spellStart"/>
      <w:r>
        <w:t>of</w:t>
      </w:r>
      <w:proofErr w:type="spellEnd"/>
      <w:r>
        <w:t xml:space="preserve"> </w:t>
      </w:r>
      <w:proofErr w:type="spellStart"/>
      <w:r>
        <w:t>Sexuality</w:t>
      </w:r>
      <w:proofErr w:type="spellEnd"/>
      <w:r>
        <w:t xml:space="preserve">. </w:t>
      </w:r>
      <w:proofErr w:type="spellStart"/>
      <w:r>
        <w:t>In</w:t>
      </w:r>
      <w:proofErr w:type="spellEnd"/>
      <w:r>
        <w:t xml:space="preserve"> </w:t>
      </w:r>
      <w:proofErr w:type="spellStart"/>
      <w:r>
        <w:t>The</w:t>
      </w:r>
      <w:proofErr w:type="spellEnd"/>
      <w:r>
        <w:t xml:space="preserve"> </w:t>
      </w:r>
      <w:proofErr w:type="spellStart"/>
      <w:r>
        <w:t>Standard</w:t>
      </w:r>
      <w:proofErr w:type="spellEnd"/>
      <w:r>
        <w:t xml:space="preserve"> </w:t>
      </w:r>
      <w:proofErr w:type="spellStart"/>
      <w:r>
        <w:t>Edition</w:t>
      </w:r>
      <w:proofErr w:type="spellEnd"/>
      <w:r>
        <w:t xml:space="preserve"> (</w:t>
      </w:r>
      <w:proofErr w:type="spellStart"/>
      <w:r>
        <w:t>Vol</w:t>
      </w:r>
      <w:proofErr w:type="spellEnd"/>
      <w:r>
        <w:t xml:space="preserve">. 7). </w:t>
      </w:r>
      <w:proofErr w:type="spellStart"/>
      <w:r>
        <w:t>London</w:t>
      </w:r>
      <w:proofErr w:type="spellEnd"/>
      <w:r>
        <w:t xml:space="preserve">: </w:t>
      </w:r>
      <w:proofErr w:type="spellStart"/>
      <w:r>
        <w:t>Hogarth</w:t>
      </w:r>
      <w:proofErr w:type="spellEnd"/>
      <w:r>
        <w:t xml:space="preserve"> </w:t>
      </w:r>
      <w:proofErr w:type="spellStart"/>
      <w:r>
        <w:t>Press</w:t>
      </w:r>
      <w:proofErr w:type="spellEnd"/>
      <w:r>
        <w:t>.</w:t>
      </w:r>
    </w:p>
    <w:p w14:paraId="6489851F" w14:textId="77777777" w:rsidR="007E0928" w:rsidRDefault="00845DB9">
      <w:pPr>
        <w:spacing w:after="140" w:line="300" w:lineRule="auto"/>
        <w:ind w:left="400" w:hanging="400"/>
        <w:jc w:val="both"/>
        <w:rPr>
          <w:rFonts w:cs="Arial"/>
        </w:rPr>
      </w:pPr>
      <w:r>
        <w:t xml:space="preserve">10. </w:t>
      </w:r>
      <w:proofErr w:type="spellStart"/>
      <w:r>
        <w:t>Fromm</w:t>
      </w:r>
      <w:proofErr w:type="spellEnd"/>
      <w:r>
        <w:t xml:space="preserve">, E. (1956). </w:t>
      </w:r>
      <w:proofErr w:type="spellStart"/>
      <w:r>
        <w:t>The</w:t>
      </w:r>
      <w:proofErr w:type="spellEnd"/>
      <w:r>
        <w:t xml:space="preserve"> </w:t>
      </w:r>
      <w:proofErr w:type="spellStart"/>
      <w:r>
        <w:t>Art</w:t>
      </w:r>
      <w:proofErr w:type="spellEnd"/>
      <w:r>
        <w:t xml:space="preserve"> </w:t>
      </w:r>
      <w:proofErr w:type="spellStart"/>
      <w:r>
        <w:t>of</w:t>
      </w:r>
      <w:proofErr w:type="spellEnd"/>
      <w:r>
        <w:t xml:space="preserve"> </w:t>
      </w:r>
      <w:proofErr w:type="spellStart"/>
      <w:r>
        <w:t>Loving</w:t>
      </w:r>
      <w:proofErr w:type="spellEnd"/>
      <w:r>
        <w:t xml:space="preserve">. </w:t>
      </w:r>
      <w:proofErr w:type="spellStart"/>
      <w:r>
        <w:t>New</w:t>
      </w:r>
      <w:proofErr w:type="spellEnd"/>
      <w:r>
        <w:t xml:space="preserve"> </w:t>
      </w:r>
      <w:proofErr w:type="spellStart"/>
      <w:r>
        <w:t>York</w:t>
      </w:r>
      <w:proofErr w:type="spellEnd"/>
      <w:r>
        <w:t xml:space="preserve">: </w:t>
      </w:r>
      <w:proofErr w:type="spellStart"/>
      <w:r>
        <w:t>Harper</w:t>
      </w:r>
      <w:proofErr w:type="spellEnd"/>
      <w:r>
        <w:t xml:space="preserve"> &amp; </w:t>
      </w:r>
      <w:proofErr w:type="spellStart"/>
      <w:r>
        <w:t>Row</w:t>
      </w:r>
      <w:proofErr w:type="spellEnd"/>
      <w:r>
        <w:t>.</w:t>
      </w:r>
    </w:p>
    <w:p w14:paraId="0AC4F50B" w14:textId="77777777" w:rsidR="007E0928" w:rsidRDefault="00845DB9">
      <w:pPr>
        <w:spacing w:after="140" w:line="300" w:lineRule="auto"/>
        <w:ind w:left="400" w:hanging="400"/>
        <w:jc w:val="both"/>
        <w:rPr>
          <w:rFonts w:cs="Arial"/>
        </w:rPr>
      </w:pPr>
      <w:r>
        <w:t xml:space="preserve">11. </w:t>
      </w:r>
      <w:proofErr w:type="spellStart"/>
      <w:r>
        <w:t>Bowlby</w:t>
      </w:r>
      <w:proofErr w:type="spellEnd"/>
      <w:r>
        <w:t xml:space="preserve">, J. (1969). </w:t>
      </w:r>
      <w:proofErr w:type="spellStart"/>
      <w:r>
        <w:t>Attachment</w:t>
      </w:r>
      <w:proofErr w:type="spellEnd"/>
      <w:r>
        <w:t xml:space="preserve"> </w:t>
      </w:r>
      <w:proofErr w:type="spellStart"/>
      <w:r>
        <w:t>and</w:t>
      </w:r>
      <w:proofErr w:type="spellEnd"/>
      <w:r>
        <w:t xml:space="preserve"> </w:t>
      </w:r>
      <w:proofErr w:type="spellStart"/>
      <w:r>
        <w:t>Loss</w:t>
      </w:r>
      <w:proofErr w:type="spellEnd"/>
      <w:r>
        <w:t xml:space="preserve">, </w:t>
      </w:r>
      <w:proofErr w:type="spellStart"/>
      <w:r>
        <w:t>Vol</w:t>
      </w:r>
      <w:proofErr w:type="spellEnd"/>
      <w:r>
        <w:t xml:space="preserve">. 1: </w:t>
      </w:r>
      <w:proofErr w:type="spellStart"/>
      <w:r>
        <w:t>Attachment</w:t>
      </w:r>
      <w:proofErr w:type="spellEnd"/>
      <w:r>
        <w:t xml:space="preserve">. </w:t>
      </w:r>
      <w:proofErr w:type="spellStart"/>
      <w:r>
        <w:t>New</w:t>
      </w:r>
      <w:proofErr w:type="spellEnd"/>
      <w:r>
        <w:t xml:space="preserve"> </w:t>
      </w:r>
      <w:proofErr w:type="spellStart"/>
      <w:r>
        <w:t>York</w:t>
      </w:r>
      <w:proofErr w:type="spellEnd"/>
      <w:r>
        <w:t xml:space="preserve">: </w:t>
      </w:r>
      <w:proofErr w:type="spellStart"/>
      <w:r>
        <w:t>Basic</w:t>
      </w:r>
      <w:proofErr w:type="spellEnd"/>
      <w:r>
        <w:t xml:space="preserve"> </w:t>
      </w:r>
      <w:proofErr w:type="spellStart"/>
      <w:r>
        <w:t>Books</w:t>
      </w:r>
      <w:proofErr w:type="spellEnd"/>
      <w:r>
        <w:t>.</w:t>
      </w:r>
    </w:p>
    <w:p w14:paraId="40F9675C" w14:textId="77777777" w:rsidR="007E0928" w:rsidRDefault="00845DB9">
      <w:pPr>
        <w:spacing w:after="140" w:line="300" w:lineRule="auto"/>
        <w:ind w:left="400" w:hanging="400"/>
        <w:jc w:val="both"/>
        <w:rPr>
          <w:rFonts w:cs="Arial"/>
        </w:rPr>
      </w:pPr>
      <w:r>
        <w:t xml:space="preserve">18. </w:t>
      </w:r>
      <w:proofErr w:type="spellStart"/>
      <w:r>
        <w:t>Sternberg</w:t>
      </w:r>
      <w:proofErr w:type="spellEnd"/>
      <w:r>
        <w:t xml:space="preserve">, R. J. (1986). A </w:t>
      </w:r>
      <w:proofErr w:type="spellStart"/>
      <w:r>
        <w:t>Triangular</w:t>
      </w:r>
      <w:proofErr w:type="spellEnd"/>
      <w:r>
        <w:t xml:space="preserve"> </w:t>
      </w:r>
      <w:proofErr w:type="spellStart"/>
      <w:r>
        <w:t>Theory</w:t>
      </w:r>
      <w:proofErr w:type="spellEnd"/>
      <w:r>
        <w:t xml:space="preserve"> </w:t>
      </w:r>
      <w:proofErr w:type="spellStart"/>
      <w:r>
        <w:t>of</w:t>
      </w:r>
      <w:proofErr w:type="spellEnd"/>
      <w:r>
        <w:t xml:space="preserve"> </w:t>
      </w:r>
      <w:proofErr w:type="spellStart"/>
      <w:r>
        <w:t>Love</w:t>
      </w:r>
      <w:proofErr w:type="spellEnd"/>
      <w:r>
        <w:t xml:space="preserve">. </w:t>
      </w:r>
      <w:proofErr w:type="spellStart"/>
      <w:r>
        <w:t>Psychological</w:t>
      </w:r>
      <w:proofErr w:type="spellEnd"/>
      <w:r>
        <w:t xml:space="preserve"> </w:t>
      </w:r>
      <w:proofErr w:type="spellStart"/>
      <w:r>
        <w:t>Review</w:t>
      </w:r>
      <w:proofErr w:type="spellEnd"/>
      <w:r>
        <w:t>, 93(2), 119–135.</w:t>
      </w:r>
    </w:p>
    <w:p w14:paraId="3AFF0F63" w14:textId="77777777" w:rsidR="007E0928" w:rsidRDefault="00845DB9">
      <w:pPr>
        <w:spacing w:after="140" w:line="300" w:lineRule="auto"/>
        <w:ind w:left="400" w:hanging="400"/>
        <w:jc w:val="both"/>
        <w:rPr>
          <w:rFonts w:cs="Arial"/>
        </w:rPr>
      </w:pPr>
      <w:r>
        <w:t xml:space="preserve">19. </w:t>
      </w:r>
      <w:proofErr w:type="spellStart"/>
      <w:r>
        <w:t>Hazan</w:t>
      </w:r>
      <w:proofErr w:type="spellEnd"/>
      <w:r>
        <w:t xml:space="preserve">, C., &amp; </w:t>
      </w:r>
      <w:proofErr w:type="spellStart"/>
      <w:r>
        <w:t>Shaver</w:t>
      </w:r>
      <w:proofErr w:type="spellEnd"/>
      <w:r>
        <w:t xml:space="preserve">, P. (1987). </w:t>
      </w:r>
      <w:proofErr w:type="spellStart"/>
      <w:r>
        <w:t>Romantic</w:t>
      </w:r>
      <w:proofErr w:type="spellEnd"/>
      <w:r>
        <w:t xml:space="preserve"> </w:t>
      </w:r>
      <w:proofErr w:type="spellStart"/>
      <w:r>
        <w:t>Love</w:t>
      </w:r>
      <w:proofErr w:type="spellEnd"/>
      <w:r>
        <w:t xml:space="preserve"> </w:t>
      </w:r>
      <w:proofErr w:type="spellStart"/>
      <w:r>
        <w:t>Conceptualized</w:t>
      </w:r>
      <w:proofErr w:type="spellEnd"/>
      <w:r>
        <w:t xml:space="preserve"> </w:t>
      </w:r>
      <w:proofErr w:type="spellStart"/>
      <w:r>
        <w:t>as</w:t>
      </w:r>
      <w:proofErr w:type="spellEnd"/>
      <w:r>
        <w:t xml:space="preserve"> </w:t>
      </w:r>
      <w:proofErr w:type="spellStart"/>
      <w:r>
        <w:t>an</w:t>
      </w:r>
      <w:proofErr w:type="spellEnd"/>
      <w:r>
        <w:t xml:space="preserve"> </w:t>
      </w:r>
      <w:proofErr w:type="spellStart"/>
      <w:r>
        <w:t>Attachment</w:t>
      </w:r>
      <w:proofErr w:type="spellEnd"/>
      <w:r>
        <w:t xml:space="preserve"> </w:t>
      </w:r>
      <w:proofErr w:type="spellStart"/>
      <w:r>
        <w:t>Process</w:t>
      </w:r>
      <w:proofErr w:type="spellEnd"/>
      <w:r>
        <w:t xml:space="preserve">. </w:t>
      </w:r>
      <w:proofErr w:type="spellStart"/>
      <w:r>
        <w:t>Journal</w:t>
      </w:r>
      <w:proofErr w:type="spellEnd"/>
      <w:r>
        <w:t xml:space="preserve"> </w:t>
      </w:r>
      <w:proofErr w:type="spellStart"/>
      <w:r>
        <w:t>of</w:t>
      </w:r>
      <w:proofErr w:type="spellEnd"/>
      <w:r>
        <w:t xml:space="preserve"> </w:t>
      </w:r>
      <w:proofErr w:type="spellStart"/>
      <w:r>
        <w:t>Personality</w:t>
      </w:r>
      <w:proofErr w:type="spellEnd"/>
      <w:r>
        <w:t xml:space="preserve"> </w:t>
      </w:r>
      <w:proofErr w:type="spellStart"/>
      <w:r>
        <w:t>and</w:t>
      </w:r>
      <w:proofErr w:type="spellEnd"/>
      <w:r>
        <w:t xml:space="preserve"> </w:t>
      </w:r>
      <w:proofErr w:type="spellStart"/>
      <w:r>
        <w:t>Social</w:t>
      </w:r>
      <w:proofErr w:type="spellEnd"/>
      <w:r>
        <w:t xml:space="preserve"> </w:t>
      </w:r>
      <w:proofErr w:type="spellStart"/>
      <w:r>
        <w:t>Psychology</w:t>
      </w:r>
      <w:proofErr w:type="spellEnd"/>
      <w:r>
        <w:t>, 52(3), 511–524.</w:t>
      </w:r>
    </w:p>
    <w:p w14:paraId="65FE1012" w14:textId="77777777" w:rsidR="007E0928" w:rsidRDefault="00845DB9">
      <w:pPr>
        <w:spacing w:after="140" w:line="300" w:lineRule="auto"/>
        <w:ind w:left="400" w:hanging="400"/>
        <w:jc w:val="both"/>
        <w:rPr>
          <w:rFonts w:cs="Arial"/>
        </w:rPr>
      </w:pPr>
      <w:r>
        <w:t xml:space="preserve">20. </w:t>
      </w:r>
      <w:proofErr w:type="spellStart"/>
      <w:r>
        <w:t>Kohut</w:t>
      </w:r>
      <w:proofErr w:type="spellEnd"/>
      <w:r>
        <w:t xml:space="preserve">, H. (1971). </w:t>
      </w:r>
      <w:proofErr w:type="spellStart"/>
      <w:r>
        <w:t>The</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Self</w:t>
      </w:r>
      <w:proofErr w:type="spellEnd"/>
      <w:r>
        <w:t xml:space="preserve">. </w:t>
      </w:r>
      <w:proofErr w:type="spellStart"/>
      <w:r>
        <w:t>New</w:t>
      </w:r>
      <w:proofErr w:type="spellEnd"/>
      <w:r>
        <w:t xml:space="preserve"> </w:t>
      </w:r>
      <w:proofErr w:type="spellStart"/>
      <w:r>
        <w:t>York</w:t>
      </w:r>
      <w:proofErr w:type="spellEnd"/>
      <w:r>
        <w:t xml:space="preserve">: </w:t>
      </w:r>
      <w:proofErr w:type="spellStart"/>
      <w:r>
        <w:t>International</w:t>
      </w:r>
      <w:proofErr w:type="spellEnd"/>
      <w:r>
        <w:t xml:space="preserve"> </w:t>
      </w:r>
      <w:proofErr w:type="spellStart"/>
      <w:r>
        <w:t>Universities</w:t>
      </w:r>
      <w:proofErr w:type="spellEnd"/>
      <w:r>
        <w:t xml:space="preserve"> </w:t>
      </w:r>
      <w:proofErr w:type="spellStart"/>
      <w:r>
        <w:t>Press</w:t>
      </w:r>
      <w:proofErr w:type="spellEnd"/>
      <w:r>
        <w:t>.</w:t>
      </w:r>
    </w:p>
    <w:p w14:paraId="5EBB6AD6" w14:textId="77777777" w:rsidR="007E0928" w:rsidRDefault="00845DB9">
      <w:pPr>
        <w:spacing w:after="140" w:line="300" w:lineRule="auto"/>
        <w:ind w:left="400" w:hanging="400"/>
        <w:jc w:val="both"/>
        <w:rPr>
          <w:rFonts w:cs="Arial"/>
        </w:rPr>
      </w:pPr>
      <w:r>
        <w:t xml:space="preserve">21. </w:t>
      </w:r>
      <w:proofErr w:type="spellStart"/>
      <w:r>
        <w:t>Frankl</w:t>
      </w:r>
      <w:proofErr w:type="spellEnd"/>
      <w:r>
        <w:t xml:space="preserve">, V. E. (1959). </w:t>
      </w:r>
      <w:proofErr w:type="spellStart"/>
      <w:r>
        <w:t>Man's</w:t>
      </w:r>
      <w:proofErr w:type="spellEnd"/>
      <w:r>
        <w:t xml:space="preserve"> </w:t>
      </w:r>
      <w:proofErr w:type="spellStart"/>
      <w:r>
        <w:t>Search</w:t>
      </w:r>
      <w:proofErr w:type="spellEnd"/>
      <w:r>
        <w:t xml:space="preserve"> </w:t>
      </w:r>
      <w:proofErr w:type="spellStart"/>
      <w:r>
        <w:t>for</w:t>
      </w:r>
      <w:proofErr w:type="spellEnd"/>
      <w:r>
        <w:t xml:space="preserve"> </w:t>
      </w:r>
      <w:proofErr w:type="spellStart"/>
      <w:r>
        <w:t>Meaning</w:t>
      </w:r>
      <w:proofErr w:type="spellEnd"/>
      <w:r>
        <w:t xml:space="preserve">. </w:t>
      </w:r>
      <w:proofErr w:type="spellStart"/>
      <w:r>
        <w:t>Boston</w:t>
      </w:r>
      <w:proofErr w:type="spellEnd"/>
      <w:r>
        <w:t xml:space="preserve">: </w:t>
      </w:r>
      <w:proofErr w:type="spellStart"/>
      <w:r>
        <w:t>Beacon</w:t>
      </w:r>
      <w:proofErr w:type="spellEnd"/>
      <w:r>
        <w:t xml:space="preserve"> </w:t>
      </w:r>
      <w:proofErr w:type="spellStart"/>
      <w:r>
        <w:t>Press</w:t>
      </w:r>
      <w:proofErr w:type="spellEnd"/>
      <w:r>
        <w:t>.</w:t>
      </w:r>
    </w:p>
    <w:p w14:paraId="56FE8DF3" w14:textId="77777777" w:rsidR="007E0928" w:rsidRDefault="00845DB9">
      <w:pPr>
        <w:spacing w:before="240" w:after="120"/>
        <w:jc w:val="right"/>
        <w:rPr>
          <w:rFonts w:cs="Arial"/>
        </w:rPr>
      </w:pPr>
      <w:r>
        <w:rPr>
          <w:b/>
          <w:bCs/>
          <w:color w:val="1F6F6F"/>
          <w:sz w:val="26"/>
          <w:szCs w:val="26"/>
        </w:rPr>
        <w:t>رابعاً: مراجع في علم الأعصاب وعلم النفس الفسيولوجي</w:t>
      </w:r>
    </w:p>
    <w:p w14:paraId="7E9886EE" w14:textId="77777777" w:rsidR="007E0928" w:rsidRDefault="00845DB9">
      <w:pPr>
        <w:spacing w:after="140" w:line="300" w:lineRule="auto"/>
        <w:ind w:left="400" w:hanging="400"/>
        <w:jc w:val="both"/>
        <w:rPr>
          <w:rFonts w:cs="Arial"/>
        </w:rPr>
      </w:pPr>
      <w:r>
        <w:t xml:space="preserve">12. </w:t>
      </w:r>
      <w:proofErr w:type="spellStart"/>
      <w:r>
        <w:t>Panksepp</w:t>
      </w:r>
      <w:proofErr w:type="spellEnd"/>
      <w:r>
        <w:t xml:space="preserve">, J. (1998). </w:t>
      </w:r>
      <w:proofErr w:type="spellStart"/>
      <w:r>
        <w:t>Affective</w:t>
      </w:r>
      <w:proofErr w:type="spellEnd"/>
      <w:r>
        <w:t xml:space="preserve"> </w:t>
      </w:r>
      <w:proofErr w:type="spellStart"/>
      <w:r>
        <w:t>Neuroscience</w:t>
      </w:r>
      <w:proofErr w:type="spellEnd"/>
      <w:r>
        <w:t xml:space="preserve">: </w:t>
      </w:r>
      <w:proofErr w:type="spellStart"/>
      <w:r>
        <w:t>The</w:t>
      </w:r>
      <w:proofErr w:type="spellEnd"/>
      <w:r>
        <w:t xml:space="preserve"> </w:t>
      </w:r>
      <w:proofErr w:type="spellStart"/>
      <w:r>
        <w:t>Foundations</w:t>
      </w:r>
      <w:proofErr w:type="spellEnd"/>
      <w:r>
        <w:t xml:space="preserve"> </w:t>
      </w:r>
      <w:proofErr w:type="spellStart"/>
      <w:r>
        <w:t>of</w:t>
      </w:r>
      <w:proofErr w:type="spellEnd"/>
      <w:r>
        <w:t xml:space="preserve"> </w:t>
      </w:r>
      <w:proofErr w:type="spellStart"/>
      <w:r>
        <w:t>Human</w:t>
      </w:r>
      <w:proofErr w:type="spellEnd"/>
      <w:r>
        <w:t xml:space="preserve"> </w:t>
      </w:r>
      <w:proofErr w:type="spellStart"/>
      <w:r>
        <w:t>and</w:t>
      </w:r>
      <w:proofErr w:type="spellEnd"/>
      <w:r>
        <w:t xml:space="preserve"> </w:t>
      </w:r>
      <w:proofErr w:type="spellStart"/>
      <w:r>
        <w:t>Animal</w:t>
      </w:r>
      <w:proofErr w:type="spellEnd"/>
      <w:r>
        <w:t xml:space="preserve"> </w:t>
      </w:r>
      <w:proofErr w:type="spellStart"/>
      <w:r>
        <w:t>Emotions</w:t>
      </w:r>
      <w:proofErr w:type="spellEnd"/>
      <w:r>
        <w:t xml:space="preserve">. </w:t>
      </w:r>
      <w:proofErr w:type="spellStart"/>
      <w:r>
        <w:t>Oxford</w:t>
      </w:r>
      <w:proofErr w:type="spellEnd"/>
      <w:r>
        <w:t xml:space="preserve">: </w:t>
      </w:r>
      <w:proofErr w:type="spellStart"/>
      <w:r>
        <w:t>Oxford</w:t>
      </w:r>
      <w:proofErr w:type="spellEnd"/>
      <w:r>
        <w:t xml:space="preserve"> </w:t>
      </w:r>
      <w:proofErr w:type="spellStart"/>
      <w:r>
        <w:t>University</w:t>
      </w:r>
      <w:proofErr w:type="spellEnd"/>
      <w:r>
        <w:t xml:space="preserve"> </w:t>
      </w:r>
      <w:proofErr w:type="spellStart"/>
      <w:r>
        <w:t>Press</w:t>
      </w:r>
      <w:proofErr w:type="spellEnd"/>
      <w:r>
        <w:t>.</w:t>
      </w:r>
    </w:p>
    <w:p w14:paraId="3C7D48A1" w14:textId="77777777" w:rsidR="007E0928" w:rsidRDefault="00845DB9">
      <w:pPr>
        <w:spacing w:after="140" w:line="300" w:lineRule="auto"/>
        <w:ind w:left="400" w:hanging="400"/>
        <w:jc w:val="both"/>
        <w:rPr>
          <w:rFonts w:cs="Arial"/>
        </w:rPr>
      </w:pPr>
      <w:r>
        <w:t xml:space="preserve">13. </w:t>
      </w:r>
      <w:proofErr w:type="spellStart"/>
      <w:r>
        <w:t>Siegel</w:t>
      </w:r>
      <w:proofErr w:type="spellEnd"/>
      <w:r>
        <w:t xml:space="preserve">, D. J. (2007). </w:t>
      </w:r>
      <w:proofErr w:type="spellStart"/>
      <w:r>
        <w:t>The</w:t>
      </w:r>
      <w:proofErr w:type="spellEnd"/>
      <w:r>
        <w:t xml:space="preserve"> </w:t>
      </w:r>
      <w:proofErr w:type="spellStart"/>
      <w:r>
        <w:t>Mindful</w:t>
      </w:r>
      <w:proofErr w:type="spellEnd"/>
      <w:r>
        <w:t xml:space="preserve"> </w:t>
      </w:r>
      <w:proofErr w:type="spellStart"/>
      <w:r>
        <w:t>Brain</w:t>
      </w:r>
      <w:proofErr w:type="spellEnd"/>
      <w:r>
        <w:t xml:space="preserve">: </w:t>
      </w:r>
      <w:proofErr w:type="spellStart"/>
      <w:r>
        <w:t>Reflection</w:t>
      </w:r>
      <w:proofErr w:type="spellEnd"/>
      <w:r>
        <w:t xml:space="preserve"> </w:t>
      </w:r>
      <w:proofErr w:type="spellStart"/>
      <w:r>
        <w:t>and</w:t>
      </w:r>
      <w:proofErr w:type="spellEnd"/>
      <w:r>
        <w:t xml:space="preserve"> </w:t>
      </w:r>
      <w:proofErr w:type="spellStart"/>
      <w:r>
        <w:t>Attunement</w:t>
      </w:r>
      <w:proofErr w:type="spellEnd"/>
      <w:r>
        <w:t xml:space="preserve"> </w:t>
      </w:r>
      <w:proofErr w:type="spellStart"/>
      <w:r>
        <w:t>in</w:t>
      </w:r>
      <w:proofErr w:type="spellEnd"/>
      <w:r>
        <w:t xml:space="preserve"> </w:t>
      </w:r>
      <w:proofErr w:type="spellStart"/>
      <w:r>
        <w:t>the</w:t>
      </w:r>
      <w:proofErr w:type="spellEnd"/>
      <w:r>
        <w:t xml:space="preserve"> </w:t>
      </w:r>
      <w:proofErr w:type="spellStart"/>
      <w:r>
        <w:t>Cultivation</w:t>
      </w:r>
      <w:proofErr w:type="spellEnd"/>
      <w:r>
        <w:t xml:space="preserve"> </w:t>
      </w:r>
      <w:proofErr w:type="spellStart"/>
      <w:r>
        <w:t>of</w:t>
      </w:r>
      <w:proofErr w:type="spellEnd"/>
      <w:r>
        <w:t xml:space="preserve"> </w:t>
      </w:r>
      <w:proofErr w:type="spellStart"/>
      <w:r>
        <w:t>Well-Being</w:t>
      </w:r>
      <w:proofErr w:type="spellEnd"/>
      <w:r>
        <w:t xml:space="preserve">. </w:t>
      </w:r>
      <w:proofErr w:type="spellStart"/>
      <w:r>
        <w:t>New</w:t>
      </w:r>
      <w:proofErr w:type="spellEnd"/>
      <w:r>
        <w:t xml:space="preserve"> </w:t>
      </w:r>
      <w:proofErr w:type="spellStart"/>
      <w:r>
        <w:t>York</w:t>
      </w:r>
      <w:proofErr w:type="spellEnd"/>
      <w:r>
        <w:t xml:space="preserve">: W. W. </w:t>
      </w:r>
      <w:proofErr w:type="spellStart"/>
      <w:r>
        <w:t>Norton</w:t>
      </w:r>
      <w:proofErr w:type="spellEnd"/>
      <w:r>
        <w:t xml:space="preserve"> &amp; </w:t>
      </w:r>
      <w:proofErr w:type="spellStart"/>
      <w:r>
        <w:t>Company</w:t>
      </w:r>
      <w:proofErr w:type="spellEnd"/>
      <w:r>
        <w:t>.</w:t>
      </w:r>
    </w:p>
    <w:p w14:paraId="2D581F2F" w14:textId="77777777" w:rsidR="007E0928" w:rsidRDefault="00845DB9">
      <w:pPr>
        <w:spacing w:before="240" w:after="120"/>
        <w:jc w:val="right"/>
        <w:rPr>
          <w:rFonts w:cs="Arial"/>
        </w:rPr>
      </w:pPr>
      <w:r>
        <w:rPr>
          <w:b/>
          <w:bCs/>
          <w:color w:val="1F6F6F"/>
          <w:sz w:val="26"/>
          <w:szCs w:val="26"/>
        </w:rPr>
        <w:t>خامساً: مراجع في التراث الإسلامي والتصوف</w:t>
      </w:r>
    </w:p>
    <w:p w14:paraId="28B1079F" w14:textId="77777777" w:rsidR="007E0928" w:rsidRDefault="00845DB9">
      <w:pPr>
        <w:spacing w:after="140" w:line="300" w:lineRule="auto"/>
        <w:ind w:left="400" w:hanging="400"/>
        <w:jc w:val="both"/>
        <w:rPr>
          <w:rFonts w:cs="Arial"/>
        </w:rPr>
      </w:pPr>
      <w:r>
        <w:t>14. القرآن الكريم.</w:t>
      </w:r>
    </w:p>
    <w:p w14:paraId="2A7E256C" w14:textId="77777777" w:rsidR="007E0928" w:rsidRDefault="00845DB9">
      <w:pPr>
        <w:spacing w:after="140" w:line="300" w:lineRule="auto"/>
        <w:ind w:left="400" w:hanging="400"/>
        <w:jc w:val="both"/>
        <w:rPr>
          <w:rFonts w:cs="Arial"/>
        </w:rPr>
      </w:pPr>
      <w:r>
        <w:t>15. الغزالي، أبو حامد. (د.ت.). إحياء علوم الدين. بيروت: دار المعرفة.</w:t>
      </w:r>
    </w:p>
    <w:p w14:paraId="446E5EBA" w14:textId="77777777" w:rsidR="007E0928" w:rsidRDefault="00845DB9">
      <w:pPr>
        <w:spacing w:after="140" w:line="300" w:lineRule="auto"/>
        <w:ind w:left="400" w:hanging="400"/>
        <w:jc w:val="both"/>
        <w:rPr>
          <w:rFonts w:cs="Arial"/>
        </w:rPr>
      </w:pPr>
      <w:r>
        <w:t>16. ابن القيم الجوزية. (د.ت.). مدارج السالكين بين منازل إياك نعبد وإياك نستعين. تحقيق: محمد حامد الفقي. بيروت: دار الكتاب العربي.</w:t>
      </w:r>
    </w:p>
    <w:p w14:paraId="5934CBC7" w14:textId="77777777" w:rsidR="007E0928" w:rsidRDefault="00845DB9">
      <w:pPr>
        <w:spacing w:after="140" w:line="300" w:lineRule="auto"/>
        <w:ind w:left="400" w:hanging="400"/>
        <w:jc w:val="both"/>
        <w:rPr>
          <w:rFonts w:cs="Arial"/>
        </w:rPr>
      </w:pPr>
      <w:r>
        <w:t>17. ابن عربي، محيي الدين. (د.ت.). الفتوحات المكية. بيروت: دار صادر.</w:t>
      </w:r>
    </w:p>
    <w:sectPr w:rsidR="007E092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2F397" w14:textId="77777777" w:rsidR="00EF315D" w:rsidRDefault="00EF315D">
      <w:pPr>
        <w:rPr>
          <w:rFonts w:cs="Arial"/>
        </w:rPr>
      </w:pPr>
      <w:r>
        <w:separator/>
      </w:r>
    </w:p>
  </w:endnote>
  <w:endnote w:type="continuationSeparator" w:id="0">
    <w:p w14:paraId="292D6AC5" w14:textId="77777777" w:rsidR="00EF315D" w:rsidRDefault="00EF315D">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EA2F" w14:textId="77777777" w:rsidR="007E0928" w:rsidRDefault="00845DB9">
    <w:pPr>
      <w:jc w:val="center"/>
      <w:rPr>
        <w:rFonts w:cs="Arial"/>
      </w:rPr>
    </w:pPr>
    <w:r>
      <w:rPr>
        <w:color w:val="1B3A5C"/>
        <w:sz w:val="20"/>
        <w:szCs w:val="20"/>
      </w:rPr>
      <w:fldChar w:fldCharType="begin"/>
    </w:r>
    <w:r>
      <w:rPr>
        <w:color w:val="1B3A5C"/>
        <w:sz w:val="20"/>
        <w:szCs w:val="20"/>
      </w:rPr>
      <w:instrText>PAGE</w:instrText>
    </w:r>
    <w:r>
      <w:rPr>
        <w:color w:val="1B3A5C"/>
        <w:sz w:val="20"/>
        <w:szCs w:val="20"/>
      </w:rPr>
      <w:fldChar w:fldCharType="separate"/>
    </w:r>
    <w:r>
      <w:rPr>
        <w:color w:val="1B3A5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4FED5" w14:textId="77777777" w:rsidR="00EF315D" w:rsidRDefault="00EF315D">
      <w:pPr>
        <w:rPr>
          <w:rFonts w:cs="Arial"/>
        </w:rPr>
      </w:pPr>
      <w:r>
        <w:separator/>
      </w:r>
    </w:p>
  </w:footnote>
  <w:footnote w:type="continuationSeparator" w:id="0">
    <w:p w14:paraId="2E1129D3" w14:textId="77777777" w:rsidR="00EF315D" w:rsidRDefault="00EF315D">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804B" w14:textId="77777777" w:rsidR="007E0928" w:rsidRDefault="00845DB9">
    <w:pPr>
      <w:pBdr>
        <w:bottom w:val="single" w:sz="4" w:space="4" w:color="B8860B"/>
      </w:pBdr>
      <w:jc w:val="center"/>
      <w:rPr>
        <w:rFonts w:cs="Arial"/>
      </w:rPr>
    </w:pPr>
    <w:r>
      <w:rPr>
        <w:color w:val="1F6F6F"/>
        <w:sz w:val="18"/>
        <w:szCs w:val="18"/>
      </w:rPr>
      <w:t>علم النفس الاستخلافي — دراسة الحب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673A"/>
    <w:multiLevelType w:val="hybridMultilevel"/>
    <w:tmpl w:val="FFFFFFFF"/>
    <w:lvl w:ilvl="0" w:tplc="D4767098">
      <w:start w:val="1"/>
      <w:numFmt w:val="bullet"/>
      <w:lvlText w:val="●"/>
      <w:lvlJc w:val="left"/>
      <w:pPr>
        <w:ind w:left="720" w:hanging="360"/>
      </w:pPr>
    </w:lvl>
    <w:lvl w:ilvl="1" w:tplc="04B6160E">
      <w:start w:val="1"/>
      <w:numFmt w:val="bullet"/>
      <w:lvlText w:val="○"/>
      <w:lvlJc w:val="left"/>
      <w:pPr>
        <w:ind w:left="1440" w:hanging="360"/>
      </w:pPr>
    </w:lvl>
    <w:lvl w:ilvl="2" w:tplc="9C0E324C">
      <w:start w:val="1"/>
      <w:numFmt w:val="bullet"/>
      <w:lvlText w:val="■"/>
      <w:lvlJc w:val="left"/>
      <w:pPr>
        <w:ind w:left="2160" w:hanging="360"/>
      </w:pPr>
    </w:lvl>
    <w:lvl w:ilvl="3" w:tplc="ED266C52">
      <w:start w:val="1"/>
      <w:numFmt w:val="bullet"/>
      <w:lvlText w:val="●"/>
      <w:lvlJc w:val="left"/>
      <w:pPr>
        <w:ind w:left="2880" w:hanging="360"/>
      </w:pPr>
    </w:lvl>
    <w:lvl w:ilvl="4" w:tplc="0058A852">
      <w:start w:val="1"/>
      <w:numFmt w:val="bullet"/>
      <w:lvlText w:val="○"/>
      <w:lvlJc w:val="left"/>
      <w:pPr>
        <w:ind w:left="3600" w:hanging="360"/>
      </w:pPr>
    </w:lvl>
    <w:lvl w:ilvl="5" w:tplc="D0E2FCD8">
      <w:start w:val="1"/>
      <w:numFmt w:val="bullet"/>
      <w:lvlText w:val="■"/>
      <w:lvlJc w:val="left"/>
      <w:pPr>
        <w:ind w:left="4320" w:hanging="360"/>
      </w:pPr>
    </w:lvl>
    <w:lvl w:ilvl="6" w:tplc="8FDC87EE">
      <w:start w:val="1"/>
      <w:numFmt w:val="bullet"/>
      <w:lvlText w:val="●"/>
      <w:lvlJc w:val="left"/>
      <w:pPr>
        <w:ind w:left="5040" w:hanging="360"/>
      </w:pPr>
    </w:lvl>
    <w:lvl w:ilvl="7" w:tplc="37E2627C">
      <w:start w:val="1"/>
      <w:numFmt w:val="bullet"/>
      <w:lvlText w:val="●"/>
      <w:lvlJc w:val="left"/>
      <w:pPr>
        <w:ind w:left="5760" w:hanging="360"/>
      </w:pPr>
    </w:lvl>
    <w:lvl w:ilvl="8" w:tplc="BAC48D14">
      <w:start w:val="1"/>
      <w:numFmt w:val="bullet"/>
      <w:lvlText w:val="●"/>
      <w:lvlJc w:val="left"/>
      <w:pPr>
        <w:ind w:left="6480" w:hanging="360"/>
      </w:pPr>
    </w:lvl>
  </w:abstractNum>
  <w:num w:numId="1" w16cid:durableId="187526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28"/>
    <w:rsid w:val="00341FEA"/>
    <w:rsid w:val="00386CBB"/>
    <w:rsid w:val="007C115C"/>
    <w:rsid w:val="007E0928"/>
    <w:rsid w:val="00845DB9"/>
    <w:rsid w:val="00C87C48"/>
    <w:rsid w:val="00D44DBE"/>
    <w:rsid w:val="00EF31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DD941E6"/>
  <w15:docId w15:val="{FFAEC385-CEEE-5C42-A59A-A95B9D17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before="480" w:after="240"/>
      <w:outlineLvl w:val="0"/>
    </w:pPr>
    <w:rPr>
      <w:b/>
      <w:bCs/>
      <w:color w:val="1B3A5C"/>
      <w:sz w:val="34"/>
      <w:szCs w:val="34"/>
    </w:rPr>
  </w:style>
  <w:style w:type="paragraph" w:styleId="2">
    <w:name w:val="heading 2"/>
    <w:uiPriority w:val="9"/>
    <w:unhideWhenUsed/>
    <w:qFormat/>
    <w:pPr>
      <w:spacing w:before="320" w:after="160"/>
      <w:outlineLvl w:val="1"/>
    </w:pPr>
    <w:rPr>
      <w:b/>
      <w:bCs/>
      <w:color w:val="1F6F6F"/>
      <w:sz w:val="30"/>
      <w:szCs w:val="30"/>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4919</Words>
  <Characters>28042</Characters>
  <Application>Microsoft Office Word</Application>
  <DocSecurity>0</DocSecurity>
  <Lines>233</Lines>
  <Paragraphs>65</Paragraphs>
  <ScaleCrop>false</ScaleCrop>
  <Company/>
  <LinksUpToDate>false</LinksUpToDate>
  <CharactersWithSpaces>32896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 الفاقة الأصلية إلى سكينة المحبة: نحو نظرية استخلافية للحب</dc:title>
  <dc:creator>عبد السلام الزراع</dc:creator>
  <cp:lastModifiedBy>zaraaabdesslem@gmail.com</cp:lastModifiedBy>
  <cp:revision>3</cp:revision>
  <dcterms:created xsi:type="dcterms:W3CDTF">2026-07-11T01:39:00Z</dcterms:created>
  <dcterms:modified xsi:type="dcterms:W3CDTF">2026-07-11T09:21:00Z</dcterms:modified>
</cp:coreProperties>
</file>