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 w:after="300"/>
      </w:pPr>
    </w:p>
    <w:p>
      <w:pPr>
        <w:bidi/>
        <w:spacing w:before="80" w:after="60"/>
        <w:jc w:val="center"/>
      </w:pPr>
      <w:r>
        <w:rPr>
          <w:rFonts w:ascii="Arial" w:cs="Arial" w:eastAsia="Arial" w:hAnsi="Arial"/>
          <w:b/>
          <w:bCs/>
          <w:color w:val="8B6914"/>
          <w:sz w:val="26"/>
          <w:szCs w:val="26"/>
        </w:rPr>
        <w:t xml:space="preserve">الجزء الأول — المقدمة</w:t>
      </w:r>
    </w:p>
    <w:p>
      <w:pPr>
        <w:bidi/>
        <w:spacing w:before="60" w:after="60"/>
        <w:jc w:val="center"/>
      </w:pPr>
      <w:r>
        <w:rPr>
          <w:rFonts w:ascii="Arial" w:cs="Arial" w:eastAsia="Arial" w:hAnsi="Arial"/>
          <w:color w:val="666666"/>
          <w:sz w:val="32"/>
          <w:szCs w:val="32"/>
        </w:rPr>
        <w:t xml:space="preserve">الفصل الثالث</w:t>
      </w:r>
    </w:p>
    <w:p>
      <w:pPr>
        <w:bidi/>
        <w:spacing w:before="60" w:after="60"/>
        <w:jc w:val="center"/>
      </w:pPr>
      <w:r>
        <w:rPr>
          <w:rFonts w:ascii="Arial" w:cs="Arial" w:eastAsia="Arial" w:hAnsi="Arial"/>
          <w:b/>
          <w:bCs/>
          <w:color w:val="1A3C5E"/>
          <w:sz w:val="50"/>
          <w:szCs w:val="50"/>
        </w:rPr>
        <w:t xml:space="preserve">البدائل الغربية في مواجهة الأزمة الرقمية</w:t>
      </w:r>
    </w:p>
    <w:p>
      <w:pPr>
        <w:bidi/>
        <w:spacing w:before="60" w:after="60"/>
        <w:jc w:val="center"/>
      </w:pPr>
      <w:r>
        <w:rPr>
          <w:rFonts w:ascii="Arial" w:cs="Arial" w:eastAsia="Arial" w:hAnsi="Arial"/>
          <w:b/>
          <w:bCs/>
          <w:color w:val="2E6DA4"/>
          <w:sz w:val="30"/>
          <w:szCs w:val="30"/>
        </w:rPr>
        <w:t xml:space="preserve">نقد مسهب لمناهج العلاج وتحديد سقوفها القصوى</w:t>
      </w:r>
    </w:p>
    <w:p>
      <w:pPr>
        <w:pBdr>
          <w:bottom w:val="single" w:color="B8860B" w:sz="8" w:space="1"/>
        </w:pBdr>
        <w:spacing w:before="60" w:after="400"/>
        <w:jc w:val="center"/>
      </w:pPr>
      <w:r>
        <w:rPr>
          <w:rFonts w:ascii="Arial" w:cs="Arial" w:eastAsia="Arial" w:hAnsi="Arial"/>
          <w:color w:val="8B6914"/>
          <w:sz w:val="22"/>
          <w:szCs w:val="22"/>
        </w:rPr>
        <w:t xml:space="preserve">لماذا تصل كل المقاربات الغربية إلى جدار لا تستطيع اختراقه؟</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وَمَن يَعْشُ عَن ذِكْرِ الرَّحْمَٰنِ نُقَيِّضْ لَهُ شَيْطَانًا فَهُوَ لَهُ قَرِينٌ ۝ وَإِنَّهُمْ لَيَصُدُّونَهُمْ عَنِ السَّبِيلِ وَيَحْسَبُونَ أَنَّهُم مُّهْتَدُونَ</w:t>
      </w:r>
      <w:r>
        <w:rPr>
          <w:rFonts w:ascii="Arial" w:cs="Arial" w:eastAsia="Arial" w:hAnsi="Arial"/>
          <w:color w:val="8B6914"/>
          <w:sz w:val="20"/>
          <w:szCs w:val="20"/>
        </w:rPr>
        <w:br/>
        <w:t xml:space="preserve">
— الزخرف: ٣٦-٣٧</w:t>
      </w:r>
    </w:p>
    <w:p>
      <w:pPr>
        <w:spacing w:before="100" w:after="100"/>
      </w:pPr>
    </w:p>
    <w:p>
      <w:pPr>
        <w:bidi/>
        <w:spacing w:before="150" w:after="170" w:line="400"/>
        <w:ind w:firstLine="720"/>
      </w:pPr>
      <w:r>
        <w:rPr>
          <w:rFonts w:ascii="Arial" w:cs="Arial" w:eastAsia="Arial" w:hAnsi="Arial"/>
          <w:b w:val="false"/>
          <w:bCs w:val="false"/>
          <w:color w:val="1A1A1A"/>
          <w:sz w:val="24"/>
          <w:szCs w:val="24"/>
        </w:rPr>
        <w:t xml:space="preserve">"ويحسبون أنهم مهتدون" — هذا هو أعمق تعليق قرآني على حالة من يبحث عن الطريق في المكان الخطأ. ليس ضلالاً مع وعي بالضلال — بل ضلال مصحوب باقتناع تام بالاهتداء. وهذا تحديداً هو الوضع الذي تقع فيه كثير من المقاربات الغربية لمواجهة الأزمة الرقمية: محاولات حسنة النية، جهود أكاديمية جادة، وأدوات مُثبَتة جزئياً — لكنها تقف أمام جدار لا تستطيع اختراقه لأنها تبحث في المكان الخطأ.</w:t>
      </w:r>
    </w:p>
    <w:p>
      <w:pPr>
        <w:bidi/>
        <w:spacing w:before="150" w:after="170" w:line="400"/>
        <w:ind w:firstLine="720"/>
      </w:pPr>
      <w:r>
        <w:rPr>
          <w:rFonts w:ascii="Arial" w:cs="Arial" w:eastAsia="Arial" w:hAnsi="Arial"/>
          <w:b w:val="false"/>
          <w:bCs w:val="false"/>
          <w:color w:val="1A1A1A"/>
          <w:sz w:val="24"/>
          <w:szCs w:val="24"/>
        </w:rPr>
        <w:t xml:space="preserve">هذا الفصل لا يُدين هذه المقاربات ولا يُهملها — بل يُقرأها بموضوعية علمية كاملة: يعترف بما قدّمته، ويُحدد بدقة أين وصلت وأين توقفت، ولماذا توقفت. لأن فهم حدود الآخر هو شرط فهم ما يتجاوزه.</w:t>
      </w:r>
    </w:p>
    <w:p>
      <w:pPr>
        <w:spacing w:before="80" w:after="8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١ — المقاربة الأولى: تقليص وقت الشاشة</w:t>
      </w:r>
    </w:p>
    <w:p>
      <w:pPr>
        <w:bidi/>
        <w:spacing w:before="320" w:after="160"/>
        <w:jc w:val="right"/>
      </w:pPr>
      <w:r>
        <w:rPr>
          <w:rFonts w:ascii="Arial" w:cs="Arial" w:eastAsia="Arial" w:hAnsi="Arial"/>
          <w:b/>
          <w:bCs/>
          <w:color w:val="2E6DA4"/>
          <w:sz w:val="30"/>
          <w:szCs w:val="30"/>
        </w:rPr>
        <w:t xml:space="preserve">١-١ عرض المقاربة</w:t>
      </w:r>
    </w:p>
    <w:p>
      <w:pPr>
        <w:bidi/>
        <w:spacing w:before="150" w:after="170" w:line="400"/>
        <w:ind w:firstLine="720"/>
      </w:pPr>
      <w:r>
        <w:rPr>
          <w:rFonts w:ascii="Arial" w:cs="Arial" w:eastAsia="Arial" w:hAnsi="Arial"/>
          <w:b w:val="false"/>
          <w:bCs w:val="false"/>
          <w:color w:val="1A1A1A"/>
          <w:sz w:val="24"/>
          <w:szCs w:val="24"/>
        </w:rPr>
        <w:t xml:space="preserve">أبسط الحلول المطروحة وأكثرها انتشاراً هو تقليص وقت الشاشة — أي وضع حدود زمنية لاستخدام الأجهزة الرقمية. وقد أصبح هذا التوجه سياسة رسمية في مؤسسات تعليمية وصحية في أوروبا وأمريكا، كما دمجت شركات آبل وغوغل أدوات "وقت الشاشة" في أنظمة تشغيلها.</w:t>
      </w:r>
    </w:p>
    <w:p>
      <w:pPr>
        <w:bidi/>
        <w:spacing w:before="150" w:after="170" w:line="400"/>
        <w:ind w:firstLine="720"/>
      </w:pPr>
      <w:r>
        <w:rPr>
          <w:rFonts w:ascii="Arial" w:cs="Arial" w:eastAsia="Arial" w:hAnsi="Arial"/>
          <w:b w:val="false"/>
          <w:bCs w:val="false"/>
          <w:color w:val="1A1A1A"/>
          <w:sz w:val="24"/>
          <w:szCs w:val="24"/>
        </w:rPr>
        <w:t xml:space="preserve">وتستند هذه المقاربة إلى أدلة إحصائية حقيقية: فالدراسات التي أجرتها جمعية علم النفس الأمريكية وغيرها تُثبت ارتباطاً سلبياً بين الاستخدام المفرط للشاشات والصحة النفسية لدى المراهقين.</w:t>
      </w:r>
    </w:p>
    <w:p>
      <w:pPr>
        <w:pBdr>
          <w:left w:val="single" w:color="2E6DA4" w:sz="20" w:space="6"/>
        </w:pBdr>
        <w:spacing w:before="200" w:after="160"/>
        <w:ind w:left="800" w:right="200"/>
        <w:jc w:val="left"/>
      </w:pPr>
      <w:r>
        <w:rPr>
          <w:rFonts w:ascii="Arial" w:cs="Arial" w:eastAsia="Arial" w:hAnsi="Arial"/>
          <w:color w:val="2A2A2A"/>
          <w:sz w:val="22"/>
          <w:szCs w:val="22"/>
        </w:rPr>
        <w:t xml:space="preserve">« Réduire l'utilisation des médias sociaux à 30 minutes par jour réduit significativement les niveaux de dépression, de solitude et de FOMO (fear of missing out) chez les jeunes adultes »</w:t>
      </w:r>
      <w:r>
        <w:rPr>
          <w:rFonts w:ascii="Arial" w:cs="Arial" w:eastAsia="Arial" w:hAnsi="Arial"/>
          <w:color w:val="666666"/>
          <w:sz w:val="19"/>
          <w:szCs w:val="19"/>
        </w:rPr>
        <w:br/>
        <w:t xml:space="preserve">
— Melissa Hunt et al. — No More FOMO: Limiting Social Media Decreases Loneliness and Depression (2018), Journal of Social and Clinical Psychology, Vol. 37(10), p. 758</w:t>
      </w:r>
    </w:p>
    <w:p>
      <w:pPr>
        <w:bidi/>
        <w:spacing w:before="320" w:after="160"/>
        <w:jc w:val="right"/>
      </w:pPr>
      <w:r>
        <w:rPr>
          <w:rFonts w:ascii="Arial" w:cs="Arial" w:eastAsia="Arial" w:hAnsi="Arial"/>
          <w:b/>
          <w:bCs/>
          <w:color w:val="2E6DA4"/>
          <w:sz w:val="30"/>
          <w:szCs w:val="30"/>
        </w:rPr>
        <w:t xml:space="preserve">١-٢ ما تُقدمه هذه المقاربة</w:t>
      </w:r>
    </w:p>
    <w:p>
      <w:pPr>
        <w:bidi/>
        <w:spacing w:before="150" w:after="170" w:line="400"/>
        <w:ind w:firstLine="720"/>
      </w:pPr>
      <w:r>
        <w:rPr>
          <w:rFonts w:ascii="Arial" w:cs="Arial" w:eastAsia="Arial" w:hAnsi="Arial"/>
          <w:b w:val="false"/>
          <w:bCs w:val="false"/>
          <w:color w:val="1A1A1A"/>
          <w:sz w:val="24"/>
          <w:szCs w:val="24"/>
        </w:rPr>
        <w:t xml:space="preserve">تُقدم هذه المقاربة فائدة وظيفية حقيقية لا يمكن إنكارها: تقليص التعرض للمثير الدوباميني يُتيح للشبكة العصبية الافتراضية — أي اللوامة — وقتاً أطول للعمل. وتقليص الوقت الرقمي يُقلص بشكل آلي تغذية الأمارة بالمحتوى المُضخِّم للغضب والمقارنة والشهوة.</w:t>
      </w:r>
    </w:p>
    <w:p>
      <w:pPr>
        <w:bidi/>
        <w:spacing w:before="320" w:after="160"/>
        <w:jc w:val="right"/>
      </w:pPr>
      <w:r>
        <w:rPr>
          <w:rFonts w:ascii="Arial" w:cs="Arial" w:eastAsia="Arial" w:hAnsi="Arial"/>
          <w:b/>
          <w:bCs/>
          <w:color w:val="2E6DA4"/>
          <w:sz w:val="30"/>
          <w:szCs w:val="30"/>
        </w:rPr>
        <w:t xml:space="preserve">١-٣ سقفها القصوى</w:t>
      </w:r>
    </w:p>
    <w:p>
      <w:pPr>
        <w:pBdr>
          <w:top w:val="single" w:color="8B1A1A" w:sz="2"/>
          <w:bottom w:val="single" w:color="8B1A1A" w:sz="2"/>
          <w:left w:val="single" w:color="8B1A1A" w:sz="14"/>
          <w:right w:val="single" w:color="8B1A1A" w:sz="14"/>
        </w:pBdr>
        <w:shd w:fill="FFF3F3" w:val="clear"/>
        <w:bidi/>
        <w:spacing w:before="200" w:after="160"/>
      </w:pPr>
      <w:r>
        <w:rPr>
          <w:rFonts w:ascii="Arial" w:cs="Arial" w:eastAsia="Arial" w:hAnsi="Arial"/>
          <w:color w:val="6B0000"/>
          <w:sz w:val="22"/>
          <w:szCs w:val="22"/>
        </w:rPr>
        <w:t xml:space="preserve">تقليص وقت الشاشة يُعالج الكمية لا البنية. وهو يُشبه تماماً معالجة إدمان الكحول بتقليص الجرعة دون معالجة الدافع الوجودي للإدمان.</w:t>
      </w:r>
    </w:p>
    <w:p>
      <w:pPr>
        <w:bidi/>
        <w:spacing w:before="150" w:after="170" w:line="400"/>
        <w:ind w:firstLine="720"/>
      </w:pPr>
      <w:r>
        <w:rPr>
          <w:rFonts w:ascii="Arial" w:cs="Arial" w:eastAsia="Arial" w:hAnsi="Arial"/>
          <w:b w:val="false"/>
          <w:bCs w:val="false"/>
          <w:color w:val="1A1A1A"/>
          <w:sz w:val="24"/>
          <w:szCs w:val="24"/>
        </w:rPr>
        <w:t xml:space="preserve">ثمة ثلاثة قصور بنيوية في هذه المقاربة:</w:t>
      </w:r>
    </w:p>
    <w:p>
      <w:pPr>
        <w:bidi/>
        <w:spacing w:before="150" w:after="170" w:line="400"/>
        <w:ind w:firstLine="720"/>
      </w:pPr>
      <w:r>
        <w:rPr>
          <w:rFonts w:ascii="Arial" w:cs="Arial" w:eastAsia="Arial" w:hAnsi="Arial"/>
          <w:b/>
          <w:bCs/>
          <w:color w:val="1A1A1A"/>
          <w:sz w:val="24"/>
          <w:szCs w:val="24"/>
        </w:rPr>
        <w:t xml:space="preserve">القصور الأول:</w:t>
      </w:r>
      <w:r>
        <w:rPr>
          <w:rFonts w:ascii="Arial" w:cs="Arial" w:eastAsia="Arial" w:hAnsi="Arial"/>
          <w:color w:val="1A1A1A"/>
          <w:sz w:val="24"/>
          <w:szCs w:val="24"/>
        </w:rPr>
        <w:t xml:space="preserve">  لا تُجيب على سؤال: ماذا يفعل الإنسان بالوقت المستعاد؟ إذا أُعيد للإنسان ساعتان يومياً من وقت الشاشة دون أن يملك معنىً يملأ بهما هذا الوقت، فإن الفراغ الوجودي سيدفعه إلى الشاشة من جديد أو إلى بديل ضار آخر.</w:t>
      </w:r>
    </w:p>
    <w:p>
      <w:pPr>
        <w:bidi/>
        <w:spacing w:before="150" w:after="170" w:line="400"/>
        <w:ind w:firstLine="720"/>
      </w:pPr>
      <w:r>
        <w:rPr>
          <w:rFonts w:ascii="Arial" w:cs="Arial" w:eastAsia="Arial" w:hAnsi="Arial"/>
          <w:b/>
          <w:bCs/>
          <w:color w:val="1A1A1A"/>
          <w:sz w:val="24"/>
          <w:szCs w:val="24"/>
        </w:rPr>
        <w:t xml:space="preserve">القصور الثاني:</w:t>
      </w:r>
      <w:r>
        <w:rPr>
          <w:rFonts w:ascii="Arial" w:cs="Arial" w:eastAsia="Arial" w:hAnsi="Arial"/>
          <w:color w:val="1A1A1A"/>
          <w:sz w:val="24"/>
          <w:szCs w:val="24"/>
        </w:rPr>
        <w:t xml:space="preserve">  إرادة التحديد تتآكل أمام التصميم الإدماني. فالخوارزمية مُهندَسة بآلاف العقول المتخصصة في علم النفس السلوكي، والإنسان المنفرد الذي يحاول مقاومتها بإرادته الفردية يخوض معركة غير متكافئة.</w:t>
      </w:r>
    </w:p>
    <w:p>
      <w:pPr>
        <w:bidi/>
        <w:spacing w:before="150" w:after="170" w:line="400"/>
        <w:ind w:firstLine="720"/>
      </w:pPr>
      <w:r>
        <w:rPr>
          <w:rFonts w:ascii="Arial" w:cs="Arial" w:eastAsia="Arial" w:hAnsi="Arial"/>
          <w:b/>
          <w:bCs/>
          <w:color w:val="1A1A1A"/>
          <w:sz w:val="24"/>
          <w:szCs w:val="24"/>
        </w:rPr>
        <w:t xml:space="preserve">القصور الثالث:</w:t>
      </w:r>
      <w:r>
        <w:rPr>
          <w:rFonts w:ascii="Arial" w:cs="Arial" w:eastAsia="Arial" w:hAnsi="Arial"/>
          <w:color w:val="1A1A1A"/>
          <w:sz w:val="24"/>
          <w:szCs w:val="24"/>
        </w:rPr>
        <w:t xml:space="preserve">  لا تُعالج الأمارة بل تُقيّدها مؤقتاً. والأمارة المُقيَّدة بلا تزكية حقيقية تعود إلى نشاطها حين يُرفع القيد.</w:t>
      </w:r>
    </w:p>
    <w:p>
      <w:pPr>
        <w:pBdr>
          <w:left w:val="single" w:color="2E6DA4" w:sz="20" w:space="6"/>
        </w:pBdr>
        <w:spacing w:before="200" w:after="160"/>
        <w:ind w:left="800" w:right="200"/>
        <w:jc w:val="left"/>
      </w:pPr>
      <w:r>
        <w:rPr>
          <w:rFonts w:ascii="Arial" w:cs="Arial" w:eastAsia="Arial" w:hAnsi="Arial"/>
          <w:color w:val="2A2A2A"/>
          <w:sz w:val="22"/>
          <w:szCs w:val="22"/>
        </w:rPr>
        <w:t xml:space="preserve">« La restriction seule, sans substitut significatif, est une stratégie vouée à l'échec à long terme. L'être humain ne peut vivre dans le vide — il cherchera toujours à le remplir »</w:t>
      </w:r>
      <w:r>
        <w:rPr>
          <w:rFonts w:ascii="Arial" w:cs="Arial" w:eastAsia="Arial" w:hAnsi="Arial"/>
          <w:color w:val="666666"/>
          <w:sz w:val="19"/>
          <w:szCs w:val="19"/>
        </w:rPr>
        <w:br/>
        <w:t xml:space="preserve">
— Viktor Frankl — Découvrir un sens à sa vie (1946), Éditions de l'Homme, Montréal, 2006, p. 128</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٢ — المقاربة الثانية: اليقظة الذهنية (Mindfulness)</w:t>
      </w:r>
    </w:p>
    <w:p>
      <w:pPr>
        <w:bidi/>
        <w:spacing w:before="320" w:after="160"/>
        <w:jc w:val="right"/>
      </w:pPr>
      <w:r>
        <w:rPr>
          <w:rFonts w:ascii="Arial" w:cs="Arial" w:eastAsia="Arial" w:hAnsi="Arial"/>
          <w:b/>
          <w:bCs/>
          <w:color w:val="2E6DA4"/>
          <w:sz w:val="30"/>
          <w:szCs w:val="30"/>
        </w:rPr>
        <w:t xml:space="preserve">٢-١ عرض المقاربة</w:t>
      </w:r>
    </w:p>
    <w:p>
      <w:pPr>
        <w:bidi/>
        <w:spacing w:before="150" w:after="170" w:line="400"/>
        <w:ind w:firstLine="720"/>
      </w:pPr>
      <w:r>
        <w:rPr>
          <w:rFonts w:ascii="Arial" w:cs="Arial" w:eastAsia="Arial" w:hAnsi="Arial"/>
          <w:b w:val="false"/>
          <w:bCs w:val="false"/>
          <w:color w:val="1A1A1A"/>
          <w:sz w:val="24"/>
          <w:szCs w:val="24"/>
        </w:rPr>
        <w:t xml:space="preserve">اليقظة الذهنية — المستمدة في أصولها من التقاليد البوذية وطوّرها جون كابا-زين في سياق طبي علماني — أصبحت في العقد الأخير الأداة الأكثر انتشاراً في مواجهة أزمة القلق والتشتت الرقمي. وتعتمد على مبدأ الحضور الكامل في اللحظة الراهنة بدون حكم أو تقييم.</w:t>
      </w:r>
    </w:p>
    <w:p>
      <w:pPr>
        <w:pBdr>
          <w:left w:val="single" w:color="2E6DA4" w:sz="20" w:space="6"/>
        </w:pBdr>
        <w:spacing w:before="200" w:after="160"/>
        <w:ind w:left="800" w:right="200"/>
        <w:jc w:val="left"/>
      </w:pPr>
      <w:r>
        <w:rPr>
          <w:rFonts w:ascii="Arial" w:cs="Arial" w:eastAsia="Arial" w:hAnsi="Arial"/>
          <w:color w:val="2A2A2A"/>
          <w:sz w:val="22"/>
          <w:szCs w:val="22"/>
        </w:rPr>
        <w:t xml:space="preserve">« La pleine conscience signifie porter son attention d'une façon particulière : délibérément, au moment présent et sans jugement. Ce type d'attention nourrit une conscience plus grande, une clarté plus grande et une acceptation de la réalité du moment présent »</w:t>
      </w:r>
      <w:r>
        <w:rPr>
          <w:rFonts w:ascii="Arial" w:cs="Arial" w:eastAsia="Arial" w:hAnsi="Arial"/>
          <w:color w:val="666666"/>
          <w:sz w:val="19"/>
          <w:szCs w:val="19"/>
        </w:rPr>
        <w:br/>
        <w:t xml:space="preserve">
— Jon Kabat-Zinn — Où tu vas, tu es : Apprendre à méditer partout (1994), J'ai Lu, Paris, 2005, p. 4</w:t>
      </w:r>
    </w:p>
    <w:p>
      <w:pPr>
        <w:bidi/>
        <w:spacing w:before="150" w:after="170" w:line="400"/>
        <w:ind w:firstLine="720"/>
      </w:pPr>
      <w:r>
        <w:rPr>
          <w:rFonts w:ascii="Arial" w:cs="Arial" w:eastAsia="Arial" w:hAnsi="Arial"/>
          <w:b w:val="false"/>
          <w:bCs w:val="false"/>
          <w:color w:val="1A1A1A"/>
          <w:sz w:val="24"/>
          <w:szCs w:val="24"/>
        </w:rPr>
        <w:t xml:space="preserve">وقد أثبتت الدراسات السريرية فاعليتها في تخفيف التوتر والقلق والاكتئاب الخفيف. كما أثبت علم الأعصاب أن التأمل المنتظم يُعيد تفعيل الشبكة العصبية الافتراضية ويُعزز سُمك القشرة الجبهية الأمامية المسؤولة عن الضبط الذاتي.</w:t>
      </w:r>
    </w:p>
    <w:p>
      <w:pPr>
        <w:pBdr>
          <w:left w:val="single" w:color="2E6DA4" w:sz="20" w:space="6"/>
        </w:pBdr>
        <w:spacing w:before="200" w:after="160"/>
        <w:ind w:left="800" w:right="200"/>
        <w:jc w:val="left"/>
      </w:pPr>
      <w:r>
        <w:rPr>
          <w:rFonts w:ascii="Arial" w:cs="Arial" w:eastAsia="Arial" w:hAnsi="Arial"/>
          <w:color w:val="2A2A2A"/>
          <w:sz w:val="22"/>
          <w:szCs w:val="22"/>
        </w:rPr>
        <w:t xml:space="preserve">« Huit semaines de méditation de pleine conscience augmentent de façon mesurable la densité de matière grise dans l'hippocampe, le cortex cingulaire postérieur et le cervelet »</w:t>
      </w:r>
      <w:r>
        <w:rPr>
          <w:rFonts w:ascii="Arial" w:cs="Arial" w:eastAsia="Arial" w:hAnsi="Arial"/>
          <w:color w:val="666666"/>
          <w:sz w:val="19"/>
          <w:szCs w:val="19"/>
        </w:rPr>
        <w:br/>
        <w:t xml:space="preserve">
— Sara Lazar et al. — Meditation Experience is Associated with Increased Cortical Thickness (2005), NeuroReport, Vol. 16(17), p. 1895</w:t>
      </w:r>
    </w:p>
    <w:p>
      <w:pPr>
        <w:bidi/>
        <w:spacing w:before="320" w:after="160"/>
        <w:jc w:val="right"/>
      </w:pPr>
      <w:r>
        <w:rPr>
          <w:rFonts w:ascii="Arial" w:cs="Arial" w:eastAsia="Arial" w:hAnsi="Arial"/>
          <w:b/>
          <w:bCs/>
          <w:color w:val="2E6DA4"/>
          <w:sz w:val="30"/>
          <w:szCs w:val="30"/>
        </w:rPr>
        <w:t xml:space="preserve">٢-٢ ما تُقدمه هذه المقاربة</w:t>
      </w:r>
    </w:p>
    <w:p>
      <w:pPr>
        <w:bidi/>
        <w:spacing w:before="150" w:after="170" w:line="400"/>
        <w:ind w:firstLine="720"/>
      </w:pPr>
      <w:r>
        <w:rPr>
          <w:rFonts w:ascii="Arial" w:cs="Arial" w:eastAsia="Arial" w:hAnsi="Arial"/>
          <w:b w:val="false"/>
          <w:bCs w:val="false"/>
          <w:color w:val="1A1A1A"/>
          <w:sz w:val="24"/>
          <w:szCs w:val="24"/>
        </w:rPr>
        <w:t xml:space="preserve">تُقدم اليقظة الذهنية إسهاماً حقيقياً في بُعدَين من أبعاد النموذج الهرمي:</w:t>
      </w:r>
    </w:p>
    <w:p>
      <w:pPr>
        <w:bidi/>
        <w:spacing w:before="150" w:after="170" w:line="400"/>
        <w:ind w:firstLine="720"/>
      </w:pPr>
      <w:r>
        <w:rPr>
          <w:rFonts w:ascii="Arial" w:cs="Arial" w:eastAsia="Arial" w:hAnsi="Arial"/>
          <w:b/>
          <w:bCs/>
          <w:color w:val="1A1A1A"/>
          <w:sz w:val="24"/>
          <w:szCs w:val="24"/>
        </w:rPr>
        <w:t xml:space="preserve">أولاً:</w:t>
      </w:r>
      <w:r>
        <w:rPr>
          <w:rFonts w:ascii="Arial" w:cs="Arial" w:eastAsia="Arial" w:hAnsi="Arial"/>
          <w:color w:val="1A1A1A"/>
          <w:sz w:val="24"/>
          <w:szCs w:val="24"/>
        </w:rPr>
        <w:t xml:space="preserve">  تُعيد تفعيل الصمت الداخلي — الشرط الأول لعمل اللوامة. الجلسة التأملية تُوقف إطعام الأمارة بالمحفزات الخارجية وتُتيح للشبكة الافتراضية العمل.</w:t>
      </w:r>
    </w:p>
    <w:p>
      <w:pPr>
        <w:bidi/>
        <w:spacing w:before="150" w:after="170" w:line="400"/>
        <w:ind w:firstLine="720"/>
      </w:pPr>
      <w:r>
        <w:rPr>
          <w:rFonts w:ascii="Arial" w:cs="Arial" w:eastAsia="Arial" w:hAnsi="Arial"/>
          <w:b/>
          <w:bCs/>
          <w:color w:val="1A1A1A"/>
          <w:sz w:val="24"/>
          <w:szCs w:val="24"/>
        </w:rPr>
        <w:t xml:space="preserve">ثانياً:</w:t>
      </w:r>
      <w:r>
        <w:rPr>
          <w:rFonts w:ascii="Arial" w:cs="Arial" w:eastAsia="Arial" w:hAnsi="Arial"/>
          <w:color w:val="1A1A1A"/>
          <w:sz w:val="24"/>
          <w:szCs w:val="24"/>
        </w:rPr>
        <w:t xml:space="preserve">  تُعلّم الإنسان مراقبة أفكاره وانفعالاته دون الاندماج فيها — وهو ما يُنمّي نوعاً من الوعي الذاتي المتقطع يُشبه في بعض وجوهه وظيفة اللوامة.</w:t>
      </w:r>
    </w:p>
    <w:p>
      <w:pPr>
        <w:pBdr>
          <w:top w:val="single" w:color="1A5C1A" w:sz="2"/>
          <w:bottom w:val="single" w:color="1A5C1A" w:sz="2"/>
          <w:left w:val="single" w:color="1A5C1A" w:sz="14"/>
          <w:right w:val="single" w:color="1A5C1A" w:sz="14"/>
        </w:pBdr>
        <w:shd w:fill="F0FFF0" w:val="clear"/>
        <w:bidi/>
        <w:spacing w:before="200" w:after="160"/>
      </w:pPr>
      <w:r>
        <w:rPr>
          <w:rFonts w:ascii="Arial" w:cs="Arial" w:eastAsia="Arial" w:hAnsi="Arial"/>
          <w:color w:val="1A4A1A"/>
          <w:sz w:val="22"/>
          <w:szCs w:val="22"/>
        </w:rPr>
        <w:t xml:space="preserve">اليقظة الذهنية تُصلح الشرط الأول للوامة (الصمت) — وهذا إسهام حقيقي لا يمكن إنكاره.</w:t>
      </w:r>
    </w:p>
    <w:p>
      <w:pPr>
        <w:bidi/>
        <w:spacing w:before="320" w:after="160"/>
        <w:jc w:val="right"/>
      </w:pPr>
      <w:r>
        <w:rPr>
          <w:rFonts w:ascii="Arial" w:cs="Arial" w:eastAsia="Arial" w:hAnsi="Arial"/>
          <w:b/>
          <w:bCs/>
          <w:color w:val="2E6DA4"/>
          <w:sz w:val="30"/>
          <w:szCs w:val="30"/>
        </w:rPr>
        <w:t xml:space="preserve">٢-٣ سقفها القصوى: التفريغ بلا ملء</w:t>
      </w:r>
    </w:p>
    <w:p>
      <w:pPr>
        <w:bidi/>
        <w:spacing w:before="150" w:after="170" w:line="400"/>
        <w:ind w:firstLine="720"/>
      </w:pPr>
      <w:r>
        <w:rPr>
          <w:rFonts w:ascii="Arial" w:cs="Arial" w:eastAsia="Arial" w:hAnsi="Arial"/>
          <w:b w:val="false"/>
          <w:bCs w:val="false"/>
          <w:color w:val="1A1A1A"/>
          <w:sz w:val="24"/>
          <w:szCs w:val="24"/>
        </w:rPr>
        <w:t xml:space="preserve">غير أن اليقظة الذهنية تُواجه قصوراً بنيوياً عميقاً يتجلى في ثلاثة مستويات:</w:t>
      </w:r>
    </w:p>
    <w:p>
      <w:pPr>
        <w:bidi/>
        <w:spacing w:before="220" w:after="110"/>
        <w:jc w:val="right"/>
      </w:pPr>
      <w:r>
        <w:rPr>
          <w:rFonts w:ascii="Arial" w:cs="Arial" w:eastAsia="Arial" w:hAnsi="Arial"/>
          <w:b/>
          <w:bCs/>
          <w:color w:val="4A8FC1"/>
          <w:sz w:val="26"/>
          <w:szCs w:val="26"/>
        </w:rPr>
        <w:t xml:space="preserve">أ — غياب المعيار: اللوامة بلا مرجعية</w:t>
      </w:r>
    </w:p>
    <w:p>
      <w:pPr>
        <w:bidi/>
        <w:spacing w:before="150" w:after="170" w:line="400"/>
        <w:ind w:firstLine="720"/>
      </w:pPr>
      <w:r>
        <w:rPr>
          <w:rFonts w:ascii="Arial" w:cs="Arial" w:eastAsia="Arial" w:hAnsi="Arial"/>
          <w:b w:val="false"/>
          <w:bCs w:val="false"/>
          <w:color w:val="1A1A1A"/>
          <w:sz w:val="24"/>
          <w:szCs w:val="24"/>
        </w:rPr>
        <w:t xml:space="preserve">اليقظة الذهنية في صيغتها العلمانية تقوم على مبدأ "بدون حكم" (Non-Judgment). والمراقبة بدون حكم صالحة كخطوة أولى للتهدئة — لكنها لا تستطيع وحدها أن تُشغّل اللوامة الكاملة لأن اللوامة تحتاج معياراً. فاللوامة لا تلوم في فراغ بل تلوم بالقياس على معيار متعالٍ.</w:t>
      </w:r>
    </w:p>
    <w:p>
      <w:pPr>
        <w:pBdr>
          <w:left w:val="single" w:color="2E6DA4" w:sz="20" w:space="6"/>
        </w:pBdr>
        <w:spacing w:before="200" w:after="160"/>
        <w:ind w:left="800" w:right="200"/>
        <w:jc w:val="left"/>
      </w:pPr>
      <w:r>
        <w:rPr>
          <w:rFonts w:ascii="Arial" w:cs="Arial" w:eastAsia="Arial" w:hAnsi="Arial"/>
          <w:color w:val="2A2A2A"/>
          <w:sz w:val="22"/>
          <w:szCs w:val="22"/>
        </w:rPr>
        <w:t xml:space="preserve">« La méditation sans éthique est comme un bateau sans gouvernail. Elle peut calmer les eaux intérieures, mais elle ne peut pas indiquer la direction »</w:t>
      </w:r>
      <w:r>
        <w:rPr>
          <w:rFonts w:ascii="Arial" w:cs="Arial" w:eastAsia="Arial" w:hAnsi="Arial"/>
          <w:color w:val="666666"/>
          <w:sz w:val="19"/>
          <w:szCs w:val="19"/>
        </w:rPr>
        <w:br/>
        <w:t xml:space="preserve">
— Matthieu Ricard — Plaidoyer pour le bonheur (2003), Nil Éditions, Paris, p. 198</w:t>
      </w:r>
    </w:p>
    <w:p>
      <w:pPr>
        <w:bidi/>
        <w:spacing w:before="150" w:after="170" w:line="400"/>
        <w:ind w:firstLine="720"/>
      </w:pPr>
      <w:r>
        <w:rPr>
          <w:rFonts w:ascii="Arial" w:cs="Arial" w:eastAsia="Arial" w:hAnsi="Arial"/>
          <w:b w:val="false"/>
          <w:bCs w:val="false"/>
          <w:color w:val="1A1A1A"/>
          <w:sz w:val="24"/>
          <w:szCs w:val="24"/>
        </w:rPr>
        <w:t xml:space="preserve">ماتيو ريكار — الراهب البوذي والعالم الفرنسي — يعترف بهذا القصور من داخل التقليد البوذي نفسه: اليقظة بلا أخلاق بلا اتجاه.</w:t>
      </w:r>
    </w:p>
    <w:p>
      <w:pPr>
        <w:bidi/>
        <w:spacing w:before="220" w:after="110"/>
        <w:jc w:val="right"/>
      </w:pPr>
      <w:r>
        <w:rPr>
          <w:rFonts w:ascii="Arial" w:cs="Arial" w:eastAsia="Arial" w:hAnsi="Arial"/>
          <w:b/>
          <w:bCs/>
          <w:color w:val="4A8FC1"/>
          <w:sz w:val="26"/>
          <w:szCs w:val="26"/>
        </w:rPr>
        <w:t xml:space="preserve">ب — غياب المغفرة: الذنب بلا حل</w:t>
      </w:r>
    </w:p>
    <w:p>
      <w:pPr>
        <w:bidi/>
        <w:spacing w:before="150" w:after="170" w:line="400"/>
        <w:ind w:firstLine="720"/>
      </w:pPr>
      <w:r>
        <w:rPr>
          <w:rFonts w:ascii="Arial" w:cs="Arial" w:eastAsia="Arial" w:hAnsi="Arial"/>
          <w:b w:val="false"/>
          <w:bCs w:val="false"/>
          <w:color w:val="1A1A1A"/>
          <w:sz w:val="24"/>
          <w:szCs w:val="24"/>
        </w:rPr>
        <w:t xml:space="preserve">حين تُفعّل اليقظة الذهنية اللوامة وتُعيد الإنسان إلى نفسه، يظهر حتماً الشعور بالذنب على ما مضى من الغفلة والانجراف. واليقظة الذهنية لا تملك أداةً لتحويل هذا الذنب — لا مغفرة، لا توبة، لا مرجعية تملك سلطة إعلان البراءة.</w:t>
      </w:r>
    </w:p>
    <w:p>
      <w:pPr>
        <w:bidi/>
        <w:spacing w:before="150" w:after="170" w:line="400"/>
        <w:ind w:firstLine="720"/>
      </w:pPr>
      <w:r>
        <w:rPr>
          <w:rFonts w:ascii="Arial" w:cs="Arial" w:eastAsia="Arial" w:hAnsi="Arial"/>
          <w:b w:val="false"/>
          <w:bCs w:val="false"/>
          <w:color w:val="1A1A1A"/>
          <w:sz w:val="24"/>
          <w:szCs w:val="24"/>
        </w:rPr>
        <w:t xml:space="preserve">النتيجة هي ما يُسميه المعالجون النفسيون "الوعي المؤلم" — أن يرى الإنسان نفسه بوضوح لكن بلا مخرج، فيتحول الوعي الذاتي من فرصة للنمو إلى عبء إضافي.</w:t>
      </w:r>
    </w:p>
    <w:p>
      <w:pPr>
        <w:pBdr>
          <w:left w:val="single" w:color="2E6DA4" w:sz="20" w:space="6"/>
        </w:pBdr>
        <w:spacing w:before="200" w:after="160"/>
        <w:ind w:left="800" w:right="200"/>
        <w:jc w:val="left"/>
      </w:pPr>
      <w:r>
        <w:rPr>
          <w:rFonts w:ascii="Arial" w:cs="Arial" w:eastAsia="Arial" w:hAnsi="Arial"/>
          <w:color w:val="2A2A2A"/>
          <w:sz w:val="22"/>
          <w:szCs w:val="22"/>
        </w:rPr>
        <w:t xml:space="preserve">« La méditation peut parfois amplifier la souffrance en rendant l'individu plus conscient de ses échecs sans lui fournir les ressources pour les transcender »</w:t>
      </w:r>
      <w:r>
        <w:rPr>
          <w:rFonts w:ascii="Arial" w:cs="Arial" w:eastAsia="Arial" w:hAnsi="Arial"/>
          <w:color w:val="666666"/>
          <w:sz w:val="19"/>
          <w:szCs w:val="19"/>
        </w:rPr>
        <w:br/>
        <w:t xml:space="preserve">
— Miguel Farias &amp; Catherine Wikholm — The Buddha Pill: Can Meditation Change You? (2015), Watkins Publishing, London, p. 156</w:t>
      </w:r>
    </w:p>
    <w:p>
      <w:pPr>
        <w:bidi/>
        <w:spacing w:before="220" w:after="110"/>
        <w:jc w:val="right"/>
      </w:pPr>
      <w:r>
        <w:rPr>
          <w:rFonts w:ascii="Arial" w:cs="Arial" w:eastAsia="Arial" w:hAnsi="Arial"/>
          <w:b/>
          <w:bCs/>
          <w:color w:val="4A8FC1"/>
          <w:sz w:val="26"/>
          <w:szCs w:val="26"/>
        </w:rPr>
        <w:t xml:space="preserve">ج — غياب الحضور: السكون بلا مُسكِّن</w:t>
      </w:r>
    </w:p>
    <w:p>
      <w:pPr>
        <w:bidi/>
        <w:spacing w:before="150" w:after="170" w:line="400"/>
        <w:ind w:firstLine="720"/>
      </w:pPr>
      <w:r>
        <w:rPr>
          <w:rFonts w:ascii="Arial" w:cs="Arial" w:eastAsia="Arial" w:hAnsi="Arial"/>
          <w:b w:val="false"/>
          <w:bCs w:val="false"/>
          <w:color w:val="1A1A1A"/>
          <w:sz w:val="24"/>
          <w:szCs w:val="24"/>
        </w:rPr>
        <w:t xml:space="preserve">الجوهر الأعمق لقصور اليقظة الذهنية هو أن النفس لا تطمئن لحالة بل تطمئن لحضور. السكون الذي تُحققه اليقظة الذهنية هو سكون فارغ — لا يُجيب على سؤال: من معي في هذا الصمت؟ بينما الاطمئنان القرآني هو سكون مُملوء بحضور يسمع ويستجيب ويعلم.</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أَلَا بِذِكْرِ اللَّهِ تَطْمَئِنُّ الْقُلُوبُ</w:t>
      </w:r>
      <w:r>
        <w:rPr>
          <w:rFonts w:ascii="Arial" w:cs="Arial" w:eastAsia="Arial" w:hAnsi="Arial"/>
          <w:color w:val="8B6914"/>
          <w:sz w:val="20"/>
          <w:szCs w:val="20"/>
        </w:rPr>
        <w:br/>
        <w:t xml:space="preserve">
— الرعد: ٢٨</w:t>
      </w:r>
    </w:p>
    <w:p>
      <w:pPr>
        <w:bidi/>
        <w:spacing w:before="150" w:after="170" w:line="400"/>
        <w:ind w:firstLine="720"/>
      </w:pPr>
      <w:r>
        <w:rPr>
          <w:rFonts w:ascii="Arial" w:cs="Arial" w:eastAsia="Arial" w:hAnsi="Arial"/>
          <w:b w:val="false"/>
          <w:bCs w:val="false"/>
          <w:color w:val="1A1A1A"/>
          <w:sz w:val="24"/>
          <w:szCs w:val="24"/>
        </w:rPr>
        <w:t xml:space="preserve">"بذكر الله" — لا بالذكر المجرد ولا بالصمت المجرد بل بذكر شخص حاضر مستجيب. وهذا ما يجعل الصلاة الإسلامية يقظةً ذهنية + حضور متعالٍ + معيار أخلاقي + مغفرة — في آنٍ واحد.</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٣ — المقاربة الثالثة: علم النفس الإيجابي</w:t>
      </w:r>
    </w:p>
    <w:p>
      <w:pPr>
        <w:bidi/>
        <w:spacing w:before="320" w:after="160"/>
        <w:jc w:val="right"/>
      </w:pPr>
      <w:r>
        <w:rPr>
          <w:rFonts w:ascii="Arial" w:cs="Arial" w:eastAsia="Arial" w:hAnsi="Arial"/>
          <w:b/>
          <w:bCs/>
          <w:color w:val="2E6DA4"/>
          <w:sz w:val="30"/>
          <w:szCs w:val="30"/>
        </w:rPr>
        <w:t xml:space="preserve">٣-١ عرض المقاربة</w:t>
      </w:r>
    </w:p>
    <w:p>
      <w:pPr>
        <w:bidi/>
        <w:spacing w:before="150" w:after="170" w:line="400"/>
        <w:ind w:firstLine="720"/>
      </w:pPr>
      <w:r>
        <w:rPr>
          <w:rFonts w:ascii="Arial" w:cs="Arial" w:eastAsia="Arial" w:hAnsi="Arial"/>
          <w:b w:val="false"/>
          <w:bCs w:val="false"/>
          <w:color w:val="1A1A1A"/>
          <w:sz w:val="24"/>
          <w:szCs w:val="24"/>
        </w:rPr>
        <w:t xml:space="preserve">أسس مارتن سيليغمان علم النفس الإيجابي كحركة علمية منهجية تسعى إلى الانتقال من التركيز على المرض النفسي إلى دراسة الازدهار الإنساني. ويقوم نموذجه المعروف بـ"PERMA" على خمسة أبعاد للرفاهية الحقيقية:</w:t>
      </w:r>
    </w:p>
    <w:p>
      <w:pPr>
        <w:pBdr>
          <w:left w:val="single" w:color="2E6DA4" w:sz="20" w:space="6"/>
        </w:pBdr>
        <w:spacing w:before="200" w:after="160"/>
        <w:ind w:left="800" w:right="200"/>
        <w:jc w:val="left"/>
      </w:pPr>
      <w:r>
        <w:rPr>
          <w:rFonts w:ascii="Arial" w:cs="Arial" w:eastAsia="Arial" w:hAnsi="Arial"/>
          <w:color w:val="2A2A2A"/>
          <w:sz w:val="22"/>
          <w:szCs w:val="22"/>
        </w:rPr>
        <w:t xml:space="preserve">« Le bien-être est composé de cinq éléments : les émotions positives (P), l'engagement (E), les relations positives (R), la signification (M) et l'accomplissement (A) — le modèle PERMA »</w:t>
      </w:r>
      <w:r>
        <w:rPr>
          <w:rFonts w:ascii="Arial" w:cs="Arial" w:eastAsia="Arial" w:hAnsi="Arial"/>
          <w:color w:val="666666"/>
          <w:sz w:val="19"/>
          <w:szCs w:val="19"/>
        </w:rPr>
        <w:br/>
        <w:t xml:space="preserve">
— Martin Seligman — S'épanouir : Pour un nouvel art du bonheur et du bien-être (2013), Belfond, Paris, p. 24</w:t>
      </w:r>
    </w:p>
    <w:p>
      <w:pPr>
        <w:bidi/>
        <w:spacing w:before="150" w:after="170" w:line="400"/>
        <w:ind w:firstLine="720"/>
      </w:pPr>
      <w:r>
        <w:rPr>
          <w:rFonts w:ascii="Arial" w:cs="Arial" w:eastAsia="Arial" w:hAnsi="Arial"/>
          <w:b w:val="false"/>
          <w:bCs w:val="false"/>
          <w:color w:val="1A1A1A"/>
          <w:sz w:val="24"/>
          <w:szCs w:val="24"/>
        </w:rPr>
        <w:t xml:space="preserve">وقد أضاف تشيكسنتميهاي مفهوم "التدفق" (Flow) — تلك الحالة من الانخراط الكامل في نشاط ذي معنى يُنتج شعوراً بالرضا العميق.</w:t>
      </w:r>
    </w:p>
    <w:p>
      <w:pPr>
        <w:pBdr>
          <w:left w:val="single" w:color="2E6DA4" w:sz="20" w:space="6"/>
        </w:pBdr>
        <w:spacing w:before="200" w:after="160"/>
        <w:ind w:left="800" w:right="200"/>
        <w:jc w:val="left"/>
      </w:pPr>
      <w:r>
        <w:rPr>
          <w:rFonts w:ascii="Arial" w:cs="Arial" w:eastAsia="Arial" w:hAnsi="Arial"/>
          <w:color w:val="2A2A2A"/>
          <w:sz w:val="22"/>
          <w:szCs w:val="22"/>
        </w:rPr>
        <w:t xml:space="preserve">« Le flow est l'état dans lequel les gens sont tellement impliqués dans une activité que rien d'autre ne semble avoir d'importance. L'expérience elle-même est tellement agréable que les gens la feraient même au prix de grands sacrifices »</w:t>
      </w:r>
      <w:r>
        <w:rPr>
          <w:rFonts w:ascii="Arial" w:cs="Arial" w:eastAsia="Arial" w:hAnsi="Arial"/>
          <w:color w:val="666666"/>
          <w:sz w:val="19"/>
          <w:szCs w:val="19"/>
        </w:rPr>
        <w:br/>
        <w:t xml:space="preserve">
— Mihaly Csikszentmihalyi — Vivre : La psychologie du bonheur (2004), Robert Laffont, Paris, p. 9</w:t>
      </w:r>
    </w:p>
    <w:p>
      <w:pPr>
        <w:bidi/>
        <w:spacing w:before="320" w:after="160"/>
        <w:jc w:val="right"/>
      </w:pPr>
      <w:r>
        <w:rPr>
          <w:rFonts w:ascii="Arial" w:cs="Arial" w:eastAsia="Arial" w:hAnsi="Arial"/>
          <w:b/>
          <w:bCs/>
          <w:color w:val="2E6DA4"/>
          <w:sz w:val="30"/>
          <w:szCs w:val="30"/>
        </w:rPr>
        <w:t xml:space="preserve">٣-٢ ما تُقدمه هذه المقاربة</w:t>
      </w:r>
    </w:p>
    <w:p>
      <w:pPr>
        <w:bidi/>
        <w:spacing w:before="150" w:after="170" w:line="400"/>
        <w:ind w:firstLine="720"/>
      </w:pPr>
      <w:r>
        <w:rPr>
          <w:rFonts w:ascii="Arial" w:cs="Arial" w:eastAsia="Arial" w:hAnsi="Arial"/>
          <w:b w:val="false"/>
          <w:bCs w:val="false"/>
          <w:color w:val="1A1A1A"/>
          <w:sz w:val="24"/>
          <w:szCs w:val="24"/>
        </w:rPr>
        <w:t xml:space="preserve">يُقدم علم النفس الإيجابي أدوات وظيفية مُثبَتة لتحسين جودة الحياة اليومية وتقليص انجذاب النفس نحو الأمارة الرقمية:</w:t>
      </w:r>
    </w:p>
    <w:p>
      <w:pPr>
        <w:bidi/>
        <w:spacing w:before="150" w:after="170" w:line="400"/>
        <w:ind w:firstLine="720"/>
      </w:pPr>
      <w:r>
        <w:rPr>
          <w:rFonts w:ascii="Arial" w:cs="Arial" w:eastAsia="Arial" w:hAnsi="Arial"/>
          <w:b/>
          <w:bCs/>
          <w:color w:val="1A1A1A"/>
          <w:sz w:val="24"/>
          <w:szCs w:val="24"/>
        </w:rPr>
        <w:t xml:space="preserve">الامتنان اليومي:</w:t>
      </w:r>
      <w:r>
        <w:rPr>
          <w:rFonts w:ascii="Arial" w:cs="Arial" w:eastAsia="Arial" w:hAnsi="Arial"/>
          <w:color w:val="1A1A1A"/>
          <w:sz w:val="24"/>
          <w:szCs w:val="24"/>
        </w:rPr>
        <w:t xml:space="preserve">  يُقلص المقارنة الاجتماعية الصاعدة التي تُغذّيها الخوارزمية.</w:t>
      </w:r>
    </w:p>
    <w:p>
      <w:pPr>
        <w:bidi/>
        <w:spacing w:before="150" w:after="170" w:line="400"/>
        <w:ind w:firstLine="720"/>
      </w:pPr>
      <w:r>
        <w:rPr>
          <w:rFonts w:ascii="Arial" w:cs="Arial" w:eastAsia="Arial" w:hAnsi="Arial"/>
          <w:b/>
          <w:bCs/>
          <w:color w:val="1A1A1A"/>
          <w:sz w:val="24"/>
          <w:szCs w:val="24"/>
        </w:rPr>
        <w:t xml:space="preserve">القوى الشخصية:</w:t>
      </w:r>
      <w:r>
        <w:rPr>
          <w:rFonts w:ascii="Arial" w:cs="Arial" w:eastAsia="Arial" w:hAnsi="Arial"/>
          <w:color w:val="1A1A1A"/>
          <w:sz w:val="24"/>
          <w:szCs w:val="24"/>
        </w:rPr>
        <w:t xml:space="preserve">  توظيف المواهب الفطرية في نشاط حقيقي يُوفر بديلاً أعمق من الاطمئنان الرقمي.</w:t>
      </w:r>
    </w:p>
    <w:p>
      <w:pPr>
        <w:bidi/>
        <w:spacing w:before="150" w:after="170" w:line="400"/>
        <w:ind w:firstLine="720"/>
      </w:pPr>
      <w:r>
        <w:rPr>
          <w:rFonts w:ascii="Arial" w:cs="Arial" w:eastAsia="Arial" w:hAnsi="Arial"/>
          <w:b/>
          <w:bCs/>
          <w:color w:val="1A1A1A"/>
          <w:sz w:val="24"/>
          <w:szCs w:val="24"/>
        </w:rPr>
        <w:t xml:space="preserve">العلاقات الإيجابية:</w:t>
      </w:r>
      <w:r>
        <w:rPr>
          <w:rFonts w:ascii="Arial" w:cs="Arial" w:eastAsia="Arial" w:hAnsi="Arial"/>
          <w:color w:val="1A1A1A"/>
          <w:sz w:val="24"/>
          <w:szCs w:val="24"/>
        </w:rPr>
        <w:t xml:space="preserve">  تُعوّض الوحدة المُتصلة بعلاقات حقيقية ذات عمق.</w:t>
      </w:r>
    </w:p>
    <w:p>
      <w:pPr>
        <w:bidi/>
        <w:spacing w:before="150" w:after="170" w:line="400"/>
        <w:ind w:firstLine="720"/>
      </w:pPr>
      <w:r>
        <w:rPr>
          <w:rFonts w:ascii="Arial" w:cs="Arial" w:eastAsia="Arial" w:hAnsi="Arial"/>
          <w:b/>
          <w:bCs/>
          <w:color w:val="1A1A1A"/>
          <w:sz w:val="24"/>
          <w:szCs w:val="24"/>
        </w:rPr>
        <w:t xml:space="preserve">المعنى:</w:t>
      </w:r>
      <w:r>
        <w:rPr>
          <w:rFonts w:ascii="Arial" w:cs="Arial" w:eastAsia="Arial" w:hAnsi="Arial"/>
          <w:color w:val="1A1A1A"/>
          <w:sz w:val="24"/>
          <w:szCs w:val="24"/>
        </w:rPr>
        <w:t xml:space="preserve">  بُعد "المعنى" في نموذج PERMA هو الأقرب إلى ما يُسميه القرآن الغاية الوجودية.</w:t>
      </w:r>
    </w:p>
    <w:p>
      <w:pPr>
        <w:bidi/>
        <w:spacing w:before="320" w:after="160"/>
        <w:jc w:val="right"/>
      </w:pPr>
      <w:r>
        <w:rPr>
          <w:rFonts w:ascii="Arial" w:cs="Arial" w:eastAsia="Arial" w:hAnsi="Arial"/>
          <w:b/>
          <w:bCs/>
          <w:color w:val="2E6DA4"/>
          <w:sz w:val="30"/>
          <w:szCs w:val="30"/>
        </w:rPr>
        <w:t xml:space="preserve">٣-٣ سقفها القصوى: المعنى النسبي في مواجهة الأسئلة المطلقة</w:t>
      </w:r>
    </w:p>
    <w:p>
      <w:pPr>
        <w:bidi/>
        <w:spacing w:before="150" w:after="170" w:line="400"/>
        <w:ind w:firstLine="720"/>
      </w:pPr>
      <w:r>
        <w:rPr>
          <w:rFonts w:ascii="Arial" w:cs="Arial" w:eastAsia="Arial" w:hAnsi="Arial"/>
          <w:b w:val="false"/>
          <w:bCs w:val="false"/>
          <w:color w:val="1A1A1A"/>
          <w:sz w:val="24"/>
          <w:szCs w:val="24"/>
        </w:rPr>
        <w:t xml:space="preserve">يصطدم علم النفس الإيجابي بجدار صلب حين تطرح النفس أسئلتها الكبرى الأربعة التي لا يجيب عليها أي نظام بشري:</w:t>
      </w:r>
    </w:p>
    <w:p>
      <w:pPr>
        <w:bidi/>
        <w:spacing w:before="150" w:after="170" w:line="400"/>
        <w:ind w:firstLine="720"/>
      </w:pPr>
      <w:r>
        <w:rPr>
          <w:rFonts w:ascii="Arial" w:cs="Arial" w:eastAsia="Arial" w:hAnsi="Arial"/>
          <w:b/>
          <w:bCs/>
          <w:color w:val="1A1A1A"/>
          <w:sz w:val="24"/>
          <w:szCs w:val="24"/>
        </w:rPr>
        <w:t xml:space="preserve">السؤال الأول — الموت:</w:t>
      </w:r>
      <w:r>
        <w:rPr>
          <w:rFonts w:ascii="Arial" w:cs="Arial" w:eastAsia="Arial" w:hAnsi="Arial"/>
          <w:color w:val="1A1A1A"/>
          <w:sz w:val="24"/>
          <w:szCs w:val="24"/>
        </w:rPr>
        <w:t xml:space="preserve">  ما معنى كل هذا الازدهار إذا كان نهايته الفناء المطلق؟ علم النفس الإيجابي لا يُجيب — بل يتحاشى السؤال.</w:t>
      </w:r>
    </w:p>
    <w:p>
      <w:pPr>
        <w:bidi/>
        <w:spacing w:before="150" w:after="170" w:line="400"/>
        <w:ind w:firstLine="720"/>
      </w:pPr>
      <w:r>
        <w:rPr>
          <w:rFonts w:ascii="Arial" w:cs="Arial" w:eastAsia="Arial" w:hAnsi="Arial"/>
          <w:b/>
          <w:bCs/>
          <w:color w:val="1A1A1A"/>
          <w:sz w:val="24"/>
          <w:szCs w:val="24"/>
        </w:rPr>
        <w:t xml:space="preserve">السؤال الثاني — العدالة:</w:t>
      </w:r>
      <w:r>
        <w:rPr>
          <w:rFonts w:ascii="Arial" w:cs="Arial" w:eastAsia="Arial" w:hAnsi="Arial"/>
          <w:color w:val="1A1A1A"/>
          <w:sz w:val="24"/>
          <w:szCs w:val="24"/>
        </w:rPr>
        <w:t xml:space="preserve">  ما الذي يجعل الخير خيراً إذا كان الظالم يُزدهر والمظلوم يُعاني دون محاسبة؟ "المعنى" في PERMA نسبي ذاتي لا يُجيب عن العدالة المطلقة.</w:t>
      </w:r>
    </w:p>
    <w:p>
      <w:pPr>
        <w:bidi/>
        <w:spacing w:before="150" w:after="170" w:line="400"/>
        <w:ind w:firstLine="720"/>
      </w:pPr>
      <w:r>
        <w:rPr>
          <w:rFonts w:ascii="Arial" w:cs="Arial" w:eastAsia="Arial" w:hAnsi="Arial"/>
          <w:b/>
          <w:bCs/>
          <w:color w:val="1A1A1A"/>
          <w:sz w:val="24"/>
          <w:szCs w:val="24"/>
        </w:rPr>
        <w:t xml:space="preserve">السؤال الثالث — الذنب:</w:t>
      </w:r>
      <w:r>
        <w:rPr>
          <w:rFonts w:ascii="Arial" w:cs="Arial" w:eastAsia="Arial" w:hAnsi="Arial"/>
          <w:color w:val="1A1A1A"/>
          <w:sz w:val="24"/>
          <w:szCs w:val="24"/>
        </w:rPr>
        <w:t xml:space="preserve">  كيف يُعالَج الذنب العميق الذي يصمت أمامه كل معالج نفسي لأنه لا يملك سلطة المغفرة الحقيقية؟</w:t>
      </w:r>
    </w:p>
    <w:p>
      <w:pPr>
        <w:bidi/>
        <w:spacing w:before="150" w:after="170" w:line="400"/>
        <w:ind w:firstLine="720"/>
      </w:pPr>
      <w:r>
        <w:rPr>
          <w:rFonts w:ascii="Arial" w:cs="Arial" w:eastAsia="Arial" w:hAnsi="Arial"/>
          <w:b/>
          <w:bCs/>
          <w:color w:val="1A1A1A"/>
          <w:sz w:val="24"/>
          <w:szCs w:val="24"/>
        </w:rPr>
        <w:t xml:space="preserve">السؤال الرابع — الوحدة الوجودية:</w:t>
      </w:r>
      <w:r>
        <w:rPr>
          <w:rFonts w:ascii="Arial" w:cs="Arial" w:eastAsia="Arial" w:hAnsi="Arial"/>
          <w:color w:val="1A1A1A"/>
          <w:sz w:val="24"/>
          <w:szCs w:val="24"/>
        </w:rPr>
        <w:t xml:space="preserve">  هل ثمة من يعرفني حقاً في أعماقي التي لا أُبوح بها لأحد؟ وهذا السؤال لا يُجيب عنه إلا حضور يعلم خائنة الأعين وما تخفي الصدور.</w:t>
      </w:r>
    </w:p>
    <w:p>
      <w:pPr>
        <w:pBdr>
          <w:left w:val="single" w:color="2E6DA4" w:sz="20" w:space="6"/>
        </w:pBdr>
        <w:spacing w:before="200" w:after="160"/>
        <w:ind w:left="800" w:right="200"/>
        <w:jc w:val="left"/>
      </w:pPr>
      <w:r>
        <w:rPr>
          <w:rFonts w:ascii="Arial" w:cs="Arial" w:eastAsia="Arial" w:hAnsi="Arial"/>
          <w:color w:val="2A2A2A"/>
          <w:sz w:val="22"/>
          <w:szCs w:val="22"/>
        </w:rPr>
        <w:t xml:space="preserve">« La psychologie positive peut améliorer le fonctionnement quotidien, mais elle reste silencieuse face aux grandes questions existentielles : la mort, la culpabilité profonde, la solitude ontologique et l'injustice universelle »</w:t>
      </w:r>
      <w:r>
        <w:rPr>
          <w:rFonts w:ascii="Arial" w:cs="Arial" w:eastAsia="Arial" w:hAnsi="Arial"/>
          <w:color w:val="666666"/>
          <w:sz w:val="19"/>
          <w:szCs w:val="19"/>
        </w:rPr>
        <w:br/>
        <w:t xml:space="preserve">
— Irvin Yalom — Thérapie existentielle (1980), Basic Books, New York — trad. fr. Librairie générale française, 2008, p. 8</w:t>
      </w:r>
    </w:p>
    <w:p>
      <w:pPr>
        <w:bidi/>
        <w:spacing w:before="150" w:after="170" w:line="400"/>
        <w:ind w:firstLine="720"/>
      </w:pPr>
      <w:r>
        <w:rPr>
          <w:rFonts w:ascii="Arial" w:cs="Arial" w:eastAsia="Arial" w:hAnsi="Arial"/>
          <w:b w:val="false"/>
          <w:bCs w:val="false"/>
          <w:color w:val="1A1A1A"/>
          <w:sz w:val="24"/>
          <w:szCs w:val="24"/>
        </w:rPr>
        <w:t xml:space="preserve">يرلوم — أستاذ الطب النفسي في ستانفورد — يُصنّف هذه الأسئلة الأربعة كـ"المعطيات الوجودية الأساسية" التي لا يستطيع أي نظام علاجي علماني الإجابة عنها بشكل مُقنع.</w:t>
      </w:r>
    </w:p>
    <w:p>
      <w:pPr>
        <w:pBdr>
          <w:top w:val="single" w:color="8B1A1A" w:sz="2"/>
          <w:bottom w:val="single" w:color="8B1A1A" w:sz="2"/>
          <w:left w:val="single" w:color="8B1A1A" w:sz="14"/>
          <w:right w:val="single" w:color="8B1A1A" w:sz="14"/>
        </w:pBdr>
        <w:shd w:fill="FFF3F3" w:val="clear"/>
        <w:bidi/>
        <w:spacing w:before="200" w:after="160"/>
      </w:pPr>
      <w:r>
        <w:rPr>
          <w:rFonts w:ascii="Arial" w:cs="Arial" w:eastAsia="Arial" w:hAnsi="Arial"/>
          <w:color w:val="6B0000"/>
          <w:sz w:val="22"/>
          <w:szCs w:val="22"/>
        </w:rPr>
        <w:t xml:space="preserve">علم النفس الإيجابي يُحسّن الحياة اليومية ويُوفر معنىً وظيفياً — لكنه يقف عاجزاً أمام الموت والعدل والذنب والوحدة الوجودية. وهذه الأربعة لا تنتظر — بل تطرق باب النفس كل ليلة.</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٤ — المقاربة الرابعة: الفلسفة الرواقية الجديدة</w:t>
      </w:r>
    </w:p>
    <w:p>
      <w:pPr>
        <w:bidi/>
        <w:spacing w:before="320" w:after="160"/>
        <w:jc w:val="right"/>
      </w:pPr>
      <w:r>
        <w:rPr>
          <w:rFonts w:ascii="Arial" w:cs="Arial" w:eastAsia="Arial" w:hAnsi="Arial"/>
          <w:b/>
          <w:bCs/>
          <w:color w:val="2E6DA4"/>
          <w:sz w:val="30"/>
          <w:szCs w:val="30"/>
        </w:rPr>
        <w:t xml:space="preserve">٤-١ عرض المقاربة</w:t>
      </w:r>
    </w:p>
    <w:p>
      <w:pPr>
        <w:bidi/>
        <w:spacing w:before="150" w:after="170" w:line="400"/>
        <w:ind w:firstLine="720"/>
      </w:pPr>
      <w:r>
        <w:rPr>
          <w:rFonts w:ascii="Arial" w:cs="Arial" w:eastAsia="Arial" w:hAnsi="Arial"/>
          <w:b w:val="false"/>
          <w:bCs w:val="false"/>
          <w:color w:val="1A1A1A"/>
          <w:sz w:val="24"/>
          <w:szCs w:val="24"/>
        </w:rPr>
        <w:t xml:space="preserve">شهدت السنوات الأخيرة انبعاثاً رواقياً لافتاً. فكتب ريان هوليداي عن ماركوس أوريليوس وإبيكتيتوس وسينيكا لجمهور واسع، وأصبحت مقولات مثل "الأمور التي في سيطرتنا" و"حب القدر" (Amor Fati) شعارات لجيل يبحث عن ثبات في عالم رقمي متقلب.</w:t>
      </w:r>
    </w:p>
    <w:p>
      <w:pPr>
        <w:pBdr>
          <w:left w:val="single" w:color="2E6DA4" w:sz="20" w:space="6"/>
        </w:pBdr>
        <w:spacing w:before="200" w:after="160"/>
        <w:ind w:left="800" w:right="200"/>
        <w:jc w:val="left"/>
      </w:pPr>
      <w:r>
        <w:rPr>
          <w:rFonts w:ascii="Arial" w:cs="Arial" w:eastAsia="Arial" w:hAnsi="Arial"/>
          <w:color w:val="2A2A2A"/>
          <w:sz w:val="22"/>
          <w:szCs w:val="22"/>
        </w:rPr>
        <w:t xml:space="preserve">« Tu as du pouvoir sur ton esprit, pas sur les événements extérieurs. Réalise cela et tu trouveras la force »</w:t>
      </w:r>
      <w:r>
        <w:rPr>
          <w:rFonts w:ascii="Arial" w:cs="Arial" w:eastAsia="Arial" w:hAnsi="Arial"/>
          <w:color w:val="666666"/>
          <w:sz w:val="19"/>
          <w:szCs w:val="19"/>
        </w:rPr>
        <w:br/>
        <w:t xml:space="preserve">
— Marc Aurèle — Pensées pour moi-même (vers 170 ap. J.-C.), trad. Mario Meunier, Livre de Poche, Paris, 1992, p. IV.3</w:t>
      </w:r>
    </w:p>
    <w:p>
      <w:pPr>
        <w:bidi/>
        <w:spacing w:before="150" w:after="170" w:line="400"/>
        <w:ind w:firstLine="720"/>
      </w:pPr>
      <w:r>
        <w:rPr>
          <w:rFonts w:ascii="Arial" w:cs="Arial" w:eastAsia="Arial" w:hAnsi="Arial"/>
          <w:b w:val="false"/>
          <w:bCs w:val="false"/>
          <w:color w:val="1A1A1A"/>
          <w:sz w:val="24"/>
          <w:szCs w:val="24"/>
        </w:rPr>
        <w:t xml:space="preserve">وللرواقية الجديدة مزايا حقيقية في مواجهة الأزمة الرقمية: تُعلّم الفصل بين ما يمكن التحكم فيه (استجابتي) وما لا يمكن (الخوارزمية)، وتُقلص القلق الناتج عن مقارنة الذات بصور الآخرين الرقمية، وتُرسّخ نوعاً من الانضباط الذاتي يُقاوم الانجراف.</w:t>
      </w:r>
    </w:p>
    <w:p>
      <w:pPr>
        <w:bidi/>
        <w:spacing w:before="320" w:after="160"/>
        <w:jc w:val="right"/>
      </w:pPr>
      <w:r>
        <w:rPr>
          <w:rFonts w:ascii="Arial" w:cs="Arial" w:eastAsia="Arial" w:hAnsi="Arial"/>
          <w:b/>
          <w:bCs/>
          <w:color w:val="2E6DA4"/>
          <w:sz w:val="30"/>
          <w:szCs w:val="30"/>
        </w:rPr>
        <w:t xml:space="preserve">٤-٢ ما تُقدمه هذه المقاربة</w:t>
      </w:r>
    </w:p>
    <w:p>
      <w:pPr>
        <w:bidi/>
        <w:spacing w:before="150" w:after="170" w:line="400"/>
        <w:ind w:firstLine="720"/>
      </w:pPr>
      <w:r>
        <w:rPr>
          <w:rFonts w:ascii="Arial" w:cs="Arial" w:eastAsia="Arial" w:hAnsi="Arial"/>
          <w:b w:val="false"/>
          <w:bCs w:val="false"/>
          <w:color w:val="1A1A1A"/>
          <w:sz w:val="24"/>
          <w:szCs w:val="24"/>
        </w:rPr>
        <w:t xml:space="preserve">الرواقية الجديدة تُقوّي بشكل خاص ضلع الانتقال من الأمارة إلى اللوامة — إذ تُعلّم الإنسان التوقف والتأمل قبل الاستجابة الفورية. وهذا التوقف هو بالضبط ما تُعطّله الخوارزمية.</w:t>
      </w:r>
    </w:p>
    <w:p>
      <w:pPr>
        <w:pBdr>
          <w:left w:val="single" w:color="2E6DA4" w:sz="20" w:space="6"/>
        </w:pBdr>
        <w:spacing w:before="200" w:after="160"/>
        <w:ind w:left="800" w:right="200"/>
        <w:jc w:val="left"/>
      </w:pPr>
      <w:r>
        <w:rPr>
          <w:rFonts w:ascii="Arial" w:cs="Arial" w:eastAsia="Arial" w:hAnsi="Arial"/>
          <w:color w:val="2A2A2A"/>
          <w:sz w:val="22"/>
          <w:szCs w:val="22"/>
        </w:rPr>
        <w:t xml:space="preserve">« Entre le stimulus et la réponse, il y a un espace. Dans cet espace se trouve notre pouvoir de choisir notre réponse. Dans notre réponse résident notre croissance et notre liberté »</w:t>
      </w:r>
      <w:r>
        <w:rPr>
          <w:rFonts w:ascii="Arial" w:cs="Arial" w:eastAsia="Arial" w:hAnsi="Arial"/>
          <w:color w:val="666666"/>
          <w:sz w:val="19"/>
          <w:szCs w:val="19"/>
        </w:rPr>
        <w:br/>
        <w:t xml:space="preserve">
— Viktor Frankl — L'Homme à la recherche du sens (1946), attribuée également à Stephen Covey</w:t>
      </w:r>
    </w:p>
    <w:p>
      <w:pPr>
        <w:bidi/>
        <w:spacing w:before="320" w:after="160"/>
        <w:jc w:val="right"/>
      </w:pPr>
      <w:r>
        <w:rPr>
          <w:rFonts w:ascii="Arial" w:cs="Arial" w:eastAsia="Arial" w:hAnsi="Arial"/>
          <w:b/>
          <w:bCs/>
          <w:color w:val="2E6DA4"/>
          <w:sz w:val="30"/>
          <w:szCs w:val="30"/>
        </w:rPr>
        <w:t xml:space="preserve">٤-٣ سقفها القصوى: الصبر الوحيد والمغفرة المستحيلة</w:t>
      </w:r>
    </w:p>
    <w:p>
      <w:pPr>
        <w:bidi/>
        <w:spacing w:before="150" w:after="170" w:line="400"/>
        <w:ind w:firstLine="720"/>
      </w:pPr>
      <w:r>
        <w:rPr>
          <w:rFonts w:ascii="Arial" w:cs="Arial" w:eastAsia="Arial" w:hAnsi="Arial"/>
          <w:b w:val="false"/>
          <w:bCs w:val="false"/>
          <w:color w:val="1A1A1A"/>
          <w:sz w:val="24"/>
          <w:szCs w:val="24"/>
        </w:rPr>
        <w:t xml:space="preserve">غير أن الرواقية تصطدم بقصورين بنيويين عميقين:</w:t>
      </w:r>
    </w:p>
    <w:p>
      <w:pPr>
        <w:bidi/>
        <w:spacing w:before="220" w:after="110"/>
        <w:jc w:val="right"/>
      </w:pPr>
      <w:r>
        <w:rPr>
          <w:rFonts w:ascii="Arial" w:cs="Arial" w:eastAsia="Arial" w:hAnsi="Arial"/>
          <w:b/>
          <w:bCs/>
          <w:color w:val="4A8FC1"/>
          <w:sz w:val="26"/>
          <w:szCs w:val="26"/>
        </w:rPr>
        <w:t xml:space="preserve">أ — الصبر بلا حضور</w:t>
      </w:r>
    </w:p>
    <w:p>
      <w:pPr>
        <w:bidi/>
        <w:spacing w:before="150" w:after="170" w:line="400"/>
        <w:ind w:firstLine="720"/>
      </w:pPr>
      <w:r>
        <w:rPr>
          <w:rFonts w:ascii="Arial" w:cs="Arial" w:eastAsia="Arial" w:hAnsi="Arial"/>
          <w:b w:val="false"/>
          <w:bCs w:val="false"/>
          <w:color w:val="1A1A1A"/>
          <w:sz w:val="24"/>
          <w:szCs w:val="24"/>
        </w:rPr>
        <w:t xml:space="preserve">الرواقية تُعلّم قبول الألم — وهذا نبيل. لكنها تُعلّم قبوله وحيداً بارداً. الإنسان الرواقي يقبل موت أحبابه، ويقبل الظلم الواقع عليه، ويقبل فنائه المحتوم — كل ذلك بمفرده في مواجهة قدر صامت لا يسمع ولا يستجيب.</w:t>
      </w:r>
    </w:p>
    <w:p>
      <w:pPr>
        <w:bidi/>
        <w:spacing w:before="150" w:after="170" w:line="400"/>
        <w:ind w:firstLine="720"/>
      </w:pPr>
      <w:r>
        <w:rPr>
          <w:rFonts w:ascii="Arial" w:cs="Arial" w:eastAsia="Arial" w:hAnsi="Arial"/>
          <w:b w:val="false"/>
          <w:bCs w:val="false"/>
          <w:color w:val="1A1A1A"/>
          <w:sz w:val="24"/>
          <w:szCs w:val="24"/>
        </w:rPr>
        <w:t xml:space="preserve">بينما الصبر القرآني صبر مع حضور: ليس سكوتاً على الألم بل حواراً فيه. "ربنا أفرغ علينا صبراً" — الصبر مطلوب من الله لا مُنتَج من الداخل وحده. وهذا يجعل الصبر القرآني أمتن وأعمق وأقدر على الاستمرار.</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رَبَّنَا أَفْرِغْ عَلَيْنَا صَبْرًا وَثَبِّتْ أَقْدَامَنَا</w:t>
      </w:r>
      <w:r>
        <w:rPr>
          <w:rFonts w:ascii="Arial" w:cs="Arial" w:eastAsia="Arial" w:hAnsi="Arial"/>
          <w:color w:val="8B6914"/>
          <w:sz w:val="20"/>
          <w:szCs w:val="20"/>
        </w:rPr>
        <w:br/>
        <w:t xml:space="preserve">
— البقرة: ٢٥٠</w:t>
      </w:r>
    </w:p>
    <w:p>
      <w:pPr>
        <w:bidi/>
        <w:spacing w:before="220" w:after="110"/>
        <w:jc w:val="right"/>
      </w:pPr>
      <w:r>
        <w:rPr>
          <w:rFonts w:ascii="Arial" w:cs="Arial" w:eastAsia="Arial" w:hAnsi="Arial"/>
          <w:b/>
          <w:bCs/>
          <w:color w:val="4A8FC1"/>
          <w:sz w:val="26"/>
          <w:szCs w:val="26"/>
        </w:rPr>
        <w:t xml:space="preserve">ب — الذنب بلا مخرج</w:t>
      </w:r>
    </w:p>
    <w:p>
      <w:pPr>
        <w:bidi/>
        <w:spacing w:before="150" w:after="170" w:line="400"/>
        <w:ind w:firstLine="720"/>
      </w:pPr>
      <w:r>
        <w:rPr>
          <w:rFonts w:ascii="Arial" w:cs="Arial" w:eastAsia="Arial" w:hAnsi="Arial"/>
          <w:b w:val="false"/>
          <w:bCs w:val="false"/>
          <w:color w:val="1A1A1A"/>
          <w:sz w:val="24"/>
          <w:szCs w:val="24"/>
        </w:rPr>
        <w:t xml:space="preserve">المشكلة الأعمق في الرواقية هي تعاملها مع الذنب. فهي تُعلّم "الاعتراف بالخطأ والتعلم منه والمضي قدماً" — وهذا معقول نظرياً. لكن الذنب الوجودي العميق — الشعور بأنك خنت ما كان يجب أن يكون — لا يُعالَج بالمضي قدماً. يحتاج إلى محو، إلى مغفرة، إلى طرف يملك سلطة إعلان: "غُفر لك".</w:t>
      </w:r>
    </w:p>
    <w:p>
      <w:pPr>
        <w:pBdr>
          <w:left w:val="single" w:color="2E6DA4" w:sz="20" w:space="6"/>
        </w:pBdr>
        <w:spacing w:before="200" w:after="160"/>
        <w:ind w:left="800" w:right="200"/>
        <w:jc w:val="left"/>
      </w:pPr>
      <w:r>
        <w:rPr>
          <w:rFonts w:ascii="Arial" w:cs="Arial" w:eastAsia="Arial" w:hAnsi="Arial"/>
          <w:color w:val="2A2A2A"/>
          <w:sz w:val="22"/>
          <w:szCs w:val="22"/>
        </w:rPr>
        <w:t xml:space="preserve">« Le stoïcisme peut nous apprendre à accepter nos erreurs avec sérénité, mais il ne peut pas nous offrir ce dont la conscience humaine a le plus besoin : le pardon véritable »</w:t>
      </w:r>
      <w:r>
        <w:rPr>
          <w:rFonts w:ascii="Arial" w:cs="Arial" w:eastAsia="Arial" w:hAnsi="Arial"/>
          <w:color w:val="666666"/>
          <w:sz w:val="19"/>
          <w:szCs w:val="19"/>
        </w:rPr>
        <w:br/>
        <w:t xml:space="preserve">
— Pierre Hadot — Qu'est-ce que la philosophie antique ? (1995), Gallimard, Paris, p. 312</w:t>
      </w:r>
    </w:p>
    <w:p>
      <w:pPr>
        <w:bidi/>
        <w:spacing w:before="150" w:after="170" w:line="400"/>
        <w:ind w:firstLine="720"/>
      </w:pPr>
      <w:r>
        <w:rPr>
          <w:rFonts w:ascii="Arial" w:cs="Arial" w:eastAsia="Arial" w:hAnsi="Arial"/>
          <w:b w:val="false"/>
          <w:bCs w:val="false"/>
          <w:color w:val="1A1A1A"/>
          <w:sz w:val="24"/>
          <w:szCs w:val="24"/>
        </w:rPr>
        <w:t xml:space="preserve">وهذا بالضبط ما يُقدمه القرآن ويعجز عنه كل فيلسوف رواقي: الله الذي يملك سلطة المغفرة الحقيقية: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قُلْ يَا عِبَادِيَ الَّذِينَ أَسْرَفُوا عَلَىٰ أَنفُسِهِمْ لَا تَقْنَطُوا مِن رَّحْمَةِ اللَّهِ إِنَّ اللَّهَ يَغْفِرُ الذُّنُوبَ جَمِيعًا</w:t>
      </w:r>
      <w:r>
        <w:rPr>
          <w:rFonts w:ascii="Arial" w:cs="Arial" w:eastAsia="Arial" w:hAnsi="Arial"/>
          <w:color w:val="8B6914"/>
          <w:sz w:val="20"/>
          <w:szCs w:val="20"/>
        </w:rPr>
        <w:br/>
        <w:t xml:space="preserve">
— الزمر: ٥٣</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٥ — المقاربة الخامسة: التحليل النفسي وما بعده</w:t>
      </w:r>
    </w:p>
    <w:p>
      <w:pPr>
        <w:bidi/>
        <w:spacing w:before="320" w:after="160"/>
        <w:jc w:val="right"/>
      </w:pPr>
      <w:r>
        <w:rPr>
          <w:rFonts w:ascii="Arial" w:cs="Arial" w:eastAsia="Arial" w:hAnsi="Arial"/>
          <w:b/>
          <w:bCs/>
          <w:color w:val="2E6DA4"/>
          <w:sz w:val="30"/>
          <w:szCs w:val="30"/>
        </w:rPr>
        <w:t xml:space="preserve">٥-١ فرويد: تشخيص عبقري وعلاج قاصر</w:t>
      </w:r>
    </w:p>
    <w:p>
      <w:pPr>
        <w:bidi/>
        <w:spacing w:before="150" w:after="170" w:line="400"/>
        <w:ind w:firstLine="720"/>
      </w:pPr>
      <w:r>
        <w:rPr>
          <w:rFonts w:ascii="Arial" w:cs="Arial" w:eastAsia="Arial" w:hAnsi="Arial"/>
          <w:b w:val="false"/>
          <w:bCs w:val="false"/>
          <w:color w:val="1A1A1A"/>
          <w:sz w:val="24"/>
          <w:szCs w:val="24"/>
        </w:rPr>
        <w:t xml:space="preserve">لا يمكن قراءة الأزمة الرقمية دون الإقرار بالدين الكبير الذي تدين به كل نظريات النفس البشرية لسيغموند فرويد. فقد كان فرويد أول من رصد بعمق أن ما يبدو سلوكاً سطحياً هو في الواقع تعبير عن بنية لاواعية عميقة، وأن العوارض الظاهرة لا تُعالَج إلا بالنزول إلى جذورها.</w:t>
      </w:r>
    </w:p>
    <w:p>
      <w:pPr>
        <w:pBdr>
          <w:left w:val="single" w:color="2E6DA4" w:sz="20" w:space="6"/>
        </w:pBdr>
        <w:spacing w:before="200" w:after="160"/>
        <w:ind w:left="800" w:right="200"/>
        <w:jc w:val="left"/>
      </w:pPr>
      <w:r>
        <w:rPr>
          <w:rFonts w:ascii="Arial" w:cs="Arial" w:eastAsia="Arial" w:hAnsi="Arial"/>
          <w:color w:val="2A2A2A"/>
          <w:sz w:val="22"/>
          <w:szCs w:val="22"/>
        </w:rPr>
        <w:t xml:space="preserve">« Les symptômes névrotiques ne sont pas arbitraires — ils ont un sens, une logique cachée que l'analyse peut déchiffrer »</w:t>
      </w:r>
      <w:r>
        <w:rPr>
          <w:rFonts w:ascii="Arial" w:cs="Arial" w:eastAsia="Arial" w:hAnsi="Arial"/>
          <w:color w:val="666666"/>
          <w:sz w:val="19"/>
          <w:szCs w:val="19"/>
        </w:rPr>
        <w:br/>
        <w:t xml:space="preserve">
— Sigmund Freud — Introduction à la psychanalyse (1916), Payot, Paris, 1999, p. 280</w:t>
      </w:r>
    </w:p>
    <w:p>
      <w:pPr>
        <w:bidi/>
        <w:spacing w:before="150" w:after="170" w:line="400"/>
        <w:ind w:firstLine="720"/>
      </w:pPr>
      <w:r>
        <w:rPr>
          <w:rFonts w:ascii="Arial" w:cs="Arial" w:eastAsia="Arial" w:hAnsi="Arial"/>
          <w:b w:val="false"/>
          <w:bCs w:val="false"/>
          <w:color w:val="1A1A1A"/>
          <w:sz w:val="24"/>
          <w:szCs w:val="24"/>
        </w:rPr>
        <w:t xml:space="preserve">وهذا الاكتشاف الفرويدي — أن الإنسان يخضع لدوافع لا يعيها — هو ما جعل علم التحليل النفسي حاسماً في فهم لماذا الإنسان يقع في الفخ الرقمي حتى وهو يعرف أنه فخ.</w:t>
      </w:r>
    </w:p>
    <w:p>
      <w:pPr>
        <w:bidi/>
        <w:spacing w:before="320" w:after="160"/>
        <w:jc w:val="right"/>
      </w:pPr>
      <w:r>
        <w:rPr>
          <w:rFonts w:ascii="Arial" w:cs="Arial" w:eastAsia="Arial" w:hAnsi="Arial"/>
          <w:b/>
          <w:bCs/>
          <w:color w:val="2E6DA4"/>
          <w:sz w:val="30"/>
          <w:szCs w:val="30"/>
        </w:rPr>
        <w:t xml:space="preserve">٥-٢ لاكان: الأقرب والأبعد</w:t>
      </w:r>
    </w:p>
    <w:p>
      <w:pPr>
        <w:bidi/>
        <w:spacing w:before="150" w:after="170" w:line="400"/>
        <w:ind w:firstLine="720"/>
      </w:pPr>
      <w:r>
        <w:rPr>
          <w:rFonts w:ascii="Arial" w:cs="Arial" w:eastAsia="Arial" w:hAnsi="Arial"/>
          <w:b w:val="false"/>
          <w:bCs w:val="false"/>
          <w:color w:val="1A1A1A"/>
          <w:sz w:val="24"/>
          <w:szCs w:val="24"/>
        </w:rPr>
        <w:t xml:space="preserve">جاء جاك لاكان بإضافة بنيوية عميقة: مفهوم "الأب الرمزي" كمرجعية ضرورية لتنظيم الذات. وبغياب هذه المرجعية — سواء في الواقع الأسري أو في البنية الثقافية — تسقط الذات في الذهان أو تبحث عن مرجعية بديلة.</w:t>
      </w:r>
    </w:p>
    <w:p>
      <w:pPr>
        <w:pBdr>
          <w:left w:val="single" w:color="2E6DA4" w:sz="20" w:space="6"/>
        </w:pBdr>
        <w:spacing w:before="200" w:after="160"/>
        <w:ind w:left="800" w:right="200"/>
        <w:jc w:val="left"/>
      </w:pPr>
      <w:r>
        <w:rPr>
          <w:rFonts w:ascii="Arial" w:cs="Arial" w:eastAsia="Arial" w:hAnsi="Arial"/>
          <w:color w:val="2A2A2A"/>
          <w:sz w:val="22"/>
          <w:szCs w:val="22"/>
        </w:rPr>
        <w:t xml:space="preserve">« C'est dans le nom-du-père que nous devons reconnaître le support de la fonction symbolique qui, depuis l'orée des temps historiques, identifie sa personne à la figure de la loi »</w:t>
      </w:r>
      <w:r>
        <w:rPr>
          <w:rFonts w:ascii="Arial" w:cs="Arial" w:eastAsia="Arial" w:hAnsi="Arial"/>
          <w:color w:val="666666"/>
          <w:sz w:val="19"/>
          <w:szCs w:val="19"/>
        </w:rPr>
        <w:br/>
        <w:t xml:space="preserve">
— Jacques Lacan — Écrits (1966), Seuil, Paris, p. 278</w:t>
      </w:r>
    </w:p>
    <w:p>
      <w:pPr>
        <w:bidi/>
        <w:spacing w:before="150" w:after="170" w:line="400"/>
        <w:ind w:firstLine="720"/>
      </w:pPr>
      <w:r>
        <w:rPr>
          <w:rFonts w:ascii="Arial" w:cs="Arial" w:eastAsia="Arial" w:hAnsi="Arial"/>
          <w:b w:val="false"/>
          <w:bCs w:val="false"/>
          <w:color w:val="1A1A1A"/>
          <w:sz w:val="24"/>
          <w:szCs w:val="24"/>
        </w:rPr>
        <w:t xml:space="preserve">هذا المفهوم هو الأقرب من بين كل المفاهيم الغربية إلى ما يُقدمه القرآن — لأنه يُدرك الحاجة البنيوية لمرجعية متعالية تنظم النفس. غير أن الأب الرمزي اللاكاني يظل "اسماً" و"أثراً" — بنية لغوية رمزية لا حضور حي فاعل مستجيب.</w:t>
      </w:r>
    </w:p>
    <w:p>
      <w:pPr>
        <w:pBdr>
          <w:top w:val="single" w:color="2E6DA4" w:sz="2"/>
          <w:bottom w:val="single" w:color="2E6DA4" w:sz="2"/>
          <w:left w:val="single" w:color="2E6DA4" w:sz="14"/>
          <w:right w:val="single" w:color="2E6DA4" w:sz="14"/>
        </w:pBdr>
        <w:shd w:fill="EBF3FB" w:val="clear"/>
        <w:bidi/>
        <w:spacing w:before="200" w:after="160"/>
      </w:pPr>
      <w:r>
        <w:rPr>
          <w:rFonts w:ascii="Arial" w:cs="Arial" w:eastAsia="Arial" w:hAnsi="Arial"/>
          <w:color w:val="1A3C5E"/>
          <w:sz w:val="22"/>
          <w:szCs w:val="22"/>
        </w:rPr>
        <w:t xml:space="preserve">لاكان وصف الحاجة بدقة — لكن وصفها لا يُغني عن تلبيتها. النفس تحتاج الحضور لا وصف الحضور.</w:t>
      </w:r>
    </w:p>
    <w:p>
      <w:pPr>
        <w:bidi/>
        <w:spacing w:before="320" w:after="160"/>
        <w:jc w:val="right"/>
      </w:pPr>
      <w:r>
        <w:rPr>
          <w:rFonts w:ascii="Arial" w:cs="Arial" w:eastAsia="Arial" w:hAnsi="Arial"/>
          <w:b/>
          <w:bCs/>
          <w:color w:val="2E6DA4"/>
          <w:sz w:val="30"/>
          <w:szCs w:val="30"/>
        </w:rPr>
        <w:t xml:space="preserve">٥-٣ العلاج الوجودي: يرلوم والحدود المُعلَنة</w:t>
      </w:r>
    </w:p>
    <w:p>
      <w:pPr>
        <w:bidi/>
        <w:spacing w:before="150" w:after="170" w:line="400"/>
        <w:ind w:firstLine="720"/>
      </w:pPr>
      <w:r>
        <w:rPr>
          <w:rFonts w:ascii="Arial" w:cs="Arial" w:eastAsia="Arial" w:hAnsi="Arial"/>
          <w:b w:val="false"/>
          <w:bCs w:val="false"/>
          <w:color w:val="1A1A1A"/>
          <w:sz w:val="24"/>
          <w:szCs w:val="24"/>
        </w:rPr>
        <w:t xml:space="preserve">يرلوم — في كتابه "العلاج الوجودي" — يُقرّ صراحةً بأن العلاج النفسي يصطدم بأربع معطيات وجودية لا حل لها في إطاره: الموت، الحرية، العزلة، واللامعنى. ويرى أن العلاج الوجودي لا يُقدم إجابات بل يُساعد المريض على "التعامل" مع هذه المعطيات.</w:t>
      </w:r>
    </w:p>
    <w:p>
      <w:pPr>
        <w:pBdr>
          <w:left w:val="single" w:color="2E6DA4" w:sz="20" w:space="6"/>
        </w:pBdr>
        <w:spacing w:before="200" w:after="160"/>
        <w:ind w:left="800" w:right="200"/>
        <w:jc w:val="left"/>
      </w:pPr>
      <w:r>
        <w:rPr>
          <w:rFonts w:ascii="Arial" w:cs="Arial" w:eastAsia="Arial" w:hAnsi="Arial"/>
          <w:color w:val="2A2A2A"/>
          <w:sz w:val="22"/>
          <w:szCs w:val="22"/>
        </w:rPr>
        <w:t xml:space="preserve">« Je ne prétends pas avoir de réponses aux questions ultimes. Ce que je propose, c'est un regard lucide sur la condition humaine — non pour la résoudre mais pour la traverser avec moins de terreur »</w:t>
      </w:r>
      <w:r>
        <w:rPr>
          <w:rFonts w:ascii="Arial" w:cs="Arial" w:eastAsia="Arial" w:hAnsi="Arial"/>
          <w:color w:val="666666"/>
          <w:sz w:val="19"/>
          <w:szCs w:val="19"/>
        </w:rPr>
        <w:br/>
        <w:t xml:space="preserve">
— Irvin Yalom — Thérapie existentielle (1980), trad. fr. Librairie générale française, Paris, 2008, p. 14</w:t>
      </w:r>
    </w:p>
    <w:p>
      <w:pPr>
        <w:bidi/>
        <w:spacing w:before="150" w:after="170" w:line="400"/>
        <w:ind w:firstLine="720"/>
      </w:pPr>
      <w:r>
        <w:rPr>
          <w:rFonts w:ascii="Arial" w:cs="Arial" w:eastAsia="Arial" w:hAnsi="Arial"/>
          <w:b w:val="false"/>
          <w:bCs w:val="false"/>
          <w:color w:val="1A1A1A"/>
          <w:sz w:val="24"/>
          <w:szCs w:val="24"/>
        </w:rPr>
        <w:t xml:space="preserve">هذا الاعتراف الصريح من أحد أبرز علماء النفس يُقدّم خدمة أكاديمية نادرة: إنه يُحدد بدقة موضع القصور — "التعامل" لا "الحل". وهذا ما يُميّز النموذج القرآني: لا يدعو إلى "التعامل" مع الموت بل يُجيب عن ما بعده.</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٦ — القاسم المشترك: ما يجمع كل البدائل الغربية</w:t>
      </w:r>
    </w:p>
    <w:p>
      <w:pPr>
        <w:bidi/>
        <w:spacing w:before="320" w:after="160"/>
        <w:jc w:val="right"/>
      </w:pPr>
      <w:r>
        <w:rPr>
          <w:rFonts w:ascii="Arial" w:cs="Arial" w:eastAsia="Arial" w:hAnsi="Arial"/>
          <w:b/>
          <w:bCs/>
          <w:color w:val="2E6DA4"/>
          <w:sz w:val="30"/>
          <w:szCs w:val="30"/>
        </w:rPr>
        <w:t xml:space="preserve">٦-١ ثلاثة غيابات بنيوية</w:t>
      </w:r>
    </w:p>
    <w:p>
      <w:pPr>
        <w:bidi/>
        <w:spacing w:before="150" w:after="170" w:line="400"/>
        <w:ind w:firstLine="720"/>
      </w:pPr>
      <w:r>
        <w:rPr>
          <w:rFonts w:ascii="Arial" w:cs="Arial" w:eastAsia="Arial" w:hAnsi="Arial"/>
          <w:b w:val="false"/>
          <w:bCs w:val="false"/>
          <w:color w:val="1A1A1A"/>
          <w:sz w:val="24"/>
          <w:szCs w:val="24"/>
        </w:rPr>
        <w:t xml:space="preserve">بعد هذا الاستعراض التفصيلي لخمس مقاربات غربية، يتضح أن ثمة ثلاثة غيابات بنيوية مشتركة تُحدد السقف القصوى لكل منها:</w:t>
      </w:r>
    </w:p>
    <w:p>
      <w:pPr>
        <w:bidi/>
        <w:spacing w:before="150" w:after="170" w:line="400"/>
        <w:ind w:firstLine="720"/>
      </w:pPr>
      <w:r>
        <w:rPr>
          <w:rFonts w:ascii="Arial" w:cs="Arial" w:eastAsia="Arial" w:hAnsi="Arial"/>
          <w:b/>
          <w:bCs/>
          <w:color w:val="1A3C5E"/>
          <w:sz w:val="24"/>
          <w:szCs w:val="24"/>
        </w:rPr>
        <w:t xml:space="preserve">الغياب الأول — غياب المغفرة الحقيقية:</w:t>
      </w:r>
      <w:r>
        <w:rPr>
          <w:rFonts w:ascii="Arial" w:cs="Arial" w:eastAsia="Arial" w:hAnsi="Arial"/>
          <w:color w:val="1A1A1A"/>
          <w:sz w:val="24"/>
          <w:szCs w:val="24"/>
        </w:rPr>
        <w:t xml:space="preserve">  لا يملك أي نظام علاجي بشري سلطة الإعلان: "غُفر لك". وبدون هذه السلطة يتحول الذنب إلى عبء مستمر لا يُحسم.</w:t>
      </w:r>
    </w:p>
    <w:p>
      <w:pPr>
        <w:bidi/>
        <w:spacing w:before="150" w:after="170" w:line="400"/>
        <w:ind w:firstLine="720"/>
      </w:pPr>
      <w:r>
        <w:rPr>
          <w:rFonts w:ascii="Arial" w:cs="Arial" w:eastAsia="Arial" w:hAnsi="Arial"/>
          <w:b/>
          <w:bCs/>
          <w:color w:val="1A3C5E"/>
          <w:sz w:val="24"/>
          <w:szCs w:val="24"/>
        </w:rPr>
        <w:t xml:space="preserve">الغياب الثاني — غياب الحضور المستجيب:</w:t>
      </w:r>
      <w:r>
        <w:rPr>
          <w:rFonts w:ascii="Arial" w:cs="Arial" w:eastAsia="Arial" w:hAnsi="Arial"/>
          <w:color w:val="1A1A1A"/>
          <w:sz w:val="24"/>
          <w:szCs w:val="24"/>
        </w:rPr>
        <w:t xml:space="preserve">  كل هذه المقاربات تعمل في غياب طرف يسمع ويُجيب. واليقظة تُعلّم الإنسان الجلوس مع نفسه — لكن النفس تحتاج إلى أكثر من نفسها.</w:t>
      </w:r>
    </w:p>
    <w:p>
      <w:pPr>
        <w:bidi/>
        <w:spacing w:before="150" w:after="170" w:line="400"/>
        <w:ind w:firstLine="720"/>
      </w:pPr>
      <w:r>
        <w:rPr>
          <w:rFonts w:ascii="Arial" w:cs="Arial" w:eastAsia="Arial" w:hAnsi="Arial"/>
          <w:b/>
          <w:bCs/>
          <w:color w:val="1A3C5E"/>
          <w:sz w:val="24"/>
          <w:szCs w:val="24"/>
        </w:rPr>
        <w:t xml:space="preserve">الغياب الثالث — غياب المعنى المطلق:</w:t>
      </w:r>
      <w:r>
        <w:rPr>
          <w:rFonts w:ascii="Arial" w:cs="Arial" w:eastAsia="Arial" w:hAnsi="Arial"/>
          <w:color w:val="1A1A1A"/>
          <w:sz w:val="24"/>
          <w:szCs w:val="24"/>
        </w:rPr>
        <w:t xml:space="preserve">  المعنى النسبي الذاتي يكفي للحياة اليومية لكنه يتصدع أمام الموت والعدل والغاية الأخيرة. وهذا التصدع هو ما يُفسّر الانتكاس المتكرر في مسارات العلاج.</w:t>
      </w:r>
    </w:p>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626"/>
        <w:gridCol w:w="2000"/>
      </w:tblGrid>
      <w:tr>
        <w:tc>
          <w:tcPr>
            <w:tcW w:type="dxa" w:w="22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المقاربة</w:t>
            </w:r>
          </w:p>
        </w:tc>
        <w:tc>
          <w:tcPr>
            <w:tcW w:type="dxa" w:w="22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ما تُصلحه</w:t>
            </w:r>
          </w:p>
        </w:tc>
        <w:tc>
          <w:tcPr>
            <w:tcW w:type="dxa" w:w="26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ما يغيب عنها</w:t>
            </w:r>
          </w:p>
        </w:tc>
        <w:tc>
          <w:tcPr>
            <w:tcW w:type="dxa" w:w="20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مستوى الاطمئنان</w:t>
            </w:r>
          </w:p>
        </w:tc>
      </w:tr>
      <w:tr>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تقليص وقت الشاشة</w:t>
            </w:r>
          </w:p>
        </w:tc>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تقليص تغذية الأمارة</w:t>
            </w:r>
          </w:p>
        </w:tc>
        <w:tc>
          <w:tcPr>
            <w:tcW w:type="dxa" w:w="26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تملأ الفراغ بمعنى</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وظيفي مؤقت</w:t>
            </w:r>
          </w:p>
        </w:tc>
      </w:tr>
      <w:tr>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اليقظة الذهنية</w:t>
            </w:r>
          </w:p>
        </w:tc>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تُعيد تفعيل الصمت</w:t>
            </w:r>
          </w:p>
        </w:tc>
        <w:tc>
          <w:tcPr>
            <w:tcW w:type="dxa" w:w="26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غياب المعيار والمغفرة والحضور</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وظيفي جزئي</w:t>
            </w:r>
          </w:p>
        </w:tc>
      </w:tr>
      <w:tr>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علم النفس الإيجابي</w:t>
            </w:r>
          </w:p>
        </w:tc>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تُحسّن الحياة اليومية</w:t>
            </w:r>
          </w:p>
        </w:tc>
        <w:tc>
          <w:tcPr>
            <w:tcW w:type="dxa" w:w="26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تصمت أمام الموت والعدل والذنب</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وظيفي محدود</w:t>
            </w:r>
          </w:p>
        </w:tc>
      </w:tr>
      <w:tr>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الرواقية الجديدة</w:t>
            </w:r>
          </w:p>
        </w:tc>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تُقوّي ضبط الذات</w:t>
            </w:r>
          </w:p>
        </w:tc>
        <w:tc>
          <w:tcPr>
            <w:tcW w:type="dxa" w:w="26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صبر وحيد بلا مغفرة</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بنيوي هش</w:t>
            </w:r>
          </w:p>
        </w:tc>
      </w:tr>
      <w:tr>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التحليل النفسي</w:t>
            </w:r>
          </w:p>
        </w:tc>
        <w:tc>
          <w:tcPr>
            <w:tcW w:type="dxa" w:w="2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يكشف البنية اللاواعية</w:t>
            </w:r>
          </w:p>
        </w:tc>
        <w:tc>
          <w:tcPr>
            <w:tcW w:type="dxa" w:w="26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يصف الحاجة ولا يُلبّيها</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تشخيصي فقط</w:t>
            </w:r>
          </w:p>
        </w:tc>
      </w:tr>
      <w:tr>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النموذج القرآني</w:t>
            </w:r>
          </w:p>
        </w:tc>
        <w:tc>
          <w:tcPr>
            <w:tcW w:type="dxa" w:w="2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كل ما سبق + حضور + مغفرة + معنى مطلق</w:t>
            </w:r>
          </w:p>
        </w:tc>
        <w:tc>
          <w:tcPr>
            <w:tcW w:type="dxa" w:w="26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وجودي كامل</w:t>
            </w:r>
          </w:p>
        </w:tc>
      </w:tr>
    </w:tbl>
    <w:p>
      <w:pPr>
        <w:spacing w:before="120" w:after="120"/>
      </w:pPr>
    </w:p>
    <w:p>
      <w:pPr>
        <w:bidi/>
        <w:spacing w:before="320" w:after="160"/>
        <w:jc w:val="right"/>
      </w:pPr>
      <w:r>
        <w:rPr>
          <w:rFonts w:ascii="Arial" w:cs="Arial" w:eastAsia="Arial" w:hAnsi="Arial"/>
          <w:b/>
          <w:bCs/>
          <w:color w:val="2E6DA4"/>
          <w:sz w:val="30"/>
          <w:szCs w:val="30"/>
        </w:rPr>
        <w:t xml:space="preserve">٦-٢ خلاصة: الجدار الذي لا تستطيع اختراقه</w:t>
      </w:r>
    </w:p>
    <w:p>
      <w:pPr>
        <w:bidi/>
        <w:spacing w:before="150" w:after="170" w:line="400"/>
        <w:ind w:firstLine="720"/>
      </w:pPr>
      <w:r>
        <w:rPr>
          <w:rFonts w:ascii="Arial" w:cs="Arial" w:eastAsia="Arial" w:hAnsi="Arial"/>
          <w:b w:val="false"/>
          <w:bCs w:val="false"/>
          <w:color w:val="1A1A1A"/>
          <w:sz w:val="24"/>
          <w:szCs w:val="24"/>
        </w:rPr>
        <w:t xml:space="preserve">الجدار الذي تصطدم به كل هذه المقاربات ليس جداراً منهجياً يمكن اختراقه بأداة أفضل — بل هو جدار وجودي: الحاجة الفطرية للنفس إلى مرجعية متعالية حاضرة مستجيبة تملك سلطة المغفرة وتُجيب عن الموت والعدل والغاية.</w:t>
      </w:r>
    </w:p>
    <w:p>
      <w:pPr>
        <w:bidi/>
        <w:spacing w:before="150" w:after="170" w:line="400"/>
        <w:ind w:firstLine="720"/>
      </w:pPr>
      <w:r>
        <w:rPr>
          <w:rFonts w:ascii="Arial" w:cs="Arial" w:eastAsia="Arial" w:hAnsi="Arial"/>
          <w:b w:val="false"/>
          <w:bCs w:val="false"/>
          <w:color w:val="1A1A1A"/>
          <w:sz w:val="24"/>
          <w:szCs w:val="24"/>
        </w:rPr>
        <w:t xml:space="preserve">وهذه الحاجة ليست ثقافية أو دينية بالمعنى الضيق — بل هي فطرية بنيوية كما أثبتناه في الأطروحة الأولى. والجدار لا يُثقَب من الخارج — بل يُفتح من الداخل، من الإلهام الفطري الذي لا تزال ذرة التقوى فيه حية.</w:t>
      </w:r>
    </w:p>
    <w:p>
      <w:pPr>
        <w:pBdr>
          <w:top w:val="single" w:color="B8860B" w:sz="2"/>
          <w:bottom w:val="single" w:color="B8860B" w:sz="2"/>
          <w:left w:val="single" w:color="B8860B" w:sz="14"/>
          <w:right w:val="single" w:color="B8860B" w:sz="14"/>
        </w:pBdr>
        <w:shd w:fill="FFFBEC" w:val="clear"/>
        <w:bidi/>
        <w:spacing w:before="200" w:after="160"/>
      </w:pPr>
      <w:r>
        <w:rPr>
          <w:rFonts w:ascii="Arial" w:cs="Arial" w:eastAsia="Arial" w:hAnsi="Arial"/>
          <w:color w:val="7A5000"/>
          <w:sz w:val="22"/>
          <w:szCs w:val="22"/>
        </w:rPr>
        <w:t xml:space="preserve">ليس المطلوب استبدال هذه المقاربات بل فهم ما يُكملها. وما يُكملها هو بالضبط ما يُقدمه الفصل القادم: المرجعية المتعالية القرآنية.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يَهْدِي بِهِ اللَّهُ مَنِ اتَّبَعَ رِضْوَانَهُ سُبُلَ السَّلَامِ وَيُخْرِجُهُم مِّنَ الظُّلُمَاتِ إِلَى النُّورِ بِإِذْنِهِ</w:t>
      </w:r>
      <w:r>
        <w:rPr>
          <w:rFonts w:ascii="Arial" w:cs="Arial" w:eastAsia="Arial" w:hAnsi="Arial"/>
          <w:color w:val="8B6914"/>
          <w:sz w:val="20"/>
          <w:szCs w:val="20"/>
        </w:rPr>
        <w:br/>
        <w:t xml:space="preserve">
— المائدة: ١٦</w:t>
      </w:r>
    </w:p>
    <w:p>
      <w:pPr>
        <w:pBdr>
          <w:bottom w:val="single" w:color="B8860B" w:sz="4" w:space="1"/>
        </w:pBdr>
        <w:spacing w:before="240" w:after="240"/>
      </w:pPr>
    </w:p>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مراجع الفصل الثالث</w:t>
      </w:r>
    </w:p>
    <w:p>
      <w:pPr>
        <w:spacing w:before="80" w:after="80"/>
      </w:pPr>
    </w:p>
    <w:p>
      <w:pPr>
        <w:bidi/>
        <w:spacing w:before="320" w:after="160"/>
        <w:jc w:val="right"/>
      </w:pPr>
      <w:r>
        <w:rPr>
          <w:rFonts w:ascii="Arial" w:cs="Arial" w:eastAsia="Arial" w:hAnsi="Arial"/>
          <w:b/>
          <w:bCs/>
          <w:color w:val="2E6DA4"/>
          <w:sz w:val="30"/>
          <w:szCs w:val="30"/>
        </w:rPr>
        <w:t xml:space="preserve">أولاً — المصادر العربية والإسلامية</w:t>
      </w:r>
    </w:p>
    <w:p>
      <w:pPr>
        <w:bidi/>
        <w:spacing w:before="100" w:after="100"/>
        <w:jc w:val="right"/>
      </w:pPr>
      <w:r>
        <w:rPr>
          <w:rFonts w:ascii="Arial" w:cs="Arial" w:eastAsia="Arial" w:hAnsi="Arial"/>
          <w:b/>
          <w:bCs/>
          <w:color w:val="2E6DA4"/>
          <w:sz w:val="20"/>
          <w:szCs w:val="20"/>
        </w:rPr>
        <w:t xml:space="preserve">[١]  </w:t>
      </w:r>
      <w:r>
        <w:rPr>
          <w:rFonts w:ascii="Arial" w:cs="Arial" w:eastAsia="Arial" w:hAnsi="Arial"/>
          <w:color w:val="222222"/>
          <w:sz w:val="20"/>
          <w:szCs w:val="20"/>
        </w:rPr>
        <w:t xml:space="preserve">القرآن الكريم — الآيات المُستشهد بها: الزخرف (٣٦-٣٧)، الرعد (٢٨)، البقرة (٢٥٠)، الزمر (٥٣)، المائدة (١٦).</w:t>
      </w:r>
    </w:p>
    <w:p>
      <w:pPr>
        <w:bidi/>
        <w:spacing w:before="100" w:after="100"/>
        <w:jc w:val="right"/>
      </w:pPr>
      <w:r>
        <w:rPr>
          <w:rFonts w:ascii="Arial" w:cs="Arial" w:eastAsia="Arial" w:hAnsi="Arial"/>
          <w:b/>
          <w:bCs/>
          <w:color w:val="2E6DA4"/>
          <w:sz w:val="20"/>
          <w:szCs w:val="20"/>
        </w:rPr>
        <w:t xml:space="preserve">[٢]  </w:t>
      </w:r>
      <w:r>
        <w:rPr>
          <w:rFonts w:ascii="Arial" w:cs="Arial" w:eastAsia="Arial" w:hAnsi="Arial"/>
          <w:color w:val="222222"/>
          <w:sz w:val="20"/>
          <w:szCs w:val="20"/>
        </w:rPr>
        <w:t xml:space="preserve">ابن القيم الجوزية — الداء والدواء (الجواب الكافي لمن سأل عن الدواء الشافي). تحقيق: محمد أجمل الإصلاحي. دار عالم الفوائد، مكة المكرمة، 2006. (باب في التوبة وآثارها النفسية، ص. 78-145).</w:t>
      </w:r>
    </w:p>
    <w:p>
      <w:pPr>
        <w:bidi/>
        <w:spacing w:before="100" w:after="100"/>
        <w:jc w:val="right"/>
      </w:pPr>
      <w:r>
        <w:rPr>
          <w:rFonts w:ascii="Arial" w:cs="Arial" w:eastAsia="Arial" w:hAnsi="Arial"/>
          <w:b/>
          <w:bCs/>
          <w:color w:val="2E6DA4"/>
          <w:sz w:val="20"/>
          <w:szCs w:val="20"/>
        </w:rPr>
        <w:t xml:space="preserve">[٣]  </w:t>
      </w:r>
      <w:r>
        <w:rPr>
          <w:rFonts w:ascii="Arial" w:cs="Arial" w:eastAsia="Arial" w:hAnsi="Arial"/>
          <w:color w:val="222222"/>
          <w:sz w:val="20"/>
          <w:szCs w:val="20"/>
        </w:rPr>
        <w:t xml:space="preserve">الغزالي، أبو حامد — إحياء علوم الدين. (الجزء الرابع، كتاب التوبة، ص. 1-76؛ وكتاب الصبر والشكر، ص. 59-138).</w:t>
      </w:r>
    </w:p>
    <w:p>
      <w:pPr>
        <w:bidi/>
        <w:spacing w:before="100" w:after="100"/>
        <w:jc w:val="right"/>
      </w:pPr>
      <w:r>
        <w:rPr>
          <w:rFonts w:ascii="Arial" w:cs="Arial" w:eastAsia="Arial" w:hAnsi="Arial"/>
          <w:b/>
          <w:bCs/>
          <w:color w:val="2E6DA4"/>
          <w:sz w:val="20"/>
          <w:szCs w:val="20"/>
        </w:rPr>
        <w:t xml:space="preserve">[٤]  </w:t>
      </w:r>
      <w:r>
        <w:rPr>
          <w:rFonts w:ascii="Arial" w:cs="Arial" w:eastAsia="Arial" w:hAnsi="Arial"/>
          <w:color w:val="222222"/>
          <w:sz w:val="20"/>
          <w:szCs w:val="20"/>
        </w:rPr>
        <w:t xml:space="preserve">عبد الحليم محمود — التفكير الفلسفي في الإسلام. دار المعارف، القاهرة، 1989. (الفصل الثالث: الوجود والمعنى في الفلسفة الإسلامية، ص. 112-168).</w:t>
      </w:r>
    </w:p>
    <w:p>
      <w:pPr>
        <w:spacing w:before="120" w:after="120"/>
      </w:pPr>
    </w:p>
    <w:p>
      <w:pPr>
        <w:bidi/>
        <w:spacing w:before="320" w:after="160"/>
        <w:jc w:val="right"/>
      </w:pPr>
      <w:r>
        <w:rPr>
          <w:rFonts w:ascii="Arial" w:cs="Arial" w:eastAsia="Arial" w:hAnsi="Arial"/>
          <w:b/>
          <w:bCs/>
          <w:color w:val="2E6DA4"/>
          <w:sz w:val="30"/>
          <w:szCs w:val="30"/>
        </w:rPr>
        <w:t xml:space="preserve">ثانياً — المراجع الفرنسية في علم النفس والعلاج النفسي</w:t>
      </w:r>
    </w:p>
    <w:p>
      <w:pPr>
        <w:spacing w:before="100" w:after="100"/>
        <w:jc w:val="left"/>
      </w:pPr>
      <w:r>
        <w:rPr>
          <w:rFonts w:ascii="Arial" w:cs="Arial" w:eastAsia="Arial" w:hAnsi="Arial"/>
          <w:b/>
          <w:bCs/>
          <w:color w:val="2E6DA4"/>
          <w:sz w:val="20"/>
          <w:szCs w:val="20"/>
        </w:rPr>
        <w:t xml:space="preserve">[٥]  </w:t>
      </w:r>
      <w:r>
        <w:rPr>
          <w:rFonts w:ascii="Arial" w:cs="Arial" w:eastAsia="Arial" w:hAnsi="Arial"/>
          <w:color w:val="222222"/>
          <w:sz w:val="20"/>
          <w:szCs w:val="20"/>
        </w:rPr>
        <w:t xml:space="preserve">Martin Seligman — S'épanouir : Pour un nouvel art du bonheur et du bien-être. Traduit par Gilles Berton et Raymond Clarinard. Belfond, Paris, 2013. (Chapitre 2 : « Le modèle PERMA », pp. 24-58).</w:t>
      </w:r>
    </w:p>
    <w:p>
      <w:pPr>
        <w:spacing w:before="100" w:after="100"/>
        <w:jc w:val="left"/>
      </w:pPr>
      <w:r>
        <w:rPr>
          <w:rFonts w:ascii="Arial" w:cs="Arial" w:eastAsia="Arial" w:hAnsi="Arial"/>
          <w:b/>
          <w:bCs/>
          <w:color w:val="2E6DA4"/>
          <w:sz w:val="20"/>
          <w:szCs w:val="20"/>
        </w:rPr>
        <w:t xml:space="preserve">[٦]  </w:t>
      </w:r>
      <w:r>
        <w:rPr>
          <w:rFonts w:ascii="Arial" w:cs="Arial" w:eastAsia="Arial" w:hAnsi="Arial"/>
          <w:color w:val="222222"/>
          <w:sz w:val="20"/>
          <w:szCs w:val="20"/>
        </w:rPr>
        <w:t xml:space="preserve">Mihaly Csikszentmihalyi — Vivre : La psychologie du bonheur. Traduit par Leandre Bouffard. Robert Laffont, Paris, 2004. (Chapitre 1 : « Le bonheur revisité », pp. 1-40).</w:t>
      </w:r>
    </w:p>
    <w:p>
      <w:pPr>
        <w:spacing w:before="100" w:after="100"/>
        <w:jc w:val="left"/>
      </w:pPr>
      <w:r>
        <w:rPr>
          <w:rFonts w:ascii="Arial" w:cs="Arial" w:eastAsia="Arial" w:hAnsi="Arial"/>
          <w:b/>
          <w:bCs/>
          <w:color w:val="2E6DA4"/>
          <w:sz w:val="20"/>
          <w:szCs w:val="20"/>
        </w:rPr>
        <w:t xml:space="preserve">[٧]  </w:t>
      </w:r>
      <w:r>
        <w:rPr>
          <w:rFonts w:ascii="Arial" w:cs="Arial" w:eastAsia="Arial" w:hAnsi="Arial"/>
          <w:color w:val="222222"/>
          <w:sz w:val="20"/>
          <w:szCs w:val="20"/>
        </w:rPr>
        <w:t xml:space="preserve">Jon Kabat-Zinn — Où tu vas, tu es : Apprendre à méditer partout. Traduit par Christiane Rolland. J'ai Lu, Paris, 2005. (Introduction : « Qu'est-ce que la pleine conscience ? », pp. 1-20).</w:t>
      </w:r>
    </w:p>
    <w:p>
      <w:pPr>
        <w:spacing w:before="100" w:after="100"/>
        <w:jc w:val="left"/>
      </w:pPr>
      <w:r>
        <w:rPr>
          <w:rFonts w:ascii="Arial" w:cs="Arial" w:eastAsia="Arial" w:hAnsi="Arial"/>
          <w:b/>
          <w:bCs/>
          <w:color w:val="2E6DA4"/>
          <w:sz w:val="20"/>
          <w:szCs w:val="20"/>
        </w:rPr>
        <w:t xml:space="preserve">[٨]  </w:t>
      </w:r>
      <w:r>
        <w:rPr>
          <w:rFonts w:ascii="Arial" w:cs="Arial" w:eastAsia="Arial" w:hAnsi="Arial"/>
          <w:color w:val="222222"/>
          <w:sz w:val="20"/>
          <w:szCs w:val="20"/>
        </w:rPr>
        <w:t xml:space="preserve">Irvin Yalom — Thérapie existentielle. Traduit par Luc Tordeur. Librairie générale française, Paris, 2008. (Chapitre 1 : « Les données ultimes », pp. 7-45 ; sur les quatre problématiques existentielles fondamentales).</w:t>
      </w:r>
    </w:p>
    <w:p>
      <w:pPr>
        <w:spacing w:before="100" w:after="100"/>
        <w:jc w:val="left"/>
      </w:pPr>
      <w:r>
        <w:rPr>
          <w:rFonts w:ascii="Arial" w:cs="Arial" w:eastAsia="Arial" w:hAnsi="Arial"/>
          <w:b/>
          <w:bCs/>
          <w:color w:val="2E6DA4"/>
          <w:sz w:val="20"/>
          <w:szCs w:val="20"/>
        </w:rPr>
        <w:t xml:space="preserve">[٩]  </w:t>
      </w:r>
      <w:r>
        <w:rPr>
          <w:rFonts w:ascii="Arial" w:cs="Arial" w:eastAsia="Arial" w:hAnsi="Arial"/>
          <w:color w:val="222222"/>
          <w:sz w:val="20"/>
          <w:szCs w:val="20"/>
        </w:rPr>
        <w:t xml:space="preserve">Sigmund Freud — Introduction à la psychanalyse. Traduit par Samuel Jankélévitch. Payot, Paris, 1999. (Troisième partie : « Théorie générale des névroses », pp. 253-490).</w:t>
      </w:r>
    </w:p>
    <w:p>
      <w:pPr>
        <w:spacing w:before="100" w:after="100"/>
        <w:jc w:val="left"/>
      </w:pPr>
      <w:r>
        <w:rPr>
          <w:rFonts w:ascii="Arial" w:cs="Arial" w:eastAsia="Arial" w:hAnsi="Arial"/>
          <w:b/>
          <w:bCs/>
          <w:color w:val="2E6DA4"/>
          <w:sz w:val="20"/>
          <w:szCs w:val="20"/>
        </w:rPr>
        <w:t xml:space="preserve">[١٠]  </w:t>
      </w:r>
      <w:r>
        <w:rPr>
          <w:rFonts w:ascii="Arial" w:cs="Arial" w:eastAsia="Arial" w:hAnsi="Arial"/>
          <w:color w:val="222222"/>
          <w:sz w:val="20"/>
          <w:szCs w:val="20"/>
        </w:rPr>
        <w:t xml:space="preserve">Jacques Lacan — Écrits. Éditions du Seuil, Paris, 1966. (« Le stade du miroir » et « Fonction et champ de la parole », pp. 93-100 et 237-322).</w:t>
      </w:r>
    </w:p>
    <w:p>
      <w:pPr>
        <w:spacing w:before="100" w:after="100"/>
        <w:jc w:val="left"/>
      </w:pPr>
      <w:r>
        <w:rPr>
          <w:rFonts w:ascii="Arial" w:cs="Arial" w:eastAsia="Arial" w:hAnsi="Arial"/>
          <w:b/>
          <w:bCs/>
          <w:color w:val="2E6DA4"/>
          <w:sz w:val="20"/>
          <w:szCs w:val="20"/>
        </w:rPr>
        <w:t xml:space="preserve">[١١]  </w:t>
      </w:r>
      <w:r>
        <w:rPr>
          <w:rFonts w:ascii="Arial" w:cs="Arial" w:eastAsia="Arial" w:hAnsi="Arial"/>
          <w:color w:val="222222"/>
          <w:sz w:val="20"/>
          <w:szCs w:val="20"/>
        </w:rPr>
        <w:t xml:space="preserve">Viktor Frankl — Découvrir un sens à sa vie avec la logothérapie. Traduit par Claude Vigée. Éditions de l'Homme, Montréal, 2006. (Partie II : « La logothérapie en bref », pp. 75-145).</w:t>
      </w:r>
    </w:p>
    <w:p>
      <w:pPr>
        <w:spacing w:before="100" w:after="100"/>
        <w:jc w:val="left"/>
      </w:pPr>
      <w:r>
        <w:rPr>
          <w:rFonts w:ascii="Arial" w:cs="Arial" w:eastAsia="Arial" w:hAnsi="Arial"/>
          <w:b/>
          <w:bCs/>
          <w:color w:val="2E6DA4"/>
          <w:sz w:val="20"/>
          <w:szCs w:val="20"/>
        </w:rPr>
        <w:t xml:space="preserve">[١٢]  </w:t>
      </w:r>
      <w:r>
        <w:rPr>
          <w:rFonts w:ascii="Arial" w:cs="Arial" w:eastAsia="Arial" w:hAnsi="Arial"/>
          <w:color w:val="222222"/>
          <w:sz w:val="20"/>
          <w:szCs w:val="20"/>
        </w:rPr>
        <w:t xml:space="preserve">Matthieu Ricard — Plaidoyer pour le bonheur. Nil Éditions, Paris, 2003. (Chapitre 12 : « L'éthique et la méditation », pp. 192-214).</w:t>
      </w:r>
    </w:p>
    <w:p>
      <w:pPr>
        <w:spacing w:before="100" w:after="100"/>
        <w:jc w:val="left"/>
      </w:pPr>
      <w:r>
        <w:rPr>
          <w:rFonts w:ascii="Arial" w:cs="Arial" w:eastAsia="Arial" w:hAnsi="Arial"/>
          <w:b/>
          <w:bCs/>
          <w:color w:val="2E6DA4"/>
          <w:sz w:val="20"/>
          <w:szCs w:val="20"/>
        </w:rPr>
        <w:t xml:space="preserve">[١٣]  </w:t>
      </w:r>
      <w:r>
        <w:rPr>
          <w:rFonts w:ascii="Arial" w:cs="Arial" w:eastAsia="Arial" w:hAnsi="Arial"/>
          <w:color w:val="222222"/>
          <w:sz w:val="20"/>
          <w:szCs w:val="20"/>
        </w:rPr>
        <w:t xml:space="preserve">Miguel Farias &amp; Catherine Wikholm — The Buddha Pill: Can Meditation Change You? Watkins Publishing, London, 2015. (Chapitre 7 : « The Shadow of Meditation », pp. 148-168).</w:t>
      </w:r>
    </w:p>
    <w:p>
      <w:pPr>
        <w:spacing w:before="120" w:after="120"/>
      </w:pPr>
    </w:p>
    <w:p>
      <w:pPr>
        <w:bidi/>
        <w:spacing w:before="320" w:after="160"/>
        <w:jc w:val="right"/>
      </w:pPr>
      <w:r>
        <w:rPr>
          <w:rFonts w:ascii="Arial" w:cs="Arial" w:eastAsia="Arial" w:hAnsi="Arial"/>
          <w:b/>
          <w:bCs/>
          <w:color w:val="2E6DA4"/>
          <w:sz w:val="30"/>
          <w:szCs w:val="30"/>
        </w:rPr>
        <w:t xml:space="preserve">ثالثاً — المراجع الفرنسية في الفلسفة</w:t>
      </w:r>
    </w:p>
    <w:p>
      <w:pPr>
        <w:spacing w:before="100" w:after="100"/>
        <w:jc w:val="left"/>
      </w:pPr>
      <w:r>
        <w:rPr>
          <w:rFonts w:ascii="Arial" w:cs="Arial" w:eastAsia="Arial" w:hAnsi="Arial"/>
          <w:b/>
          <w:bCs/>
          <w:color w:val="2E6DA4"/>
          <w:sz w:val="20"/>
          <w:szCs w:val="20"/>
        </w:rPr>
        <w:t xml:space="preserve">[١٤]  </w:t>
      </w:r>
      <w:r>
        <w:rPr>
          <w:rFonts w:ascii="Arial" w:cs="Arial" w:eastAsia="Arial" w:hAnsi="Arial"/>
          <w:color w:val="222222"/>
          <w:sz w:val="20"/>
          <w:szCs w:val="20"/>
        </w:rPr>
        <w:t xml:space="preserve">Marc Aurèle — Pensées pour moi-même. Traduit par Mario Meunier. Livre de Poche, Paris, 1992. (Livres IV, V et VI, pp. 67-120).</w:t>
      </w:r>
    </w:p>
    <w:p>
      <w:pPr>
        <w:spacing w:before="100" w:after="100"/>
        <w:jc w:val="left"/>
      </w:pPr>
      <w:r>
        <w:rPr>
          <w:rFonts w:ascii="Arial" w:cs="Arial" w:eastAsia="Arial" w:hAnsi="Arial"/>
          <w:b/>
          <w:bCs/>
          <w:color w:val="2E6DA4"/>
          <w:sz w:val="20"/>
          <w:szCs w:val="20"/>
        </w:rPr>
        <w:t xml:space="preserve">[١٥]  </w:t>
      </w:r>
      <w:r>
        <w:rPr>
          <w:rFonts w:ascii="Arial" w:cs="Arial" w:eastAsia="Arial" w:hAnsi="Arial"/>
          <w:color w:val="222222"/>
          <w:sz w:val="20"/>
          <w:szCs w:val="20"/>
        </w:rPr>
        <w:t xml:space="preserve">Pierre Hadot — Qu'est-ce que la philosophie antique ? Gallimard, Paris, 1995. (Chapitre 8 : « L'ère des écoles — le stoïcisme », pp. 178-230 ; sur les limites du stoïcisme face à la culpabilité, p. 312).</w:t>
      </w:r>
    </w:p>
    <w:p>
      <w:pPr>
        <w:spacing w:before="100" w:after="100"/>
        <w:jc w:val="left"/>
      </w:pPr>
      <w:r>
        <w:rPr>
          <w:rFonts w:ascii="Arial" w:cs="Arial" w:eastAsia="Arial" w:hAnsi="Arial"/>
          <w:b/>
          <w:bCs/>
          <w:color w:val="2E6DA4"/>
          <w:sz w:val="20"/>
          <w:szCs w:val="20"/>
        </w:rPr>
        <w:t xml:space="preserve">[١٦]  </w:t>
      </w:r>
      <w:r>
        <w:rPr>
          <w:rFonts w:ascii="Arial" w:cs="Arial" w:eastAsia="Arial" w:hAnsi="Arial"/>
          <w:color w:val="222222"/>
          <w:sz w:val="20"/>
          <w:szCs w:val="20"/>
        </w:rPr>
        <w:t xml:space="preserve">Allan Bloom — L'Âme désarmée : Essai sur le déclin de la culture générale. Traduit par Paul Alexandre. Julliard, Paris, 1987. (Chapitre 2 : « Le relativisme », pp. 19-75).</w:t>
      </w:r>
    </w:p>
    <w:p>
      <w:pPr>
        <w:spacing w:before="100" w:after="100"/>
        <w:jc w:val="left"/>
      </w:pPr>
      <w:r>
        <w:rPr>
          <w:rFonts w:ascii="Arial" w:cs="Arial" w:eastAsia="Arial" w:hAnsi="Arial"/>
          <w:b/>
          <w:bCs/>
          <w:color w:val="2E6DA4"/>
          <w:sz w:val="20"/>
          <w:szCs w:val="20"/>
        </w:rPr>
        <w:t xml:space="preserve">[١٧]  </w:t>
      </w:r>
      <w:r>
        <w:rPr>
          <w:rFonts w:ascii="Arial" w:cs="Arial" w:eastAsia="Arial" w:hAnsi="Arial"/>
          <w:color w:val="222222"/>
          <w:sz w:val="20"/>
          <w:szCs w:val="20"/>
        </w:rPr>
        <w:t xml:space="preserve">Ryan Holiday — Le Stoïcisme comme art de vivre. Traduit par Véronique Dassié. Akileos, Paris, 2017. (Chapitre 1 : « Contrôle », pp. 15-45 ; sur l'application du stoïcisme au monde numérique).</w:t>
      </w:r>
    </w:p>
    <w:p>
      <w:pPr>
        <w:spacing w:before="120" w:after="120"/>
      </w:pPr>
    </w:p>
    <w:p>
      <w:pPr>
        <w:bidi/>
        <w:spacing w:before="320" w:after="160"/>
        <w:jc w:val="right"/>
      </w:pPr>
      <w:r>
        <w:rPr>
          <w:rFonts w:ascii="Arial" w:cs="Arial" w:eastAsia="Arial" w:hAnsi="Arial"/>
          <w:b/>
          <w:bCs/>
          <w:color w:val="2E6DA4"/>
          <w:sz w:val="30"/>
          <w:szCs w:val="30"/>
        </w:rPr>
        <w:t xml:space="preserve">رابعاً — الدراسات العلمية المحكّمة</w:t>
      </w:r>
    </w:p>
    <w:p>
      <w:pPr>
        <w:spacing w:before="100" w:after="100"/>
        <w:jc w:val="left"/>
      </w:pPr>
      <w:r>
        <w:rPr>
          <w:rFonts w:ascii="Arial" w:cs="Arial" w:eastAsia="Arial" w:hAnsi="Arial"/>
          <w:b/>
          <w:bCs/>
          <w:color w:val="2E6DA4"/>
          <w:sz w:val="20"/>
          <w:szCs w:val="20"/>
        </w:rPr>
        <w:t xml:space="preserve">[١٨]  </w:t>
      </w:r>
      <w:r>
        <w:rPr>
          <w:rFonts w:ascii="Arial" w:cs="Arial" w:eastAsia="Arial" w:hAnsi="Arial"/>
          <w:color w:val="222222"/>
          <w:sz w:val="20"/>
          <w:szCs w:val="20"/>
        </w:rPr>
        <w:t xml:space="preserve">Melissa Hunt, Rachel Marx, Courtney Lipson &amp; Jordyn Young — « No More FOMO: Limiting Social Media Decreases Loneliness and Depression ». Journal of Social and Clinical Psychology, Vol. 37(10), 2018, pp. 751-768.</w:t>
      </w:r>
    </w:p>
    <w:p>
      <w:pPr>
        <w:spacing w:before="100" w:after="100"/>
        <w:jc w:val="left"/>
      </w:pPr>
      <w:r>
        <w:rPr>
          <w:rFonts w:ascii="Arial" w:cs="Arial" w:eastAsia="Arial" w:hAnsi="Arial"/>
          <w:b/>
          <w:bCs/>
          <w:color w:val="2E6DA4"/>
          <w:sz w:val="20"/>
          <w:szCs w:val="20"/>
        </w:rPr>
        <w:t xml:space="preserve">[١٩]  </w:t>
      </w:r>
      <w:r>
        <w:rPr>
          <w:rFonts w:ascii="Arial" w:cs="Arial" w:eastAsia="Arial" w:hAnsi="Arial"/>
          <w:color w:val="222222"/>
          <w:sz w:val="20"/>
          <w:szCs w:val="20"/>
        </w:rPr>
        <w:t xml:space="preserve">Sara Lazar, Catherine Kerr, Rachel Wasserman et al. — « Meditation Experience is Associated with Increased Cortical Thickness ». NeuroReport, Vol. 16(17), 2005, pp. 1893-1897.</w:t>
      </w:r>
    </w:p>
    <w:p>
      <w:pPr>
        <w:spacing w:before="100" w:after="100"/>
        <w:jc w:val="left"/>
      </w:pPr>
      <w:r>
        <w:rPr>
          <w:rFonts w:ascii="Arial" w:cs="Arial" w:eastAsia="Arial" w:hAnsi="Arial"/>
          <w:b/>
          <w:bCs/>
          <w:color w:val="2E6DA4"/>
          <w:sz w:val="20"/>
          <w:szCs w:val="20"/>
        </w:rPr>
        <w:t xml:space="preserve">[٢٠]  </w:t>
      </w:r>
      <w:r>
        <w:rPr>
          <w:rFonts w:ascii="Arial" w:cs="Arial" w:eastAsia="Arial" w:hAnsi="Arial"/>
          <w:color w:val="222222"/>
          <w:sz w:val="20"/>
          <w:szCs w:val="20"/>
        </w:rPr>
        <w:t xml:space="preserve">Britta Hölzel, James Carmody, Mark Vangel et al. — « Mindfulness Practice Leads to Increases in Regional Brain Gray Matter Density ». Psychiatry Research: Neuroimaging, Vol. 191(1), 2011, pp. 36-43.</w:t>
      </w:r>
    </w:p>
    <w:p>
      <w:pPr>
        <w:spacing w:before="100" w:after="100"/>
        <w:jc w:val="left"/>
      </w:pPr>
      <w:r>
        <w:rPr>
          <w:rFonts w:ascii="Arial" w:cs="Arial" w:eastAsia="Arial" w:hAnsi="Arial"/>
          <w:b/>
          <w:bCs/>
          <w:color w:val="2E6DA4"/>
          <w:sz w:val="20"/>
          <w:szCs w:val="20"/>
        </w:rPr>
        <w:t xml:space="preserve">[٢١]  </w:t>
      </w:r>
      <w:r>
        <w:rPr>
          <w:rFonts w:ascii="Arial" w:cs="Arial" w:eastAsia="Arial" w:hAnsi="Arial"/>
          <w:color w:val="222222"/>
          <w:sz w:val="20"/>
          <w:szCs w:val="20"/>
        </w:rPr>
        <w:t xml:space="preserve">Kristin Neff &amp; Christopher Germer — « A Pilot Study and Randomized Controlled Trial of the Mindful Self-Compassion Program ». Journal of Clinical Psychology, Vol. 69(1), 2013, pp. 28-44. (Sur les limites de la pleine conscience sans autocompassion).</w:t>
      </w:r>
    </w:p>
    <w:p>
      <w:pPr>
        <w:pBdr>
          <w:bottom w:val="single" w:color="1A3C5E" w:sz="6" w:space="1"/>
        </w:pBdr>
        <w:spacing w:before="240" w:after="240"/>
      </w:pPr>
    </w:p>
    <w:p>
      <w:pPr>
        <w:spacing w:before="100" w:after="100"/>
      </w:pPr>
    </w:p>
    <w:p>
      <w:pPr>
        <w:bidi/>
        <w:spacing w:before="150" w:after="170" w:line="400"/>
        <w:jc w:val="center"/>
      </w:pPr>
      <w:r>
        <w:rPr>
          <w:rFonts w:ascii="Arial" w:cs="Arial" w:eastAsia="Arial" w:hAnsi="Arial"/>
          <w:b w:val="false"/>
          <w:bCs w:val="false"/>
          <w:color w:val="666666"/>
          <w:sz w:val="22"/>
          <w:szCs w:val="22"/>
        </w:rPr>
        <w:t xml:space="preserve">حدّد هذا الفصل الجدار — والفصل القادم سيُريك الباب الذي يُفتح فيه.</w:t>
      </w:r>
    </w:p>
    <w:sectPr>
      <w:pgSz w:w="11906" w:h="16838" w:orient="portrait"/>
      <w:pgMar w:top="1600" w:right="180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2026-02-22T19:16:41.411Z</dcterms:created>
  <dcterms:modified xsi:type="dcterms:W3CDTF">2026-02-22T19:16:41.412Z</dcterms:modified>
</cp:coreProperties>
</file>

<file path=docProps/custom.xml><?xml version="1.0" encoding="utf-8"?>
<Properties xmlns="http://schemas.openxmlformats.org/officeDocument/2006/custom-properties" xmlns:vt="http://schemas.openxmlformats.org/officeDocument/2006/docPropsVTypes"/>
</file>