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F70E2" w14:textId="77777777" w:rsidR="003371FC" w:rsidRDefault="003371FC">
      <w:pPr>
        <w:pBdr>
          <w:bottom w:val="single" w:sz="12" w:space="8" w:color="B8862B"/>
        </w:pBdr>
        <w:spacing w:before="1200" w:after="200"/>
        <w:jc w:val="center"/>
        <w:rPr>
          <w:rFonts w:hint="cs"/>
          <w:lang w:bidi="ar-EG"/>
        </w:rPr>
      </w:pPr>
    </w:p>
    <w:p w14:paraId="213A5908" w14:textId="77777777" w:rsidR="003371FC" w:rsidRDefault="00000000">
      <w:pPr>
        <w:spacing w:before="400" w:after="200"/>
        <w:jc w:val="center"/>
      </w:pPr>
      <w:r>
        <w:rPr>
          <w:b/>
          <w:bCs/>
          <w:color w:val="1B2A4A"/>
          <w:sz w:val="44"/>
          <w:szCs w:val="44"/>
        </w:rPr>
        <w:t>من "سجن الحداثة" إلى "أفق الاستخلاف"</w:t>
      </w:r>
    </w:p>
    <w:p w14:paraId="567653F5" w14:textId="4302F898" w:rsidR="003371FC" w:rsidRDefault="00000000">
      <w:pPr>
        <w:spacing w:before="100" w:after="100"/>
        <w:jc w:val="center"/>
        <w:rPr>
          <w:b/>
          <w:bCs/>
          <w:color w:val="0F6B65"/>
          <w:sz w:val="28"/>
          <w:szCs w:val="28"/>
          <w:rtl/>
        </w:rPr>
      </w:pPr>
      <w:r>
        <w:rPr>
          <w:b/>
          <w:bCs/>
          <w:color w:val="0F6B65"/>
          <w:sz w:val="28"/>
          <w:szCs w:val="28"/>
        </w:rPr>
        <w:t xml:space="preserve">دراسة موسعة في نقد الحداثة وتجاوزها في علم النفس الاستخلافي </w:t>
      </w:r>
    </w:p>
    <w:p w14:paraId="36887C43" w14:textId="494F291E" w:rsidR="00F50458" w:rsidRDefault="00F50458">
      <w:pPr>
        <w:spacing w:before="100" w:after="100"/>
        <w:jc w:val="center"/>
      </w:pPr>
      <w:r>
        <w:rPr>
          <w:rFonts w:hint="cs"/>
          <w:b/>
          <w:bCs/>
          <w:color w:val="0F6B65"/>
          <w:sz w:val="28"/>
          <w:szCs w:val="28"/>
          <w:rtl/>
        </w:rPr>
        <w:t>بقلم : عبد السلام الزراع</w:t>
      </w:r>
    </w:p>
    <w:p w14:paraId="147FC5DC" w14:textId="77777777" w:rsidR="003371FC" w:rsidRDefault="00000000">
      <w:pPr>
        <w:pBdr>
          <w:bottom w:val="single" w:sz="8" w:space="12" w:color="B8862B"/>
        </w:pBdr>
        <w:spacing w:before="100" w:after="500"/>
        <w:jc w:val="center"/>
      </w:pPr>
      <w:r>
        <w:rPr>
          <w:i/>
          <w:iCs/>
          <w:color w:val="B8862B"/>
        </w:rPr>
        <w:t>قراءة إبستمولوجية وفلسفية ومقارنة، مع مساءلة نقدية للنموذج ذاته</w:t>
      </w:r>
    </w:p>
    <w:p w14:paraId="04D632F6" w14:textId="77777777" w:rsidR="003371FC" w:rsidRDefault="00000000">
      <w:pPr>
        <w:pStyle w:val="1"/>
        <w:shd w:val="clear" w:color="auto" w:fill="1B2A4A"/>
        <w:bidi/>
        <w:spacing w:before="480" w:after="240"/>
        <w:jc w:val="right"/>
      </w:pPr>
      <w:r>
        <w:rPr>
          <w:b/>
          <w:bCs/>
          <w:color w:val="FFFFFF"/>
        </w:rPr>
        <w:t xml:space="preserve">   تمهيد منهجي: لماذا "الحداثة" بوصفها مدخلاً؟</w:t>
      </w:r>
    </w:p>
    <w:p w14:paraId="286DB706" w14:textId="77777777" w:rsidR="003371FC" w:rsidRDefault="00000000">
      <w:pPr>
        <w:spacing w:after="200" w:line="340" w:lineRule="auto"/>
        <w:ind w:firstLine="340"/>
        <w:jc w:val="both"/>
      </w:pPr>
      <w:r>
        <w:t>لا تكتفي هذه القراءة الموسعة بعرض موقف الباحث عبد السلام الزراع من الحداثة، بل تسعى إلى محاكمته أكاديمياً: أن تُبيّن مصادره الفلسفية الضمنية، وأن تختبر تماسكه الداخلي، وأن تُواجهه بأقوى ما يمكن أن يُقال ضده من داخل التقليد الحداثي نفسه ومن داخل التراث الإسلامي على السواء. فالمنهج الأكاديمي الرصين لا يكتفي بـ"الشرح المتعاطف"، بل يفترض أن أي بناء نظري — مهما بلغ من العمق — يظل عرضة للمساءلة، والتفكيك، وإعادة البناء.</w:t>
      </w:r>
      <w:r>
        <w:rPr>
          <w:i/>
          <w:iCs/>
          <w:color w:val="B8862B"/>
          <w:sz w:val="20"/>
          <w:szCs w:val="20"/>
        </w:rPr>
        <w:t xml:space="preserve">  [1178، 1182]</w:t>
      </w:r>
    </w:p>
    <w:p w14:paraId="141328BD" w14:textId="77777777" w:rsidR="003371FC" w:rsidRDefault="00000000">
      <w:pPr>
        <w:spacing w:after="200" w:line="340" w:lineRule="auto"/>
        <w:ind w:firstLine="340"/>
        <w:jc w:val="both"/>
      </w:pPr>
      <w:r>
        <w:t>ولذلك فإن هذه الدراسة تتخذ مساراً ثلاثياً: (أ) تعميق الأطروحات الستة التي سبق عرضها، عبر توسيع الجهاز المفاهيمي الغربي والإسلامي المستدعى في كل منها؛ (ب) إضافة فصلين جديدين يوسّعان أفق المقارنة إلى ما هو أبعد من "المدارس العلاجية" ليشمل الفلسفة الاجتماعية (تايلور، بومان، أدورنو وهوركهايمر) والتراث الأصولي والاجتماعي الإسلامي (ابن خلدون، الشاطبي، طه عبد الرحمن)؛ (ج) عرض نقد مضاد Counter-Critique يسائل النموذج الاستخلافي نفسه من الداخل، بوصف ذلك شرطاً لا غنى عنه لأي "علم" يروم الاعتراف الأكاديمي لا الدعوي فحسب.</w:t>
      </w:r>
    </w:p>
    <w:p w14:paraId="3E0EA00B" w14:textId="0437A335" w:rsidR="003371FC" w:rsidRDefault="00000000" w:rsidP="00C62EED">
      <w:pPr>
        <w:pStyle w:val="1"/>
        <w:shd w:val="clear" w:color="auto" w:fill="1B2A4A"/>
        <w:bidi/>
        <w:spacing w:before="480" w:after="240"/>
        <w:jc w:val="center"/>
      </w:pPr>
      <w:r>
        <w:rPr>
          <w:b/>
          <w:bCs/>
          <w:color w:val="FFFFFF"/>
        </w:rPr>
        <w:t>تمهيد: الحداثة بوصفها "مختبراً وجودياً" و"مأزقاً حضارياً"</w:t>
      </w:r>
    </w:p>
    <w:p w14:paraId="521EA77A" w14:textId="77777777" w:rsidR="003371FC" w:rsidRDefault="00000000">
      <w:pPr>
        <w:spacing w:after="200" w:line="340" w:lineRule="auto"/>
        <w:ind w:firstLine="340"/>
        <w:jc w:val="both"/>
      </w:pPr>
      <w:r>
        <w:t>في مفتتح الألفية الثالثة، تقف البشرية على مفترق طرق وجودي غير مسبوق. فالحداثة — التي وعدت الإنسان بالتحرر من الطبيعة والتقليد والخرافة، وبَنَتْ له عوالم من الراحة والرفاه والتقدم — أنتجت، في الوقت نفسه، أزمات وجودية وبيئية ونفسية هائلة: الاغتراب، وفقدان المعنى، والقلق، والاكتئاب، والاستهلاك، وتدمير الكوكب. إنها، كما شخّصها فلاسفة كبار (هايدغر، فروم، غينون)، أزمة حضارية شاملة، لا مجرد خلل تقني أو اقتصادي.</w:t>
      </w:r>
      <w:r>
        <w:rPr>
          <w:i/>
          <w:iCs/>
          <w:color w:val="B8862B"/>
          <w:sz w:val="20"/>
          <w:szCs w:val="20"/>
        </w:rPr>
        <w:t xml:space="preserve">  [1178، 1182]</w:t>
      </w:r>
    </w:p>
    <w:p w14:paraId="7D0BD938" w14:textId="77777777" w:rsidR="003371FC" w:rsidRDefault="00000000">
      <w:pPr>
        <w:spacing w:after="200" w:line="340" w:lineRule="auto"/>
        <w:ind w:firstLine="340"/>
        <w:jc w:val="both"/>
      </w:pPr>
      <w:r>
        <w:t>في هذا السياق، يقدم علم النفس الاستخلافي، كما صاغه الباحث عبد السلام الزراع، موقفاً نقدياً وجذرياً من الحداثة. فهو لا ينظر إليها كعدو يجب محاربته أو رفضه بالكامل (كما يفعل بعض التيارات التقليدية)، ولا كقدر يجب الاستسلام له (كما يفعل بعض التيارات التغريبية)، بل كظاهرة مركبة ومتناقضة تحمل، في آنٍ واحد، إمكانات تحررية وأخطاراً استلابية. وهو، انطلاقاً من هذا الفهم، يقدم بديلاً حضارياً ووجودياً متكاملاً: نموذج الاستخلاف الذي يهدف إلى تجاوز مآزق الحداثة وتحقيق الحياة الطيبة والفلاح.</w:t>
      </w:r>
    </w:p>
    <w:p w14:paraId="4A993ABF" w14:textId="77777777" w:rsidR="003371FC" w:rsidRDefault="00000000">
      <w:pPr>
        <w:spacing w:after="200" w:line="340" w:lineRule="auto"/>
        <w:ind w:firstLine="340"/>
        <w:jc w:val="both"/>
      </w:pPr>
      <w:r>
        <w:t>وتزداد أهمية هذا الموقف حين يُقرأ في ضوء ما بات يُعرف في أدبيات الحداثة النقدية بـ"إشكالية التعدد" Problem of Plurality: أن الحداثة لم تعد مشروعاً واحداً متجانساً، بل تعددت "حداثاتها" — الحداثة الأنوارية العقلانية، والحداثة الرأسمالية الاستهلاكية، والحداثة السائلة عند بومان، وما بعد الحداثة التفكيكية عند ليوتار وديريدا. وموقف الزراع، إذ يُخاطب "الحداثة" بصيغة المفرد، يفترض ضمناً وجود جوهر مشترك يجمع هذه التلوينات، وهو افتراض يستحق فحصاً نقدياً منفصلاً سنعود إليه في الفصل السابع.</w:t>
      </w:r>
    </w:p>
    <w:p w14:paraId="736F7F89" w14:textId="6529A49C" w:rsidR="003371FC" w:rsidRDefault="00000000" w:rsidP="004B6823">
      <w:pPr>
        <w:pStyle w:val="1"/>
        <w:shd w:val="clear" w:color="auto" w:fill="1B2A4A"/>
        <w:bidi/>
        <w:spacing w:before="480" w:after="240"/>
        <w:jc w:val="center"/>
      </w:pPr>
      <w:r>
        <w:rPr>
          <w:b/>
          <w:bCs/>
          <w:color w:val="FFFFFF"/>
        </w:rPr>
        <w:t>الفصل الأول: "القطيعة الإبستمولوجية" — من أحادية المادة إلى مركزية التوحيد</w:t>
      </w:r>
    </w:p>
    <w:p w14:paraId="177C95EB" w14:textId="77777777" w:rsidR="003371FC" w:rsidRDefault="00000000">
      <w:pPr>
        <w:pStyle w:val="2"/>
        <w:pBdr>
          <w:right w:val="single" w:sz="18" w:space="6" w:color="0F6B65"/>
        </w:pBdr>
        <w:bidi/>
        <w:spacing w:before="320" w:after="160"/>
        <w:ind w:right="120"/>
        <w:jc w:val="right"/>
      </w:pPr>
      <w:r>
        <w:rPr>
          <w:b/>
          <w:bCs/>
          <w:color w:val="0F6B65"/>
          <w:sz w:val="27"/>
          <w:szCs w:val="27"/>
        </w:rPr>
        <w:t>1.1 الحداثة واختزال المعرفة في المادة</w:t>
      </w:r>
    </w:p>
    <w:p w14:paraId="21902879" w14:textId="77777777" w:rsidR="003371FC" w:rsidRDefault="00000000">
      <w:pPr>
        <w:spacing w:after="200" w:line="340" w:lineRule="auto"/>
        <w:ind w:firstLine="340"/>
        <w:jc w:val="both"/>
      </w:pPr>
      <w:r>
        <w:t>ينطلق الزراع، في نقده للحداثة، من تشخيص إبستمولوجي جذري: الحداثة، في جوهرها، قامت على القطيعة مع المعرفة المتعالية والغيبية، وحصرت الحقيقة في المادة والتجربة والعقل الأداتي. وهذا، كما يجادل، أدى إلى إفقار للعقل وللمعرفة، وإقصاء كل ما لا يُختزل في الكم والقياس. العلم، في الحداثة، أصبح علماً ناقصاً: يجيب عن سؤال الكيف (كيف تعمل الأشياء؟)، لكنه يعجز عن الإجابة عن سؤال اللماذا (لماذا وُجدت؟ وما غايتها؟).</w:t>
      </w:r>
      <w:r>
        <w:rPr>
          <w:i/>
          <w:iCs/>
          <w:color w:val="B8862B"/>
          <w:sz w:val="20"/>
          <w:szCs w:val="20"/>
        </w:rPr>
        <w:t xml:space="preserve">  [1178، 1182]</w:t>
      </w:r>
    </w:p>
    <w:p w14:paraId="326D641A" w14:textId="77777777" w:rsidR="003371FC" w:rsidRDefault="00000000">
      <w:pPr>
        <w:spacing w:after="200" w:line="340" w:lineRule="auto"/>
        <w:ind w:firstLine="340"/>
        <w:jc w:val="both"/>
      </w:pPr>
      <w:r>
        <w:t>ويمكن تعميق هذا التشخيص بردّه إلى جذوره الفلسفية في مدرسة فرانكفورت النقدية. فقد قدّم أدورنو وهوركهايمر، في "جدل التنوير" (1947)، أطروحة قريبة الروح: أن العقل الأداتي (Instrumentelle Vernunft) الذي حرر الإنسان من أسطورة الطبيعة انقلب هو نفسه إلى أسطورة جديدة — "أسطورة العقلنة الشاملة" — التي تُخضع الطبيعة والإنسان معاً لمنطق السيطرة والحساب. والفارق الجوهري بين النقدين أن أدورنو وهوركهايمر يبقيان داخل أفق علماني محض، فلا يطرحان بديلاً متعالياً بل يكتفيان بجدلية سلبية Negative Dialectics تُعري التناقض دون أن تحله، بينما يذهب الزراع إلى ما هو أبعد: استعادة "المركزية التوحيدية" كأفق تجاوزي يعيد للعقل الأداتي غايته المفقودة.</w:t>
      </w:r>
    </w:p>
    <w:p w14:paraId="29A6117D" w14:textId="77777777" w:rsidR="003371FC" w:rsidRDefault="00000000">
      <w:pPr>
        <w:pStyle w:val="2"/>
        <w:pBdr>
          <w:right w:val="single" w:sz="18" w:space="6" w:color="0F6B65"/>
        </w:pBdr>
        <w:bidi/>
        <w:spacing w:before="320" w:after="160"/>
        <w:ind w:right="120"/>
        <w:jc w:val="right"/>
      </w:pPr>
      <w:r>
        <w:rPr>
          <w:b/>
          <w:bCs/>
          <w:color w:val="0F6B65"/>
          <w:sz w:val="27"/>
          <w:szCs w:val="27"/>
        </w:rPr>
        <w:t>1.2 البديل الاستخلافي: العلم الشامل والمركزية التوحيدية</w:t>
      </w:r>
    </w:p>
    <w:p w14:paraId="62F9AC4B" w14:textId="77777777" w:rsidR="003371FC" w:rsidRDefault="00000000">
      <w:pPr>
        <w:spacing w:after="200" w:line="340" w:lineRule="auto"/>
        <w:ind w:firstLine="340"/>
        <w:jc w:val="both"/>
      </w:pPr>
      <w:r>
        <w:t>في مقابل هذه الأحادية، يعلن علم النفس الاستخلافي، كما فصلنا في دراسة سابقة، عن قطيعة إبستمولوجية مع النماذج المادية والوضعية. وهذه القطيعة، كما يؤكد، ليست دعوة إلى إهمال العلم التجريبي أو رفض منجزاته، بل هي، قبل ذلك، دعوة إلى توسيع أفق المعرفة واستعادة المركزية التوحيدية التي تجمَع بين المسطور (الوحي) والمنظور (الكون)، وتربط بين غائية السماء وسببية الأرض. وهذا، في نظر الزراع، هو الطريق الوحيد لبناء علم شامل وإنسان متكامل.</w:t>
      </w:r>
      <w:r>
        <w:rPr>
          <w:i/>
          <w:iCs/>
          <w:color w:val="B8862B"/>
          <w:sz w:val="20"/>
          <w:szCs w:val="20"/>
        </w:rPr>
        <w:t xml:space="preserve">  [1191، 1404]</w:t>
      </w:r>
    </w:p>
    <w:p w14:paraId="1F53A8D1" w14:textId="77777777" w:rsidR="003371FC" w:rsidRDefault="00000000">
      <w:pPr>
        <w:pStyle w:val="2"/>
        <w:pBdr>
          <w:right w:val="single" w:sz="18" w:space="6" w:color="0F6B65"/>
        </w:pBdr>
        <w:bidi/>
        <w:spacing w:before="320" w:after="160"/>
        <w:ind w:right="120"/>
        <w:jc w:val="right"/>
      </w:pPr>
      <w:r>
        <w:rPr>
          <w:b/>
          <w:bCs/>
          <w:color w:val="0F6B65"/>
          <w:sz w:val="27"/>
          <w:szCs w:val="27"/>
        </w:rPr>
        <w:t>1.3 التوازي مع نقد ما بعد العلمانية الغربية</w:t>
      </w:r>
    </w:p>
    <w:p w14:paraId="67801F28" w14:textId="77777777" w:rsidR="003371FC" w:rsidRDefault="00000000">
      <w:pPr>
        <w:spacing w:after="200" w:line="340" w:lineRule="auto"/>
        <w:ind w:firstLine="340"/>
        <w:jc w:val="both"/>
      </w:pPr>
      <w:r>
        <w:t>يكتسب هذا الموقف مشروعية أكاديمية إضافية حين يُقارن بما طرحه تشارلز تايلور في "عصر علماني" (A Secular Age، 2007). فتايلور يفكك أسطورة "قصة الطرح" (Subtraction Story) القائلة بأن العلمانية هي ما يتبقى من الوعي الإنساني بعد "طرح" الدين منه، ويبيّن أن العلمانية نفسها بناء تاريخي وإيماني بديل لا حياد معرفي مطلق فيه. هذا التحليل يمنح دعوى الزراع — بأن "الحياد المادي" وهمٌ إبستمولوجي — سنداً من داخل الفلسفة الغربية ذاتها، لا من خارجها فحسب، مما يقوّي حجيّة النقد ويخرجه من دائرة "الخصومة الدينية" إلى دائرة "النقد الفلسفي المشترك".</w:t>
      </w:r>
    </w:p>
    <w:p w14:paraId="39383B71" w14:textId="77777777" w:rsidR="003371FC" w:rsidRDefault="00000000">
      <w:pPr>
        <w:pStyle w:val="2"/>
        <w:pBdr>
          <w:right w:val="single" w:sz="18" w:space="6" w:color="0F6B65"/>
        </w:pBdr>
        <w:bidi/>
        <w:spacing w:before="320" w:after="160"/>
        <w:ind w:right="120"/>
        <w:jc w:val="right"/>
      </w:pPr>
      <w:r>
        <w:rPr>
          <w:b/>
          <w:bCs/>
          <w:color w:val="0F6B65"/>
          <w:sz w:val="27"/>
          <w:szCs w:val="27"/>
        </w:rPr>
        <w:t>1.4 حدود الدعوى: هل "المركزية التوحيدية" حل إبستمولوجي أم التزام إيماني مُسبق؟</w:t>
      </w:r>
    </w:p>
    <w:p w14:paraId="3D4D25D5" w14:textId="77777777" w:rsidR="003371FC" w:rsidRDefault="00000000">
      <w:pPr>
        <w:spacing w:after="200" w:line="340" w:lineRule="auto"/>
        <w:ind w:firstLine="340"/>
        <w:jc w:val="both"/>
      </w:pPr>
      <w:r>
        <w:t>غير أن الإنصاف الأكاديمي يقتضي التنبيه إلى أن الانتقال من "نقد أحادية المادة" إلى "تبنّي المركزية التوحيدية" ليس استدلالاً استنتاجياً محضاً، بل هو أقرب إلى قفزة معيارية Normative Leap: فبيان قصور النموذج المادي عن الإجابة عن سؤال الغاية لا يستلزم منطقياً صحة إجابة بعينها عن هذا السؤال. وهذا لا يُبطل الموقف — إذ كل نسق معرفي، بما فيه المادية نفسها، ينطلق من التزامات مبدئية غير قابلة للبرهنة الداخلية الكاملة (Gödel، Popper) — لكنه يستوجب من الزراع أن يُصرّح بهذا الانتقال بوصفه اختياراً وجودياً/إيمانياً، لا نتيجة برهانية صرفة، حفاظاً على النزاهة المنهجية للمشروع.</w:t>
      </w:r>
    </w:p>
    <w:p w14:paraId="53B136AB" w14:textId="77777777" w:rsidR="003371FC" w:rsidRDefault="00000000">
      <w:pPr>
        <w:pStyle w:val="1"/>
        <w:shd w:val="clear" w:color="auto" w:fill="1B2A4A"/>
        <w:bidi/>
        <w:spacing w:before="480" w:after="240"/>
        <w:jc w:val="right"/>
      </w:pPr>
      <w:r>
        <w:rPr>
          <w:b/>
          <w:bCs/>
          <w:color w:val="FFFFFF"/>
        </w:rPr>
        <w:t xml:space="preserve">   الفصل الثاني: نقد نموذج الإنسان المستهلك — من الكائن المُنتج إلى الخليفة المسؤول</w:t>
      </w:r>
    </w:p>
    <w:p w14:paraId="508B133D" w14:textId="77777777" w:rsidR="003371FC" w:rsidRDefault="00000000">
      <w:pPr>
        <w:pStyle w:val="2"/>
        <w:pBdr>
          <w:right w:val="single" w:sz="18" w:space="6" w:color="0F6B65"/>
        </w:pBdr>
        <w:bidi/>
        <w:spacing w:before="320" w:after="160"/>
        <w:ind w:right="120"/>
        <w:jc w:val="right"/>
      </w:pPr>
      <w:r>
        <w:rPr>
          <w:b/>
          <w:bCs/>
          <w:color w:val="0F6B65"/>
          <w:sz w:val="27"/>
          <w:szCs w:val="27"/>
        </w:rPr>
        <w:t>2.1 الحداثة واختزال الإنسان في المستهلك</w:t>
      </w:r>
    </w:p>
    <w:p w14:paraId="026DF231" w14:textId="77777777" w:rsidR="003371FC" w:rsidRDefault="00000000">
      <w:pPr>
        <w:spacing w:after="200" w:line="340" w:lineRule="auto"/>
        <w:ind w:firstLine="340"/>
        <w:jc w:val="both"/>
      </w:pPr>
      <w:r>
        <w:t>من أبرز تجليات الحداثة، كما يحللها الزراع، هو تحويل الإنسان إلى مستهلك سلبي (Passive Consumer) تُقاس قيمته بما يملِكه أو يستهلكه من سِلع وبيانات. وهذا التحول، كما يجادل، لم يكن عرضياً، بل هو نتاج منطقي لمنظومة اقتصادية وفلسفية جعلت من النمو المادي والاستهلاك غاية في ذاتها، واختزلت الإنسان في بُعده الاقتصادي.</w:t>
      </w:r>
      <w:r>
        <w:rPr>
          <w:i/>
          <w:iCs/>
          <w:color w:val="B8862B"/>
          <w:sz w:val="20"/>
          <w:szCs w:val="20"/>
        </w:rPr>
        <w:t xml:space="preserve">  [1108، 1281]</w:t>
      </w:r>
    </w:p>
    <w:p w14:paraId="4EF0EBE9" w14:textId="77777777" w:rsidR="003371FC" w:rsidRDefault="00000000">
      <w:pPr>
        <w:spacing w:after="200" w:line="340" w:lineRule="auto"/>
        <w:ind w:firstLine="340"/>
        <w:jc w:val="both"/>
      </w:pPr>
      <w:r>
        <w:t>ويمكن تعميق هذا التحليل بربطه بأطروحة زيغمونت بومان في "الحداثة السائلة" (Liquid Modernity، 2000): أن الإنسان المعاصر لم يعد "منتِجاً" بالمعنى الفوردي التقليدي فحسب، بل أصبح هو نفسه سلعة تُسوَّق (Homo Consumens)، وأن الهوية ذاتها باتت "مشروعاً استهلاكياً" متجدداً لا يستقر على قرار. هذا يفسر لماذا لا يكفي — في نقد الزراع — استرجاع "الإنتاج الأخلاقي" وحده بديلاً عن "الاستهلاك"، بل لا بد من إعادة تأسيس مفهوم الهوية ذاتها على أساس ثابت متعالٍ (الخلافة) بدل الأساس السائل (الاستهلاك المتجدد).</w:t>
      </w:r>
    </w:p>
    <w:p w14:paraId="0B9726A3" w14:textId="77777777" w:rsidR="003371FC" w:rsidRDefault="00000000">
      <w:pPr>
        <w:pStyle w:val="2"/>
        <w:pBdr>
          <w:right w:val="single" w:sz="18" w:space="6" w:color="0F6B65"/>
        </w:pBdr>
        <w:bidi/>
        <w:spacing w:before="320" w:after="160"/>
        <w:ind w:right="120"/>
        <w:jc w:val="right"/>
      </w:pPr>
      <w:r>
        <w:rPr>
          <w:b/>
          <w:bCs/>
          <w:color w:val="0F6B65"/>
          <w:sz w:val="27"/>
          <w:szCs w:val="27"/>
        </w:rPr>
        <w:t>2.2 البديل الاستخلافي: الخليفة المسؤول والإنسان السُّنَني</w:t>
      </w:r>
    </w:p>
    <w:p w14:paraId="40B1EF4A" w14:textId="77777777" w:rsidR="003371FC" w:rsidRDefault="00000000">
      <w:pPr>
        <w:spacing w:after="200" w:line="340" w:lineRule="auto"/>
        <w:ind w:firstLine="340"/>
        <w:jc w:val="both"/>
      </w:pPr>
      <w:r>
        <w:t>في مقابل هذا الاختزال، يقدم النموذج الاستخلافي، كما رأينا، رؤية مغايرة وأكثر سمواً للإنسان: إنه، قبل كل شيء، خليفة وحامل أمانة، وقيمته مستمدة من كرامته الربانية ودوره في عمارة الأرض، لا من ما يستهلكه أو يملِكه. وهذا النموذج، كما يصِفه الزراع، هو نموذج الإنسان السُّنَني الذي يوازن بين غائية السماء وسببية الأرض، ويجمع بين العلم والعمل والإيمان.</w:t>
      </w:r>
      <w:r>
        <w:rPr>
          <w:i/>
          <w:iCs/>
          <w:color w:val="B8862B"/>
          <w:sz w:val="20"/>
          <w:szCs w:val="20"/>
        </w:rPr>
        <w:t xml:space="preserve">  [1118، 1212]</w:t>
      </w:r>
    </w:p>
    <w:p w14:paraId="0535CCF1" w14:textId="77777777" w:rsidR="003371FC" w:rsidRDefault="00000000">
      <w:pPr>
        <w:pStyle w:val="2"/>
        <w:pBdr>
          <w:right w:val="single" w:sz="18" w:space="6" w:color="0F6B65"/>
        </w:pBdr>
        <w:bidi/>
        <w:spacing w:before="320" w:after="160"/>
        <w:ind w:right="120"/>
        <w:jc w:val="right"/>
      </w:pPr>
      <w:r>
        <w:rPr>
          <w:b/>
          <w:bCs/>
          <w:color w:val="0F6B65"/>
          <w:sz w:val="27"/>
          <w:szCs w:val="27"/>
        </w:rPr>
        <w:t>2.3 مساءلة سوسيولوجية: هل يكفي التأصيل النظري لمقاومة بنية اقتصادية كلية؟</w:t>
      </w:r>
    </w:p>
    <w:p w14:paraId="7C03F1F8" w14:textId="77777777" w:rsidR="003371FC" w:rsidRDefault="00000000">
      <w:pPr>
        <w:spacing w:after="200" w:line="340" w:lineRule="auto"/>
        <w:ind w:firstLine="340"/>
        <w:jc w:val="both"/>
      </w:pPr>
      <w:r>
        <w:t>من زاوية النقد الاجتماعي، يمكن توجيه سؤال جاد لهذا البديل: أطروحة بيير بورديو حول "الهابيتوس" (Habitus) تُبيّن أن أنماط الاستهلاك ليست خيارات واعية بقدر ما هي مُنتَج تطبيع بنيوي عميق يسبق الوعي الفردي. فهل يكفي تغيير "التصور الذاتي" للإنسان (من مستهلك إلى خليفة) لمقاومة بنية اقتصادية-رمزية تعمل على مستوى ما قبل-انعكاسي؟ الإجابة العادلة تقتضي أن يُستكمل البعد التصوري في النموذج الاستخلافي ببعد مؤسسي-تربوي وجماعي (لا فردي علاجي محض)، وهو ما يفتح على أهمية "الأمة" كوحدة تربوية بديلة، لا الفرد وحده، في تفعيل نموذج الاستخلاف — وهي نقطة نعود إليها في الفصل الثامن عبر ابن خلدون.</w:t>
      </w:r>
    </w:p>
    <w:p w14:paraId="3E66AEAE" w14:textId="77777777" w:rsidR="003371FC" w:rsidRDefault="00000000">
      <w:pPr>
        <w:pStyle w:val="1"/>
        <w:shd w:val="clear" w:color="auto" w:fill="1B2A4A"/>
        <w:bidi/>
        <w:spacing w:before="480" w:after="240"/>
        <w:jc w:val="right"/>
      </w:pPr>
      <w:r>
        <w:rPr>
          <w:b/>
          <w:bCs/>
          <w:color w:val="FFFFFF"/>
        </w:rPr>
        <w:t xml:space="preserve">   الفصل الثالث: مواجهة الحداثة الرقمية — رأسمالية المراقبة واستعادة سيادة الانتباه</w:t>
      </w:r>
    </w:p>
    <w:p w14:paraId="04481F28" w14:textId="77777777" w:rsidR="003371FC" w:rsidRDefault="00000000">
      <w:pPr>
        <w:pStyle w:val="2"/>
        <w:pBdr>
          <w:right w:val="single" w:sz="18" w:space="6" w:color="0F6B65"/>
        </w:pBdr>
        <w:bidi/>
        <w:spacing w:before="320" w:after="160"/>
        <w:ind w:right="120"/>
        <w:jc w:val="right"/>
      </w:pPr>
      <w:r>
        <w:rPr>
          <w:b/>
          <w:bCs/>
          <w:color w:val="0F6B65"/>
          <w:sz w:val="27"/>
          <w:szCs w:val="27"/>
        </w:rPr>
        <w:t>3.1 رأسمالية المراقبة واستعمار الوعي</w:t>
      </w:r>
    </w:p>
    <w:p w14:paraId="5DE0021E" w14:textId="26E3103F" w:rsidR="003371FC" w:rsidRDefault="00000000">
      <w:pPr>
        <w:spacing w:after="200" w:line="340" w:lineRule="auto"/>
        <w:ind w:firstLine="340"/>
        <w:jc w:val="both"/>
      </w:pPr>
      <w:r>
        <w:t>أحدث تجليات الحداثة، كما يشخصها الزراع</w:t>
      </w:r>
      <w:r w:rsidR="009C090A">
        <w:rPr>
          <w:rFonts w:hint="cs"/>
          <w:lang w:bidi="ar-EG"/>
        </w:rPr>
        <w:t xml:space="preserve"> </w:t>
      </w:r>
      <w:r>
        <w:t>، هي رأسمالية المراقبة (Surveillance Capitalism)، وهو مصطلح صاغته شوشانا زوبوف (Zuboff, 2019). هذه المنظومة، كما يجادل، لا تكتفي باستغلال العمل والموارد، بل تمتد، بشكل غير مسبوق، إلى استعمار الوعي والانتباه نفسه. فالخوارزميات، عبر التصميم المتعمد للإدمان والتشتيت، تستهدف النفس الأمارة (التي تطلب الإشباع الفوري)، وتحول التجربة الإنسانية، بكل تعقيدها، إلى مادة خام تُستخرج منها البيانات وتُباع.</w:t>
      </w:r>
      <w:r>
        <w:rPr>
          <w:i/>
          <w:iCs/>
          <w:color w:val="B8862B"/>
          <w:sz w:val="20"/>
          <w:szCs w:val="20"/>
        </w:rPr>
        <w:t xml:space="preserve">  [1336، 1349]</w:t>
      </w:r>
    </w:p>
    <w:p w14:paraId="75BE28C3" w14:textId="77777777" w:rsidR="003371FC" w:rsidRDefault="00000000">
      <w:pPr>
        <w:spacing w:after="200" w:line="340" w:lineRule="auto"/>
        <w:ind w:firstLine="340"/>
        <w:jc w:val="both"/>
      </w:pPr>
      <w:r>
        <w:t>ويجدر التوسع هنا في ربط هذا التحليل بمفهوم "اقتصاد الانتباه" (Attention Economy) عند هربرت سايمون، الذي لاحظ منذ 1971 أن وفرة المعلومات تخلق بالضرورة ندرة الانتباه، وبمفهوم "الحكم الخوارزمي" (Algorithmic Governmentality) عند أنطوانيت روفروي، الذي يبيّن كيف تنتقل السلطة الحديثة من ضبط السلوك الظاهر (كما وصفه فوكو في "المراقبة والمعاقبة") إلى التنبؤ به واستباقه عبر البيانات — وهو ما يجعل خطاب الزراع عن "استعمار الوعي" ليس استعارة دعوية بل توصيفاً متسقاً مع أحدث أدبيات فلسفة التقنية.</w:t>
      </w:r>
    </w:p>
    <w:p w14:paraId="1B2EC850" w14:textId="77777777" w:rsidR="003371FC" w:rsidRDefault="00000000">
      <w:pPr>
        <w:pStyle w:val="2"/>
        <w:pBdr>
          <w:right w:val="single" w:sz="18" w:space="6" w:color="0F6B65"/>
        </w:pBdr>
        <w:bidi/>
        <w:spacing w:before="320" w:after="160"/>
        <w:ind w:right="120"/>
        <w:jc w:val="right"/>
      </w:pPr>
      <w:r>
        <w:rPr>
          <w:b/>
          <w:bCs/>
          <w:color w:val="0F6B65"/>
          <w:sz w:val="27"/>
          <w:szCs w:val="27"/>
        </w:rPr>
        <w:t>3.2 سيادة الانتباه كفعل مقاومة استخلافي</w:t>
      </w:r>
    </w:p>
    <w:p w14:paraId="6CC7681F" w14:textId="77777777" w:rsidR="003371FC" w:rsidRDefault="00000000">
      <w:pPr>
        <w:spacing w:after="200" w:line="340" w:lineRule="auto"/>
        <w:ind w:firstLine="340"/>
        <w:jc w:val="both"/>
      </w:pPr>
      <w:r>
        <w:t>في مواجهة هذا الاستعمار الخوارزمي، يطرح الزراع مفهوم سيادة الانتباه (Sovereignty of Attention). وهو، كما يعرفه، ليس مجرد قدرة على التركيز، بل هو فعل مقاومة وجودي واسترداد لأمانة الوعي. فالإنسان، عبر الذكر والصلاة والتدبر، يستعيد سيادته على انتباهه ووقته وحياته، ويتحرر، تدريجياً، من التبعية للخوارزميات والإدمان الرقمي. وهذا، في النموذج الاستخلافي، هو جوهر الاستخلاف الرقمي الواعي.</w:t>
      </w:r>
      <w:r>
        <w:rPr>
          <w:i/>
          <w:iCs/>
          <w:color w:val="B8862B"/>
          <w:sz w:val="20"/>
          <w:szCs w:val="20"/>
        </w:rPr>
        <w:t xml:space="preserve">  [1152، 1362]</w:t>
      </w:r>
    </w:p>
    <w:p w14:paraId="38F25CE8" w14:textId="77777777" w:rsidR="003371FC" w:rsidRDefault="00000000">
      <w:pPr>
        <w:pStyle w:val="2"/>
        <w:pBdr>
          <w:right w:val="single" w:sz="18" w:space="6" w:color="0F6B65"/>
        </w:pBdr>
        <w:bidi/>
        <w:spacing w:before="320" w:after="160"/>
        <w:ind w:right="120"/>
        <w:jc w:val="right"/>
      </w:pPr>
      <w:r>
        <w:rPr>
          <w:b/>
          <w:bCs/>
          <w:color w:val="0F6B65"/>
          <w:sz w:val="27"/>
          <w:szCs w:val="27"/>
        </w:rPr>
        <w:t>3.3 حدود الفردنة العلاجية في مواجهة بنية تقنية-اقتصادية</w:t>
      </w:r>
    </w:p>
    <w:p w14:paraId="44E2FC7C" w14:textId="77777777" w:rsidR="003371FC" w:rsidRDefault="00000000">
      <w:pPr>
        <w:spacing w:after="200" w:line="340" w:lineRule="auto"/>
        <w:ind w:firstLine="340"/>
        <w:jc w:val="both"/>
      </w:pPr>
      <w:r>
        <w:t>ينبغي الإقرار، من موقع النقد البنّاء، بأن الممارسات التعبدية الفردية (الذكر، التدبر) تعالج عرَض الإدمان الرقمي على مستوى الفرد، لكنها لا تُفكك البنية الاقتصادية المولّدة له (نموذج الإعلانات القائم على جذب الانتباه). هنا يفيد استحضار نقد شوشانا زوبوف ذاتها حين تدعو إلى تشريعات مضادة (Counter-Movements) لا اكتفاءً بالفضيلة الفردية. وعليه، فإن "سيادة الانتباه" الاستخلافية تحتاج، لتكتمل أكاديمياً، إلى استكمال بمقترح سياسات عامة (تنظيم منصات، حماية بيانات، تربية إعلامية مؤسسية) لا يقتصر على البُعد الروحي الفردي وحده.</w:t>
      </w:r>
    </w:p>
    <w:p w14:paraId="52FCF078" w14:textId="77777777" w:rsidR="003371FC" w:rsidRDefault="00000000">
      <w:pPr>
        <w:pStyle w:val="1"/>
        <w:shd w:val="clear" w:color="auto" w:fill="1B2A4A"/>
        <w:bidi/>
        <w:spacing w:before="480" w:after="240"/>
        <w:jc w:val="right"/>
      </w:pPr>
      <w:r>
        <w:rPr>
          <w:b/>
          <w:bCs/>
          <w:color w:val="FFFFFF"/>
        </w:rPr>
        <w:t xml:space="preserve">   الفصل الرابع: علاج الفصام الأخلاقي الحداثي — من التمزق إلى التكامل</w:t>
      </w:r>
    </w:p>
    <w:p w14:paraId="4CA21A1D" w14:textId="77777777" w:rsidR="003371FC" w:rsidRDefault="00000000">
      <w:pPr>
        <w:pStyle w:val="2"/>
        <w:pBdr>
          <w:right w:val="single" w:sz="18" w:space="6" w:color="0F6B65"/>
        </w:pBdr>
        <w:bidi/>
        <w:spacing w:before="320" w:after="160"/>
        <w:ind w:right="120"/>
        <w:jc w:val="right"/>
      </w:pPr>
      <w:r>
        <w:rPr>
          <w:b/>
          <w:bCs/>
          <w:color w:val="0F6B65"/>
          <w:sz w:val="27"/>
          <w:szCs w:val="27"/>
        </w:rPr>
        <w:t>4.1 الحداثة والفصام الأخلاقي: بين الوحي والمادة</w:t>
      </w:r>
    </w:p>
    <w:p w14:paraId="01D0A14E" w14:textId="77777777" w:rsidR="003371FC" w:rsidRDefault="00000000">
      <w:pPr>
        <w:spacing w:after="200" w:line="340" w:lineRule="auto"/>
        <w:ind w:firstLine="340"/>
        <w:jc w:val="both"/>
      </w:pPr>
      <w:r>
        <w:t>أحد أخطر آثار الحداثة على النفس المسلمة، كما يشخص الزراع، هو ما يسميه الفصام الأخلاقي (Moral Schizophrenia). وهو حالة من التمزق الوجودي العميق يعيشها الإنسان المعاصر، خاصة في المجتمعات الإسلامية، بين منظومتين قيميتين متصارعتين: منظومة الوحي (التي تطلب منه أن يكون خليفة مؤتمناً ومسؤولاً)، ومنظومة الحداثة المادية (التي تطلبه كمستهلك ومنتج ومتعة). وهذا التمزق، كما يجادل، يُولد قلقاً مزمناً وشعوراً مزدوجاً بالذنب (Double Guilt)، ويؤدي، في النهاية، إلى الضياع والاغتراب.</w:t>
      </w:r>
      <w:r>
        <w:rPr>
          <w:i/>
          <w:iCs/>
          <w:color w:val="B8862B"/>
          <w:sz w:val="20"/>
          <w:szCs w:val="20"/>
        </w:rPr>
        <w:t xml:space="preserve">  [1248، 1270]</w:t>
      </w:r>
    </w:p>
    <w:p w14:paraId="3BC8EDDA" w14:textId="77777777" w:rsidR="003371FC" w:rsidRDefault="00000000">
      <w:pPr>
        <w:spacing w:after="200" w:line="340" w:lineRule="auto"/>
        <w:ind w:firstLine="340"/>
        <w:jc w:val="both"/>
      </w:pPr>
      <w:r>
        <w:t>ويمكن إسناد هذا التشخيص نظرياً بمفهوم "التنافر المعياري" Normative Dissonance المشتق من نظرية فستنجر عن التنافر المعرفي، لكن مع تمييز دقيق أشار إليه الزراع ضمنياً: التنافر المعرفي عند فستنجر ينشأ بين معتقدين متجاورين على المستوى نفسه، بينما "الفصام الأخلاقي" هنا ينشأ بين مرجعيتين معياريتين متراتبتين (مرجعية متعالية ومرجعية دنيوية)، وهو ما يجعله أقرب لما تسميه ألستير ماكنتاير في "بعد الفضيلة" (After Virtue، 1981) بـ"تشظي التقاليد الأخلاقية" (Fragmentation of Moral Traditions) في الحداثة المتأخرة — حيث يرث الفرد المعاصر مفردات أخلاقية من تقاليد متعددة متنافرة الجذور، فينطق بها دون القدرة على تسويغها ضمن نسق واحد متماسك.</w:t>
      </w:r>
    </w:p>
    <w:p w14:paraId="265986BC" w14:textId="77777777" w:rsidR="003371FC" w:rsidRDefault="00000000">
      <w:pPr>
        <w:pStyle w:val="2"/>
        <w:pBdr>
          <w:right w:val="single" w:sz="18" w:space="6" w:color="0F6B65"/>
        </w:pBdr>
        <w:bidi/>
        <w:spacing w:before="320" w:after="160"/>
        <w:ind w:right="120"/>
        <w:jc w:val="right"/>
      </w:pPr>
      <w:r>
        <w:rPr>
          <w:b/>
          <w:bCs/>
          <w:color w:val="0F6B65"/>
          <w:sz w:val="27"/>
          <w:szCs w:val="27"/>
        </w:rPr>
        <w:t>4.2 بروتوكول TLRT واستعادة الوحدة</w:t>
      </w:r>
    </w:p>
    <w:p w14:paraId="5392B02A" w14:textId="77777777" w:rsidR="003371FC" w:rsidRDefault="00000000">
      <w:pPr>
        <w:spacing w:after="200" w:line="340" w:lineRule="auto"/>
        <w:ind w:firstLine="340"/>
        <w:jc w:val="both"/>
      </w:pPr>
      <w:r>
        <w:t>الهدف الأسمى من بروتوكول TLRT، كما يبين الزراع، هو علاج هذا الفصام الأخلاقي واستعادة لوحدة النفس وتكاملها. وذلك، عبر مراحله الخمس، يساعد المريض على:</w:t>
      </w:r>
    </w:p>
    <w:p w14:paraId="3D7D1B3E" w14:textId="77777777" w:rsidR="003371FC" w:rsidRDefault="00000000">
      <w:pPr>
        <w:spacing w:after="200" w:line="340" w:lineRule="auto"/>
        <w:ind w:firstLine="340"/>
        <w:jc w:val="both"/>
      </w:pPr>
      <w:r>
        <w:t>1. تشخيص الفصام وتمييز الديون الحقيقية (ما يجب فعله) من الديون الوهمية (ما يفرضه المجتمع أو الأنا الأعلى القاسي).</w:t>
      </w:r>
    </w:p>
    <w:p w14:paraId="038AE727" w14:textId="77777777" w:rsidR="003371FC" w:rsidRDefault="00000000">
      <w:pPr>
        <w:spacing w:after="200" w:line="340" w:lineRule="auto"/>
        <w:ind w:firstLine="340"/>
        <w:jc w:val="both"/>
      </w:pPr>
      <w:r>
        <w:t>2. إعادة بناء صورة الله الرحيم، الذي لا يطالب بالمستحيل، ويقبل التوبة ويغفر الذنوب.</w:t>
      </w:r>
    </w:p>
    <w:p w14:paraId="02D27D8B" w14:textId="77777777" w:rsidR="003371FC" w:rsidRDefault="00000000">
      <w:pPr>
        <w:spacing w:after="200" w:line="340" w:lineRule="auto"/>
        <w:ind w:firstLine="340"/>
        <w:jc w:val="both"/>
      </w:pPr>
      <w:r>
        <w:t>3. بناء جسر سلوكي يحول طاقة التمزق والقلق إلى فاعلية إحسانية وخدمة للآخرين.</w:t>
      </w:r>
    </w:p>
    <w:p w14:paraId="6026DDB7" w14:textId="77777777" w:rsidR="003371FC" w:rsidRDefault="00000000">
      <w:pPr>
        <w:spacing w:after="200" w:line="340" w:lineRule="auto"/>
        <w:ind w:firstLine="340"/>
        <w:jc w:val="both"/>
      </w:pPr>
      <w:r>
        <w:t>4. إعادة كتابة السردية الذاتية لتدمج بين الوحي والواقع، وتجعَل من الإنسان خليفة متكاملاً لا مشتتاً.</w:t>
      </w:r>
      <w:r>
        <w:rPr>
          <w:i/>
          <w:iCs/>
          <w:color w:val="B8862B"/>
          <w:sz w:val="20"/>
          <w:szCs w:val="20"/>
        </w:rPr>
        <w:t xml:space="preserve">  [1273، 1280]</w:t>
      </w:r>
    </w:p>
    <w:p w14:paraId="4E14935E" w14:textId="77777777" w:rsidR="003371FC" w:rsidRDefault="00000000">
      <w:pPr>
        <w:pStyle w:val="2"/>
        <w:pBdr>
          <w:right w:val="single" w:sz="18" w:space="6" w:color="0F6B65"/>
        </w:pBdr>
        <w:bidi/>
        <w:spacing w:before="320" w:after="160"/>
        <w:ind w:right="120"/>
        <w:jc w:val="right"/>
      </w:pPr>
      <w:r>
        <w:rPr>
          <w:b/>
          <w:bCs/>
          <w:color w:val="0F6B65"/>
          <w:sz w:val="27"/>
          <w:szCs w:val="27"/>
        </w:rPr>
        <w:t>4.3 المساءلة الإكلينيكية: هل "استعادة الوحدة" قابلة للقياس تجريبياً؟</w:t>
      </w:r>
    </w:p>
    <w:p w14:paraId="06665E7C" w14:textId="77777777" w:rsidR="003371FC" w:rsidRDefault="00000000">
      <w:pPr>
        <w:spacing w:after="200" w:line="340" w:lineRule="auto"/>
        <w:ind w:firstLine="340"/>
        <w:jc w:val="both"/>
      </w:pPr>
      <w:r>
        <w:t>من زاوية علم النفس الإكلينيكي المُثبت تجريبياً، يبقى السؤال المشروع: كيف يُقاس "الفصام الأخلاقي" بوصفه بنية تشخيصية؟ وما أدوات القياس المعيارية (Psychometrics) التي تفصله عن متلازمات معروفة كالقلق الوجودي (Existential Anxiety) أو اضطراب الهوية القيمي؟ هذا السؤال يتقاطع مع ما سبق توثيقه في الملاحق النقدية المنهجية لبروتوكول TLRT بخصوص مشكلات التعمية العشوائية (Blinding) وحجم العينة، وهو ما يعني أن "الفصام الأخلاقي" ينبغي أن يُعامَل، في الطور الراهن، كبنية مفاهيمية فينومينولوجية واعدة تحتاج إلى تحويلها لأدوات قياس كمية (على غرار مقياس DMN-HI) قبل ادعاء صلاحيتها العلاجية المُثبتة إكلينيكياً بالمعنى الصارم لعلم النفس القائم على الأدلة (Evidence-Based Psychology).</w:t>
      </w:r>
    </w:p>
    <w:p w14:paraId="20436CA7" w14:textId="77777777" w:rsidR="003371FC" w:rsidRDefault="00000000">
      <w:pPr>
        <w:pStyle w:val="1"/>
        <w:shd w:val="clear" w:color="auto" w:fill="1B2A4A"/>
        <w:bidi/>
        <w:spacing w:before="480" w:after="240"/>
        <w:jc w:val="right"/>
      </w:pPr>
      <w:r>
        <w:rPr>
          <w:b/>
          <w:bCs/>
          <w:color w:val="FFFFFF"/>
        </w:rPr>
        <w:t xml:space="preserve">   الفصل الخامس: استراتيجية الاندماج الخالق — من الرفض والانغلاق إلى الاستيعاب والتوجيه</w:t>
      </w:r>
    </w:p>
    <w:p w14:paraId="55ABFF95" w14:textId="77777777" w:rsidR="003371FC" w:rsidRDefault="00000000">
      <w:pPr>
        <w:pStyle w:val="2"/>
        <w:pBdr>
          <w:right w:val="single" w:sz="18" w:space="6" w:color="0F6B65"/>
        </w:pBdr>
        <w:bidi/>
        <w:spacing w:before="320" w:after="160"/>
        <w:ind w:right="120"/>
        <w:jc w:val="right"/>
      </w:pPr>
      <w:r>
        <w:rPr>
          <w:b/>
          <w:bCs/>
          <w:color w:val="0F6B65"/>
          <w:sz w:val="27"/>
          <w:szCs w:val="27"/>
        </w:rPr>
        <w:t>5.1 مأزقا الرفض والانغلاق</w:t>
      </w:r>
    </w:p>
    <w:p w14:paraId="4278EAD2" w14:textId="77777777" w:rsidR="003371FC" w:rsidRDefault="00000000">
      <w:pPr>
        <w:spacing w:after="200" w:line="340" w:lineRule="auto"/>
        <w:ind w:firstLine="340"/>
        <w:jc w:val="both"/>
      </w:pPr>
      <w:r>
        <w:t>يشير الزراع إلى أن بعض ردود الفعل الإسلامية على الحداثة اتخذت شكل الرفض القطعي والانغلاق على التراث، مما أدى إلى العزلة والتخلف عن ركب التقدم. وهذا الموقف، كما يراه، غير منتج وغير واقعي.</w:t>
      </w:r>
    </w:p>
    <w:p w14:paraId="33D53F26" w14:textId="77777777" w:rsidR="003371FC" w:rsidRDefault="00000000">
      <w:pPr>
        <w:pStyle w:val="2"/>
        <w:pBdr>
          <w:right w:val="single" w:sz="18" w:space="6" w:color="0F6B65"/>
        </w:pBdr>
        <w:bidi/>
        <w:spacing w:before="320" w:after="160"/>
        <w:ind w:right="120"/>
        <w:jc w:val="right"/>
      </w:pPr>
      <w:r>
        <w:rPr>
          <w:b/>
          <w:bCs/>
          <w:color w:val="0F6B65"/>
          <w:sz w:val="27"/>
          <w:szCs w:val="27"/>
        </w:rPr>
        <w:t>5.2 الاندماج الخالق: طريق ثالث</w:t>
      </w:r>
    </w:p>
    <w:p w14:paraId="16E46BE0" w14:textId="77777777" w:rsidR="003371FC" w:rsidRDefault="00000000">
      <w:pPr>
        <w:spacing w:after="200" w:line="340" w:lineRule="auto"/>
        <w:ind w:firstLine="340"/>
        <w:jc w:val="both"/>
      </w:pPr>
      <w:r>
        <w:t>في مقابل هذين المأزقين، يقترح الزراع استراتيجية الاندماج الخالق (Creative Integration). وهي استراتيجية إبستمولوجية وحضارية تسعى إلى استيعاب منجزات العلوم الحديثة (كعلوم الأعصاب، والذكاء الاصطناعي، والتحليل النفسي)، بشكل نقدي وواعٍ، وإعادة صهرها داخل إطار الوحي والرؤية التوحيدية، لتخدِم، لا لتُعارض، غاية الاستخلاف. وهذا، كما يلاحظ، هو التطبيق العملي لمبدأ المركزية التوحيدية في مجال المعرفة والعمل.</w:t>
      </w:r>
      <w:r>
        <w:rPr>
          <w:i/>
          <w:iCs/>
          <w:color w:val="B8862B"/>
          <w:sz w:val="20"/>
          <w:szCs w:val="20"/>
        </w:rPr>
        <w:t xml:space="preserve">  [874، 1222]</w:t>
      </w:r>
    </w:p>
    <w:p w14:paraId="540B2666" w14:textId="77777777" w:rsidR="003371FC" w:rsidRDefault="00000000">
      <w:pPr>
        <w:pStyle w:val="2"/>
        <w:pBdr>
          <w:right w:val="single" w:sz="18" w:space="6" w:color="0F6B65"/>
        </w:pBdr>
        <w:bidi/>
        <w:spacing w:before="320" w:after="160"/>
        <w:ind w:right="120"/>
        <w:jc w:val="right"/>
      </w:pPr>
      <w:r>
        <w:rPr>
          <w:b/>
          <w:bCs/>
          <w:color w:val="0F6B65"/>
          <w:sz w:val="27"/>
          <w:szCs w:val="27"/>
        </w:rPr>
        <w:t>5.3 مقاربة إسماعيل الفاروقي وطه عبد الرحمن: سوابق منهجية</w:t>
      </w:r>
    </w:p>
    <w:p w14:paraId="4ACCEF78" w14:textId="77777777" w:rsidR="003371FC" w:rsidRDefault="00000000">
      <w:pPr>
        <w:spacing w:after="200" w:line="340" w:lineRule="auto"/>
        <w:ind w:firstLine="340"/>
        <w:jc w:val="both"/>
      </w:pPr>
      <w:r>
        <w:t>لا يقف "الاندماج الخالق" بمعزل عن مسار طويل من محاولات "أسلمة المعرفة" (Islamization of Knowledge) بدأ بشكل ممنهج مع إسماعيل راجي الفاروقي (1982)، الذي وضع خطة عمل من اثنتي عشرة خطوة لإعادة صياغة العلوم الاجتماعية والإنسانية ضمن رؤية توحيدية. غير أن الفاروقي تعرّض لنقد منهجي من طه عبد الرحمن، الذي ميّز بين "الأسلمة" بوصفها إضافة غلاف ديني على متن معرفي غربي دون تفكيك بنيته الإبستمولوجية الداخلية، وبين ما سمّاه "الائتمار" — أي إعادة إنتاج المعرفة من داخل أصول منهجية إسلامية أصيلة لا استعارة صورية. والزراع، حين يتحدث عن "إعادة صهر" منجزات العلم الحديث داخل الرؤية التوحيدية لا "إضافتها إليها"، يقترب من موقف طه عبد الرحمن أكثر من موقف الفاروقي — وهو تمايز منهجي دقيق يستحق أن يُصرَّح به صراحة في متن النموذج الاستخلافي لتجنّب الوقوع فيما انتقده طه عبد الرحمن من "أسلمة شكلية".</w:t>
      </w:r>
    </w:p>
    <w:p w14:paraId="330BB552" w14:textId="77777777" w:rsidR="003371FC" w:rsidRDefault="00000000">
      <w:pPr>
        <w:pStyle w:val="1"/>
        <w:shd w:val="clear" w:color="auto" w:fill="1B2A4A"/>
        <w:bidi/>
        <w:spacing w:before="480" w:after="240"/>
        <w:jc w:val="right"/>
      </w:pPr>
      <w:r>
        <w:rPr>
          <w:b/>
          <w:bCs/>
          <w:color w:val="FFFFFF"/>
        </w:rPr>
        <w:t xml:space="preserve">   الفصل السادس: المقارنة مع المدارس العلاجية الحداثية — بيان مواقع التجاوز</w:t>
      </w:r>
    </w:p>
    <w:p w14:paraId="6337E5C0" w14:textId="77777777" w:rsidR="003371FC" w:rsidRDefault="00000000">
      <w:pPr>
        <w:spacing w:after="200" w:line="340" w:lineRule="auto"/>
        <w:ind w:firstLine="340"/>
        <w:jc w:val="both"/>
      </w:pPr>
      <w:r>
        <w:t>يوضح الزراع موقف علم النفس الاستخلافي من الحداثة عبر مقارنته بثلاث مدارس علاجية حداثية كبرى، ونضيف هنا مقارنة رابعة وخامسة لتعميق أفق المساءلة.</w:t>
      </w:r>
    </w:p>
    <w:p w14:paraId="7275E438" w14:textId="77777777" w:rsidR="003371FC" w:rsidRDefault="00000000">
      <w:pPr>
        <w:pStyle w:val="2"/>
        <w:pBdr>
          <w:right w:val="single" w:sz="18" w:space="6" w:color="0F6B65"/>
        </w:pBdr>
        <w:bidi/>
        <w:spacing w:before="320" w:after="160"/>
        <w:ind w:right="120"/>
        <w:jc w:val="right"/>
      </w:pPr>
      <w:r>
        <w:rPr>
          <w:b/>
          <w:bCs/>
          <w:color w:val="0F6B65"/>
          <w:sz w:val="27"/>
          <w:szCs w:val="27"/>
        </w:rPr>
        <w:t>6.1 التحليل النفسي (فرويد/لاكان): من سادية الأنا الأعلى إلى رحمة الضمير الإيماني</w:t>
      </w:r>
    </w:p>
    <w:p w14:paraId="2FC120A5" w14:textId="77777777" w:rsidR="003371FC" w:rsidRDefault="00000000">
      <w:pPr>
        <w:spacing w:after="200" w:line="340" w:lineRule="auto"/>
        <w:ind w:firstLine="340"/>
        <w:jc w:val="both"/>
      </w:pPr>
      <w:r>
        <w:t>التحليل النفسي، كما يجادل الزراع، كَشف، بشكل عبقري، عن قسوة الأنا الأعلى (Superego) وساديته. لكنه، في الوقت نفسه، بَقي أسيراً للرؤية المادية والإلحادية، ولم يستطع أن يقدم بديلاً حقيقياً لهذا الأنا الأعلى سوى الاعتراف به والتعايش معه. أما علم النفس الاستخلافي، فهو يستبدل بالأنا الأعلى القاسي (المستمد من المربي والمجتمع) الضمير الإيماني الرحيم (المستمد من الله الغفور الرحيم).</w:t>
      </w:r>
      <w:r>
        <w:rPr>
          <w:i/>
          <w:iCs/>
          <w:color w:val="B8862B"/>
          <w:sz w:val="20"/>
          <w:szCs w:val="20"/>
        </w:rPr>
        <w:t xml:space="preserve">  [1399، 1405]</w:t>
      </w:r>
    </w:p>
    <w:p w14:paraId="1F0E2DCA" w14:textId="77777777" w:rsidR="003371FC" w:rsidRDefault="00000000">
      <w:pPr>
        <w:pStyle w:val="2"/>
        <w:pBdr>
          <w:right w:val="single" w:sz="18" w:space="6" w:color="0F6B65"/>
        </w:pBdr>
        <w:bidi/>
        <w:spacing w:before="320" w:after="160"/>
        <w:ind w:right="120"/>
        <w:jc w:val="right"/>
      </w:pPr>
      <w:r>
        <w:rPr>
          <w:b/>
          <w:bCs/>
          <w:color w:val="0F6B65"/>
          <w:sz w:val="27"/>
          <w:szCs w:val="27"/>
        </w:rPr>
        <w:t>6.2 العلاج المعرفي السلوكي (CBT): من تعديل الفكر إلى تحويل الطاقة</w:t>
      </w:r>
    </w:p>
    <w:p w14:paraId="7DFF5BAC" w14:textId="77777777" w:rsidR="003371FC" w:rsidRDefault="00000000">
      <w:pPr>
        <w:spacing w:after="200" w:line="340" w:lineRule="auto"/>
        <w:ind w:firstLine="340"/>
        <w:jc w:val="both"/>
      </w:pPr>
      <w:r>
        <w:t>العلاج المعرفي السلوكي (CBT)، كما يجادل الزراع، يختزل الذنب في مجرد خطأ معرفي (Cognitive Error) أو فكرة غير عقلانية، ويهدف إلى تصحيحه عبر إعادة الهيكلة المعرفية. أما علم النفس الاستخلافي، فهو يرى الذنب كطاقة وجودية محتجزة تحتاج، ليس إلى تصحيح أو إزالة، بل إلى تحويل وتوجيه نحو الإحسان.</w:t>
      </w:r>
      <w:r>
        <w:rPr>
          <w:i/>
          <w:iCs/>
          <w:color w:val="B8862B"/>
          <w:sz w:val="20"/>
          <w:szCs w:val="20"/>
        </w:rPr>
        <w:t xml:space="preserve">  [786، 722]</w:t>
      </w:r>
    </w:p>
    <w:p w14:paraId="486CC5A7" w14:textId="77777777" w:rsidR="003371FC" w:rsidRDefault="00000000">
      <w:pPr>
        <w:pStyle w:val="2"/>
        <w:pBdr>
          <w:right w:val="single" w:sz="18" w:space="6" w:color="0F6B65"/>
        </w:pBdr>
        <w:bidi/>
        <w:spacing w:before="320" w:after="160"/>
        <w:ind w:right="120"/>
        <w:jc w:val="right"/>
      </w:pPr>
      <w:r>
        <w:rPr>
          <w:b/>
          <w:bCs/>
          <w:color w:val="0F6B65"/>
          <w:sz w:val="27"/>
          <w:szCs w:val="27"/>
        </w:rPr>
        <w:t>6.3 علم النفس الإنساني (ماسلو): من تحقيق الذات إلى الفلاح</w:t>
      </w:r>
    </w:p>
    <w:p w14:paraId="0FE76E5D" w14:textId="77777777" w:rsidR="003371FC" w:rsidRDefault="00000000">
      <w:pPr>
        <w:spacing w:after="200" w:line="340" w:lineRule="auto"/>
        <w:ind w:firstLine="340"/>
        <w:jc w:val="both"/>
      </w:pPr>
      <w:r>
        <w:t>علم النفس الإنساني، خاصة نظرية تحقيق الذات (Self-Actualization) عند ماسلو، يمثل، في نظر الزراع، ذروة الطموح الحداثي: أن يحقق الإنسان ذاته وإمكاناته في هذه الحياة. لكن هذا الهدف، كما يراه، يبقى أسيراً لأفق الأرض (الدنيا)، ولا يتجاوزه إلى أفق السماء (الآخرة، الله، المعنى المتعالي). أما علم النفس الاستخلافي، فهو يستبدل بتحقيق الذات مفهوم الفلاح: تكامل وجودي ثلاثي الأبعاد (صلاح الذات، عمارة الأرض، الفوز بالرضا الإلهي).</w:t>
      </w:r>
      <w:r>
        <w:rPr>
          <w:i/>
          <w:iCs/>
          <w:color w:val="B8862B"/>
          <w:sz w:val="20"/>
          <w:szCs w:val="20"/>
        </w:rPr>
        <w:t xml:space="preserve">  [803، 811]</w:t>
      </w:r>
    </w:p>
    <w:p w14:paraId="3C819F55" w14:textId="77777777" w:rsidR="003371FC" w:rsidRDefault="00000000">
      <w:pPr>
        <w:pStyle w:val="2"/>
        <w:pBdr>
          <w:right w:val="single" w:sz="18" w:space="6" w:color="0F6B65"/>
        </w:pBdr>
        <w:bidi/>
        <w:spacing w:before="320" w:after="160"/>
        <w:ind w:right="120"/>
        <w:jc w:val="right"/>
      </w:pPr>
      <w:r>
        <w:rPr>
          <w:b/>
          <w:bCs/>
          <w:color w:val="0F6B65"/>
          <w:sz w:val="27"/>
          <w:szCs w:val="27"/>
        </w:rPr>
        <w:t>6.4 مقارنة موسعة: علم النفس الوجودي (فرانكل) — تقاطع لا تعارض</w:t>
      </w:r>
    </w:p>
    <w:p w14:paraId="53CA4689" w14:textId="77777777" w:rsidR="003371FC" w:rsidRDefault="00000000">
      <w:pPr>
        <w:spacing w:after="200" w:line="340" w:lineRule="auto"/>
        <w:ind w:firstLine="340"/>
        <w:jc w:val="both"/>
      </w:pPr>
      <w:r>
        <w:t>يستحق فيكتور فرانكل مقارنة مفردة نظراً للتقارب الظاهري بين "إرادة المعنى" (Will to Meaning) عنده و"الفلاح" عند الزراع. فكلاهما يرفض اختزال الدافع الإنساني في اللذة (فرويد) أو القوة (أدلر)، ويجعلان "المعنى" هو المحرك المركزي للنفس. غير أن الفارق الجوهري أن معنى فرانكل معنى وجودي مفتوح (Open-Ended) يكتشفه كل فرد في ظرفه الخاص دون مرجعية متعالية مُلزمة (رغم ميل فرانكل الشخصي لاحقاً نحو نوع من التسامي الديني)، بينما "الفلاح" عند الزراع معنى موضوعي محدد سلفاً بالوحي، لا يكتشفه الفرد بل يتحقق فيه. هذا يجعل النموذج الاستخلافي أقرب لمعنى "المُعطى" (Given Meaning) في مقابل معنى "المُكتشَف" (Discovered Meaning) عند فرانكل — وهو تمايز فلسفي دقيق حول مصدر المعنى وإلزاميته يستحق تفصيلاً مستقلاً في أدبيات المشروع.</w:t>
      </w:r>
    </w:p>
    <w:p w14:paraId="1200DAA0" w14:textId="77777777" w:rsidR="003371FC" w:rsidRDefault="00000000">
      <w:pPr>
        <w:pStyle w:val="2"/>
        <w:pBdr>
          <w:right w:val="single" w:sz="18" w:space="6" w:color="0F6B65"/>
        </w:pBdr>
        <w:bidi/>
        <w:spacing w:before="320" w:after="160"/>
        <w:ind w:right="120"/>
        <w:jc w:val="right"/>
      </w:pPr>
      <w:r>
        <w:rPr>
          <w:b/>
          <w:bCs/>
          <w:color w:val="0F6B65"/>
          <w:sz w:val="27"/>
          <w:szCs w:val="27"/>
        </w:rPr>
        <w:t>6.5 مقارنة موسعة: علم النفس الإيجابي (سليجمان) — نقد "الرفاهية" المُسطّحة</w:t>
      </w:r>
    </w:p>
    <w:p w14:paraId="45CFF255" w14:textId="77777777" w:rsidR="003371FC" w:rsidRDefault="00000000">
      <w:pPr>
        <w:spacing w:after="200" w:line="340" w:lineRule="auto"/>
        <w:ind w:firstLine="340"/>
        <w:jc w:val="both"/>
      </w:pPr>
      <w:r>
        <w:t>يمكن أيضاً مقارنة "الفلاح" بنموذج PERMA لمارتن سليجمان (الانفعال الإيجابي، الانخراط، العلاقات، المعنى، الإنجاز). ورغم أن "المعنى" حاضر في PERMA، فإن نقد الزراع الضمني ينطبق عليه بقوة: فـ"المعنى" في علم النفس الإيجابي يبقى معياراً وظيفياً يُقاس بأثره على "الرفاهية الذاتية" (Subjective Well-Being)، أي أنه يُختزل في النهاية إلى أداة لتعظيم الشعور الإيجابي — وهو ما ينتقده منتقدو الحقل نفسه (مثل باربارا هيلد بوصفه "استبداد الإيجابية" Tyranny of Positivity) من داخل الحقل الغربي ذاته. بينما "الفلاح" عند الزراع لا يُختزل في الشعور الإيجابي أصلاً، بل قد يستلزم ألماً وجودياً حقيقياً (كالتوبة والمجاهدة) كجزء بنيوي من مساره لا انحرافاً عنه.</w:t>
      </w:r>
    </w:p>
    <w:p w14:paraId="55908849" w14:textId="77777777" w:rsidR="003371FC" w:rsidRDefault="00000000">
      <w:pPr>
        <w:pStyle w:val="1"/>
        <w:shd w:val="clear" w:color="auto" w:fill="1B2A4A"/>
        <w:bidi/>
        <w:spacing w:before="480" w:after="240"/>
        <w:jc w:val="right"/>
      </w:pPr>
      <w:r>
        <w:rPr>
          <w:b/>
          <w:bCs/>
          <w:color w:val="FFFFFF"/>
        </w:rPr>
        <w:t xml:space="preserve">   الفصل السابع: نقد مضاد — مساءلة النموذج الاستخلافي من الداخل</w:t>
      </w:r>
    </w:p>
    <w:p w14:paraId="24C93775" w14:textId="77777777" w:rsidR="003371FC" w:rsidRDefault="00000000">
      <w:pPr>
        <w:spacing w:after="200" w:line="340" w:lineRule="auto"/>
        <w:ind w:firstLine="340"/>
        <w:jc w:val="both"/>
      </w:pPr>
      <w:r>
        <w:t>وفاءً بشرط النزاهة الأكاديمية، لا يكتمل عرض موقف الزراع دون عرض أقوى الاعتراضات الممكنة على مشروعه، لا بقصد الدحض، بل بقصد رسم حدود الصلاحية العلمية للنموذج بدقة.</w:t>
      </w:r>
    </w:p>
    <w:p w14:paraId="56613C4C" w14:textId="77777777" w:rsidR="003371FC" w:rsidRDefault="00000000">
      <w:pPr>
        <w:pStyle w:val="2"/>
        <w:pBdr>
          <w:right w:val="single" w:sz="18" w:space="6" w:color="0F6B65"/>
        </w:pBdr>
        <w:bidi/>
        <w:spacing w:before="320" w:after="160"/>
        <w:ind w:right="120"/>
        <w:jc w:val="right"/>
      </w:pPr>
      <w:r>
        <w:rPr>
          <w:b/>
          <w:bCs/>
          <w:color w:val="0F6B65"/>
          <w:sz w:val="27"/>
          <w:szCs w:val="27"/>
        </w:rPr>
        <w:t>7.1 إشكالية "الحداثة" كمفهوم أحادي: نقد ما بعد الحداثي</w:t>
      </w:r>
    </w:p>
    <w:p w14:paraId="6B5323AC" w14:textId="77777777" w:rsidR="003371FC" w:rsidRDefault="00000000">
      <w:pPr>
        <w:spacing w:after="200" w:line="340" w:lineRule="auto"/>
        <w:ind w:firstLine="340"/>
        <w:jc w:val="both"/>
      </w:pPr>
      <w:r>
        <w:t>كما أشرنا في التمهيد، فإن التعامل مع "الحداثة" ككتلة واحدة متجانسة يتجاهل التفريعات الداخلية العميقة بين حداثة كانط النقدية، وحداثة ماركس الثورية، وحداثة نيتشه التفكيكية، وما بعد حداثة فوكو وديريدا التي هي أصلاً نقد جذري للحداثة من الداخل يشارك النموذج الاستخلافي كثيراً من حساسيته النقدية (الشك في السرديات الكبرى، فضح علاقات القوة والمعرفة) وإن اختلف معه جذرياً في البديل المقترح (اللاحسم عند فوكو وديريدا مقابل الحسم التوحيدي عند الزراع). ينبغي إذن أن يُميَّز خطاب الزراع بدقة أكبر: هل هو نقد لـ"الحداثة الأنوارية العقلانية" تحديداً، أم لـ"الحداثة الرأسمالية الاستهلاكية"، أم لـ"العلمانية" بوصفها موقفاً ميتافيزيقياً؟ فهذه ثلاث دعاوى مختلفة تستدعي أدلة مختلفة، وخلطها قد يُضعف قوة الحجة لا يقويها.</w:t>
      </w:r>
    </w:p>
    <w:p w14:paraId="6F8C652F" w14:textId="77777777" w:rsidR="003371FC" w:rsidRDefault="00000000">
      <w:pPr>
        <w:pStyle w:val="2"/>
        <w:pBdr>
          <w:right w:val="single" w:sz="18" w:space="6" w:color="0F6B65"/>
        </w:pBdr>
        <w:bidi/>
        <w:spacing w:before="320" w:after="160"/>
        <w:ind w:right="120"/>
        <w:jc w:val="right"/>
      </w:pPr>
      <w:r>
        <w:rPr>
          <w:b/>
          <w:bCs/>
          <w:color w:val="0F6B65"/>
          <w:sz w:val="27"/>
          <w:szCs w:val="27"/>
        </w:rPr>
        <w:t>7.2 إشكالية الدائرية بين "التشخيص" و"العلاج"</w:t>
      </w:r>
    </w:p>
    <w:p w14:paraId="7812A4E5" w14:textId="77777777" w:rsidR="003371FC" w:rsidRDefault="00000000">
      <w:pPr>
        <w:spacing w:after="200" w:line="340" w:lineRule="auto"/>
        <w:ind w:firstLine="340"/>
        <w:jc w:val="both"/>
      </w:pPr>
      <w:r>
        <w:t>يمكن أن يُوجَّه للنموذج اعتراض منطقي: إذا كان تشخيص "الفصام الأخلاقي" مبنياً سلفاً على افتراض صحة المرجعية التوحيدية (بحيث يُعرَّف الاضطراب بأنه الابتعاد عنها)، فإن "نجاح" العلاج في استعادة الالتزام بهذه المرجعية لا يُعَدّ دليلاً مستقلاً على صحتها، بل هو تحصيل حاصل دائري: الفرضية تصنع معيار نجاحها بنفسها. وللإنصاف، هذا الإشكال ليس خاصاً بالنموذج الاستخلافي، بل هو إشكال بنيوي يواجه كل علاج نفسي قائم على منظومة قيمية (بما فيها العلاج المعرفي السلوكي حين يفترض "العقلانية" معياراً، والتحليل النفسي حين يفترض "نضج الأنا" معياراً). لكن الاعتراف الصريح بهذا القيد المشترك، بدل التعامل مع النموذج الاستخلافي وكأنه استثناء منه، شرط لازم لمصداقيته الأكاديمية.</w:t>
      </w:r>
    </w:p>
    <w:p w14:paraId="7E4CE9E3" w14:textId="77777777" w:rsidR="003371FC" w:rsidRDefault="00000000">
      <w:pPr>
        <w:pStyle w:val="2"/>
        <w:pBdr>
          <w:right w:val="single" w:sz="18" w:space="6" w:color="0F6B65"/>
        </w:pBdr>
        <w:bidi/>
        <w:spacing w:before="320" w:after="160"/>
        <w:ind w:right="120"/>
        <w:jc w:val="right"/>
      </w:pPr>
      <w:r>
        <w:rPr>
          <w:b/>
          <w:bCs/>
          <w:color w:val="0F6B65"/>
          <w:sz w:val="27"/>
          <w:szCs w:val="27"/>
        </w:rPr>
        <w:t>7.3 إشكالية قابلية التعميم عبر السياقات الثقافية والمذهبية</w:t>
      </w:r>
    </w:p>
    <w:p w14:paraId="67B59DAD" w14:textId="77777777" w:rsidR="003371FC" w:rsidRDefault="00000000">
      <w:pPr>
        <w:spacing w:after="200" w:line="340" w:lineRule="auto"/>
        <w:ind w:firstLine="340"/>
        <w:jc w:val="both"/>
      </w:pPr>
      <w:r>
        <w:t>يُطرح النموذج بلغة تخاطب سياقاً إسلامياً سنياً عاماً غالباً، لكن "الأنا الأعلى القاسي" الذي يستهدفه بروتوكول TLRT قد يتشكل بصور شديدة التنوع عبر الطوائف والمذاهب والخلفيات الثقافية داخل العالم الإسلامي نفسه (تجربة الذنب عند الشيعة الإمامية تختلف بنيوياً عمّا هي عليه في السياقات الصوفية أو السلفية، مثلاً). هذا يستدعي دراسات تجريبية مقارنة عبر هذه السياقات قبل ادّعاء عمومية الأداة العلاجية، وهي نقطة منهجية تستحق أن تُدرَج ضمن "التوصيات البحثية المستقبلية" في أي عرض أكاديمي رصين للمشروع.</w:t>
      </w:r>
    </w:p>
    <w:p w14:paraId="3D6EEB8F" w14:textId="77777777" w:rsidR="003371FC" w:rsidRDefault="00000000">
      <w:pPr>
        <w:pStyle w:val="1"/>
        <w:shd w:val="clear" w:color="auto" w:fill="1B2A4A"/>
        <w:bidi/>
        <w:spacing w:before="480" w:after="240"/>
        <w:jc w:val="right"/>
      </w:pPr>
      <w:r>
        <w:rPr>
          <w:b/>
          <w:bCs/>
          <w:color w:val="FFFFFF"/>
        </w:rPr>
        <w:t xml:space="preserve">   الفصل الثامن: الاستخلاف في ميزان التراث — ابن خلدون، الشاطبي، وطه عبد الرحمن</w:t>
      </w:r>
    </w:p>
    <w:p w14:paraId="634FB480" w14:textId="77777777" w:rsidR="003371FC" w:rsidRDefault="00000000">
      <w:pPr>
        <w:pStyle w:val="2"/>
        <w:pBdr>
          <w:right w:val="single" w:sz="18" w:space="6" w:color="0F6B65"/>
        </w:pBdr>
        <w:bidi/>
        <w:spacing w:before="320" w:after="160"/>
        <w:ind w:right="120"/>
        <w:jc w:val="right"/>
      </w:pPr>
      <w:r>
        <w:rPr>
          <w:b/>
          <w:bCs/>
          <w:color w:val="0F6B65"/>
          <w:sz w:val="27"/>
          <w:szCs w:val="27"/>
        </w:rPr>
        <w:t>8.1 ابن خلدون: العمران البشري كوحدة تحليل جماعية</w:t>
      </w:r>
    </w:p>
    <w:p w14:paraId="03CC6D64" w14:textId="77777777" w:rsidR="003371FC" w:rsidRDefault="00000000">
      <w:pPr>
        <w:spacing w:after="200" w:line="340" w:lineRule="auto"/>
        <w:ind w:firstLine="340"/>
        <w:jc w:val="both"/>
      </w:pPr>
      <w:r>
        <w:t>يضيف استحضار ابن خلدون بُعداً غائباً نسبياً عن عرض الفصلين الثاني والثالث: فتحليل ابن خلدون للعصبية والعمران في "المقدمة" يبيّن أن التحولات الأخلاقية والنفسية للأفراد (الترف، الاستهلاك، ضعف الهمة) مرتبطة عضوياً بأطوار الدولة والمجتمع ككل، لا بالفرد المعزول. وإذ يتحدث الزراع عن "الخليفة المسؤول" كبديل فردي عن "المستهلك"، يظل السؤال الخلدوني مطروحاً: هل يمكن لفرد أن يستعيد "الاستخلاف" ضمن عمران يسير بأكمله نحو "الترف" و"الاستهلاك" بمنطقه الخلدوني الحتمي تقريباً؟ استدعاء ابن خلدون هنا لا يُبطل المشروع، بل يدفعه نحو بُعد مؤسسي-حضاري يتجاوز العلاج الفردي إلى نظرية في "عمران الاستخلاف" الجماعي — وهذا أفق بحثي واعد لم يُستثمر بعد بشكل كافٍ في أدبيات المشروع المتاحة.</w:t>
      </w:r>
    </w:p>
    <w:p w14:paraId="548D5577" w14:textId="77777777" w:rsidR="003371FC" w:rsidRDefault="00000000">
      <w:pPr>
        <w:pStyle w:val="2"/>
        <w:pBdr>
          <w:right w:val="single" w:sz="18" w:space="6" w:color="0F6B65"/>
        </w:pBdr>
        <w:bidi/>
        <w:spacing w:before="320" w:after="160"/>
        <w:ind w:right="120"/>
        <w:jc w:val="right"/>
      </w:pPr>
      <w:r>
        <w:rPr>
          <w:b/>
          <w:bCs/>
          <w:color w:val="0F6B65"/>
          <w:sz w:val="27"/>
          <w:szCs w:val="27"/>
        </w:rPr>
        <w:t>8.2 الشاطبي: مقاصد الشريعة كإطار غائي متعالٍ منظّم لا انفعالي</w:t>
      </w:r>
    </w:p>
    <w:p w14:paraId="4D14A2A7" w14:textId="77777777" w:rsidR="003371FC" w:rsidRDefault="00000000">
      <w:pPr>
        <w:spacing w:after="200" w:line="340" w:lineRule="auto"/>
        <w:ind w:firstLine="340"/>
        <w:jc w:val="both"/>
      </w:pPr>
      <w:r>
        <w:t>يمنح نظام "المقاصد" عند الشاطبي (الضروريات، الحاجيات، التحسينيات؛ وحفظ الدين والنفس والعقل والنسل والمال) النموذج الاستخلافي أداة تصنيفية دقيقة يمكن أن تُنظّم بها دعوى "الغائية المتعالية" التي يتكرر ذكرها في الدراسة دون تفصيل بنيوي كافٍ. فبدل الاكتفاء بالقول إن الإنسان "خليفة" ذو "غاية"، يمكن ربط كل مرحلة من مراحل بروتوكول TLRT بمقصد شرعي محدد (مثلاً: إعادة بناء صورة الله الرحيم تخدم حفظ الدين وحفظ النفس معاً من القنوط)، مما يمنح الأداة العلاجية إطاراً أصولياً متيناً يحصّنها من الانطباعية.</w:t>
      </w:r>
    </w:p>
    <w:p w14:paraId="2BB0B424" w14:textId="77777777" w:rsidR="003371FC" w:rsidRDefault="00000000">
      <w:pPr>
        <w:pStyle w:val="2"/>
        <w:pBdr>
          <w:right w:val="single" w:sz="18" w:space="6" w:color="0F6B65"/>
        </w:pBdr>
        <w:bidi/>
        <w:spacing w:before="320" w:after="160"/>
        <w:ind w:right="120"/>
        <w:jc w:val="right"/>
      </w:pPr>
      <w:r>
        <w:rPr>
          <w:b/>
          <w:bCs/>
          <w:color w:val="0F6B65"/>
          <w:sz w:val="27"/>
          <w:szCs w:val="27"/>
        </w:rPr>
        <w:t>8.3 طه عبد الرحمن: نقد "الحداثة الغربية" من موقع "الائتمانية"</w:t>
      </w:r>
    </w:p>
    <w:p w14:paraId="34FB89E4" w14:textId="77777777" w:rsidR="003371FC" w:rsidRDefault="00000000">
      <w:pPr>
        <w:spacing w:after="200" w:line="340" w:lineRule="auto"/>
        <w:ind w:firstLine="340"/>
        <w:jc w:val="both"/>
      </w:pPr>
      <w:r>
        <w:t>يقدم طه عبد الرحمن، في مشروعه حول "روح الحداثة" (2006)، تمييزاً دقيقاً يفيد الزراع مباشرة: التفريق بين "حداثة الوسائل" (Instrumental Modernity)، وهي منجزات تقنية وعلمية يمكن استيعابها، و"حداثة الغايات والقيم" (Substantive Modernity)، وهي منظومة الفردانية والقطيعة مع المتعالي التي لا يمكن استيعابها دون تفكيك بنيوي. هذا التمييز يمنح "الاندماج الخالق" عند الزراع دقة تحليلية إضافية: فما يُستوعَب هو "حداثة الوسائل"، بينما ما يُقاوَم ويُستبدَل هو "حداثة الغايات". وقد آن الأوان لأن يُصاغ هذا التمييز صراحة في متن النموذج الاستخلافي حتى لا يُفهَم "الاندماج الخالق" على أنه توفيقية انتقائية غير منهجية.</w:t>
      </w:r>
    </w:p>
    <w:p w14:paraId="30E5CE3D" w14:textId="77777777" w:rsidR="003371FC" w:rsidRDefault="00000000">
      <w:pPr>
        <w:pStyle w:val="1"/>
        <w:shd w:val="clear" w:color="auto" w:fill="1B2A4A"/>
        <w:bidi/>
        <w:spacing w:before="480" w:after="240"/>
        <w:jc w:val="right"/>
      </w:pPr>
      <w:r>
        <w:rPr>
          <w:b/>
          <w:bCs/>
          <w:color w:val="FFFFFF"/>
        </w:rPr>
        <w:t xml:space="preserve">   خاتمة: الحداثة — جرح وفرصة، ونحو أفق بحثي أكثر نضجاً</w:t>
      </w:r>
    </w:p>
    <w:p w14:paraId="7B25CEE7" w14:textId="77777777" w:rsidR="003371FC" w:rsidRDefault="00000000">
      <w:pPr>
        <w:spacing w:after="200" w:line="340" w:lineRule="auto"/>
        <w:ind w:firstLine="340"/>
        <w:jc w:val="both"/>
      </w:pPr>
      <w:r>
        <w:t>في نهاية هذه الدراسة الموسعة، نخلص إلى أن موقف عبد السلام الزراع من الحداثة هو موقف نقدي وتحويلي في آنٍ واحد. فهو يرفض أسسها المادية والوضعية واختزالاتها للإنسان، لكنه، في الوقت نفسه، يستوعب منجزاتها العلمية والتقنية، ويحاول، عبر فلسفة الكينتسوغي النفسي، أن يرمم جراحها ويحول أزماتها إلى فرص للنمو والارتقاء.</w:t>
      </w:r>
    </w:p>
    <w:p w14:paraId="747F5E77" w14:textId="77777777" w:rsidR="003371FC" w:rsidRDefault="00000000">
      <w:pPr>
        <w:spacing w:after="200" w:line="340" w:lineRule="auto"/>
        <w:ind w:firstLine="340"/>
        <w:jc w:val="both"/>
      </w:pPr>
      <w:r>
        <w:t>فالحداثة، كما يراها، ليست قدراً يجب الاستسلام له، ولا شيطاناً يجب الهرب منه، بل هي، في العمق، تحدٍّ وجودي واختبار حضاري يستدعي من المسلم أن يستجيب له، ليس بالانغلاق أو الذوبان، بل بالاستخلاف والإحسان والاندماج الخالق.</w:t>
      </w:r>
    </w:p>
    <w:p w14:paraId="5557E04F" w14:textId="77777777" w:rsidR="003371FC" w:rsidRDefault="00000000">
      <w:pPr>
        <w:spacing w:after="200" w:line="340" w:lineRule="auto"/>
        <w:ind w:firstLine="340"/>
        <w:jc w:val="both"/>
      </w:pPr>
      <w:r>
        <w:t>وقد بيّنت هذه القراءة الموسعة أن هذا الموقف، رغم عمقه وأصالته، يزداد رسوخاً أكاديمياً كلما دقّق مفهوم "الحداثة" ذاته (الفصل السابع)، واستكمل بُعده الفردي-العلاجي ببُعد مؤسسي-جماعي (الفصل الثامن عبر ابن خلدون)، وصرّح بالتزاماته المعيارية المسبقة بدل تقديمها كنتائج استدلالية محضة (الفصل الأول)، ووسّع أدواته القياسية لتلبي معايير علم النفس القائم على الأدلة (الفصل الرابع). وهذه ليست مآخذ تُسقط المشروع، بل هي بالأحرى خارطة طريق لتطويره نحو مرحلة نضج أكاديمي أعلى، تليق بطموحه في مخاطبة كل من التقليد الإسلامي والتقليد الأكاديمي العالمي المعاصر في آنٍ واحد.</w:t>
      </w:r>
    </w:p>
    <w:p w14:paraId="274511E4" w14:textId="77777777" w:rsidR="003371FC" w:rsidRDefault="003371FC">
      <w:pPr>
        <w:spacing w:before="3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86"/>
      </w:tblGrid>
      <w:tr w:rsidR="003371FC" w14:paraId="648E01F1" w14:textId="77777777">
        <w:tblPrEx>
          <w:tblCellMar>
            <w:top w:w="0" w:type="dxa"/>
            <w:bottom w:w="0" w:type="dxa"/>
          </w:tblCellMar>
        </w:tblPrEx>
        <w:tc>
          <w:tcPr>
            <w:tcW w:w="5000" w:type="pct"/>
            <w:tcBorders>
              <w:top w:val="single" w:sz="16" w:space="0" w:color="B8862B"/>
              <w:left w:val="single" w:sz="16" w:space="0" w:color="B8862B"/>
              <w:bottom w:val="single" w:sz="16" w:space="0" w:color="B8862B"/>
              <w:right w:val="single" w:sz="16" w:space="0" w:color="B8862B"/>
            </w:tcBorders>
            <w:shd w:val="clear" w:color="auto" w:fill="F5EBD8"/>
            <w:tcMar>
              <w:top w:w="200" w:type="dxa"/>
              <w:left w:w="300" w:type="dxa"/>
              <w:bottom w:w="200" w:type="dxa"/>
              <w:right w:w="300" w:type="dxa"/>
            </w:tcMar>
          </w:tcPr>
          <w:p w14:paraId="1FCC0D7B" w14:textId="77777777" w:rsidR="003371FC" w:rsidRDefault="00000000">
            <w:pPr>
              <w:spacing w:after="100"/>
              <w:jc w:val="center"/>
            </w:pPr>
            <w:r>
              <w:rPr>
                <w:b/>
                <w:bCs/>
                <w:color w:val="1B2A4A"/>
                <w:sz w:val="28"/>
                <w:szCs w:val="28"/>
              </w:rPr>
              <w:t>{وَكَذَٰلِكَ جَعَلْنَاكُمْ أُمَّةً وَسَطًا لِّتَكُونُوا شُهَدَاءَ عَلَى النَّاسِ}</w:t>
            </w:r>
          </w:p>
          <w:p w14:paraId="722DDD41" w14:textId="77777777" w:rsidR="003371FC" w:rsidRDefault="00000000">
            <w:pPr>
              <w:jc w:val="center"/>
            </w:pPr>
            <w:r>
              <w:rPr>
                <w:b/>
                <w:bCs/>
                <w:color w:val="B8862B"/>
                <w:sz w:val="20"/>
                <w:szCs w:val="20"/>
              </w:rPr>
              <w:t>[البقرة: 143]</w:t>
            </w:r>
          </w:p>
        </w:tc>
      </w:tr>
    </w:tbl>
    <w:p w14:paraId="36ED7A01" w14:textId="77777777" w:rsidR="003371FC" w:rsidRDefault="003371FC">
      <w:pPr>
        <w:spacing w:after="300"/>
      </w:pPr>
    </w:p>
    <w:p w14:paraId="4F6E5114" w14:textId="77777777" w:rsidR="003371FC" w:rsidRDefault="00000000">
      <w:pPr>
        <w:pStyle w:val="1"/>
        <w:shd w:val="clear" w:color="auto" w:fill="1B2A4A"/>
        <w:bidi/>
        <w:spacing w:before="600" w:after="300"/>
        <w:jc w:val="center"/>
      </w:pPr>
      <w:r>
        <w:rPr>
          <w:b/>
          <w:bCs/>
          <w:color w:val="FFFFFF"/>
        </w:rPr>
        <w:t>المراجع والمصادر</w:t>
      </w:r>
    </w:p>
    <w:p w14:paraId="56294880" w14:textId="77777777" w:rsidR="003371FC" w:rsidRDefault="00000000">
      <w:pPr>
        <w:pStyle w:val="3"/>
        <w:bidi/>
        <w:spacing w:before="260" w:after="140"/>
        <w:jc w:val="right"/>
      </w:pPr>
      <w:r>
        <w:rPr>
          <w:b/>
          <w:bCs/>
          <w:color w:val="B8862B"/>
          <w:sz w:val="25"/>
          <w:szCs w:val="25"/>
        </w:rPr>
        <w:t>أولاً: المصادر الأساسية (النموذج الاستخلافي)</w:t>
      </w:r>
    </w:p>
    <w:p w14:paraId="08CF4758" w14:textId="77777777" w:rsidR="003371FC" w:rsidRDefault="00000000">
      <w:pPr>
        <w:spacing w:after="120" w:line="300" w:lineRule="auto"/>
        <w:jc w:val="right"/>
      </w:pPr>
      <w:r>
        <w:rPr>
          <w:sz w:val="21"/>
          <w:szCs w:val="21"/>
        </w:rPr>
        <w:t>1. الزراع، عبد السلام. (2026). العلاج بحرث المصالحة التحويلية (TLRT): الدليل النظري والإكلينيكي. (الطبعة التجريبية الأولى).</w:t>
      </w:r>
    </w:p>
    <w:p w14:paraId="12F0C394" w14:textId="77777777" w:rsidR="003371FC" w:rsidRDefault="00000000">
      <w:pPr>
        <w:spacing w:after="120" w:line="300" w:lineRule="auto"/>
        <w:jc w:val="right"/>
      </w:pPr>
      <w:r>
        <w:rPr>
          <w:sz w:val="21"/>
          <w:szCs w:val="21"/>
        </w:rPr>
        <w:t>2. الزراع، عبد السلام. (2026). الفصام الأخلاقي ومصدر الأزمات النفسية: قراءة في ضوء نظرية TLRT.</w:t>
      </w:r>
    </w:p>
    <w:p w14:paraId="398BB89E" w14:textId="77777777" w:rsidR="003371FC" w:rsidRDefault="00000000">
      <w:pPr>
        <w:spacing w:after="120" w:line="300" w:lineRule="auto"/>
        <w:jc w:val="right"/>
      </w:pPr>
      <w:r>
        <w:rPr>
          <w:sz w:val="21"/>
          <w:szCs w:val="21"/>
        </w:rPr>
        <w:t>3. الزراع، عبد السلام. (2026). التمثلات الداخلية للإله: من نظرية ريزوتو إلى إعادة بناء صورة الله في TLRT.</w:t>
      </w:r>
    </w:p>
    <w:p w14:paraId="4036538D" w14:textId="77777777" w:rsidR="003371FC" w:rsidRDefault="00000000">
      <w:pPr>
        <w:spacing w:after="120" w:line="300" w:lineRule="auto"/>
        <w:jc w:val="right"/>
      </w:pPr>
      <w:r>
        <w:rPr>
          <w:sz w:val="21"/>
          <w:szCs w:val="21"/>
        </w:rPr>
        <w:t>4. الزراع، عبد السلام. (2026). أركيولوجيا الجرح الخطابي: فتحي بن سلامة والبنية الثقافية العربية. تونس: قصور الساف.</w:t>
      </w:r>
    </w:p>
    <w:p w14:paraId="7F300D01" w14:textId="77777777" w:rsidR="003371FC" w:rsidRDefault="00000000">
      <w:pPr>
        <w:pStyle w:val="3"/>
        <w:bidi/>
        <w:spacing w:before="260" w:after="140"/>
        <w:jc w:val="right"/>
      </w:pPr>
      <w:r>
        <w:rPr>
          <w:b/>
          <w:bCs/>
          <w:color w:val="B8862B"/>
          <w:sz w:val="25"/>
          <w:szCs w:val="25"/>
        </w:rPr>
        <w:t>ثانياً: مراجع في نقد الحداثة والفلسفة الغربية</w:t>
      </w:r>
    </w:p>
    <w:p w14:paraId="716FD5D2" w14:textId="77777777" w:rsidR="003371FC" w:rsidRDefault="00000000">
      <w:pPr>
        <w:spacing w:after="120" w:line="300" w:lineRule="auto"/>
        <w:jc w:val="right"/>
      </w:pPr>
      <w:r>
        <w:rPr>
          <w:sz w:val="21"/>
          <w:szCs w:val="21"/>
        </w:rPr>
        <w:t>5. Heidegger, M. (1977). The Question Concerning Technology and Other Essays (W. Lovitt, Trans.). New York: Harper &amp; Row.</w:t>
      </w:r>
    </w:p>
    <w:p w14:paraId="6A6AE03C" w14:textId="77777777" w:rsidR="003371FC" w:rsidRDefault="00000000">
      <w:pPr>
        <w:spacing w:after="120" w:line="300" w:lineRule="auto"/>
        <w:jc w:val="right"/>
      </w:pPr>
      <w:r>
        <w:rPr>
          <w:sz w:val="21"/>
          <w:szCs w:val="21"/>
        </w:rPr>
        <w:t>6. Fromm, E. (1941). Escape from Freedom. New York: Farrar &amp; Rinehart.</w:t>
      </w:r>
    </w:p>
    <w:p w14:paraId="21293CE2" w14:textId="77777777" w:rsidR="003371FC" w:rsidRDefault="00000000">
      <w:pPr>
        <w:spacing w:after="120" w:line="300" w:lineRule="auto"/>
        <w:jc w:val="right"/>
      </w:pPr>
      <w:r>
        <w:rPr>
          <w:sz w:val="21"/>
          <w:szCs w:val="21"/>
        </w:rPr>
        <w:t>7. Guénon, R. (1927). La crise du monde moderne. Paris: Gallimard.</w:t>
      </w:r>
    </w:p>
    <w:p w14:paraId="461170D5" w14:textId="77777777" w:rsidR="003371FC" w:rsidRDefault="00000000">
      <w:pPr>
        <w:spacing w:after="120" w:line="300" w:lineRule="auto"/>
        <w:jc w:val="right"/>
      </w:pPr>
      <w:r>
        <w:rPr>
          <w:sz w:val="21"/>
          <w:szCs w:val="21"/>
        </w:rPr>
        <w:t>8. Zuboff, S. (2019). The Age of Surveillance Capitalism: The Fight for a Human Future at the New Frontier of Power. New York: PublicAffairs.</w:t>
      </w:r>
    </w:p>
    <w:p w14:paraId="26228734" w14:textId="77777777" w:rsidR="003371FC" w:rsidRDefault="00000000">
      <w:pPr>
        <w:spacing w:after="120" w:line="300" w:lineRule="auto"/>
        <w:jc w:val="right"/>
      </w:pPr>
      <w:r>
        <w:rPr>
          <w:sz w:val="21"/>
          <w:szCs w:val="21"/>
        </w:rPr>
        <w:t>9. Adorno, T. W., &amp; Horkheimer, M. (1947/2002). Dialectic of Enlightenment (E. Jephcott, Trans.). Stanford: Stanford University Press.</w:t>
      </w:r>
    </w:p>
    <w:p w14:paraId="15A997FB" w14:textId="77777777" w:rsidR="003371FC" w:rsidRDefault="00000000">
      <w:pPr>
        <w:spacing w:after="120" w:line="300" w:lineRule="auto"/>
        <w:jc w:val="right"/>
      </w:pPr>
      <w:r>
        <w:rPr>
          <w:sz w:val="21"/>
          <w:szCs w:val="21"/>
        </w:rPr>
        <w:t>10. Bauman, Z. (2000). Liquid Modernity. Cambridge: Polity Press.</w:t>
      </w:r>
    </w:p>
    <w:p w14:paraId="2638339B" w14:textId="77777777" w:rsidR="003371FC" w:rsidRDefault="00000000">
      <w:pPr>
        <w:spacing w:after="120" w:line="300" w:lineRule="auto"/>
        <w:jc w:val="right"/>
      </w:pPr>
      <w:r>
        <w:rPr>
          <w:sz w:val="21"/>
          <w:szCs w:val="21"/>
        </w:rPr>
        <w:t>11. Taylor, C. (2007). A Secular Age. Cambridge, MA: Harvard University Press.</w:t>
      </w:r>
    </w:p>
    <w:p w14:paraId="5520765B" w14:textId="77777777" w:rsidR="003371FC" w:rsidRDefault="00000000">
      <w:pPr>
        <w:spacing w:after="120" w:line="300" w:lineRule="auto"/>
        <w:jc w:val="right"/>
      </w:pPr>
      <w:r>
        <w:rPr>
          <w:sz w:val="21"/>
          <w:szCs w:val="21"/>
        </w:rPr>
        <w:t>12. MacIntyre, A. (1981). After Virtue: A Study in Moral Theory. Notre Dame: University of Notre Dame Press.</w:t>
      </w:r>
    </w:p>
    <w:p w14:paraId="596971F9" w14:textId="77777777" w:rsidR="003371FC" w:rsidRDefault="00000000">
      <w:pPr>
        <w:spacing w:after="120" w:line="300" w:lineRule="auto"/>
        <w:jc w:val="right"/>
      </w:pPr>
      <w:r>
        <w:rPr>
          <w:sz w:val="21"/>
          <w:szCs w:val="21"/>
        </w:rPr>
        <w:t>13. Rouvroy, A., &amp; Berns, T. (2013). Algorithmic Governmentality and Prospects of Emancipation. Réseaux, 177(1), 163-196.</w:t>
      </w:r>
    </w:p>
    <w:p w14:paraId="3D465365" w14:textId="77777777" w:rsidR="003371FC" w:rsidRDefault="00000000">
      <w:pPr>
        <w:spacing w:after="120" w:line="300" w:lineRule="auto"/>
        <w:jc w:val="right"/>
      </w:pPr>
      <w:r>
        <w:rPr>
          <w:sz w:val="21"/>
          <w:szCs w:val="21"/>
        </w:rPr>
        <w:t>14. Foucault, M. (1975). Surveiller et punir: Naissance de la prison. Paris: Gallimard.</w:t>
      </w:r>
    </w:p>
    <w:p w14:paraId="4DFA1FC9" w14:textId="77777777" w:rsidR="003371FC" w:rsidRDefault="00000000">
      <w:pPr>
        <w:spacing w:after="120" w:line="300" w:lineRule="auto"/>
        <w:jc w:val="right"/>
      </w:pPr>
      <w:r>
        <w:rPr>
          <w:sz w:val="21"/>
          <w:szCs w:val="21"/>
        </w:rPr>
        <w:t>15. Simon, H. A. (1971). Designing Organizations for an Information-Rich World. Baltimore: Johns Hopkins University Press.</w:t>
      </w:r>
    </w:p>
    <w:p w14:paraId="0FA2308C" w14:textId="77777777" w:rsidR="003371FC" w:rsidRDefault="00000000">
      <w:pPr>
        <w:pStyle w:val="3"/>
        <w:bidi/>
        <w:spacing w:before="260" w:after="140"/>
        <w:jc w:val="right"/>
      </w:pPr>
      <w:r>
        <w:rPr>
          <w:b/>
          <w:bCs/>
          <w:color w:val="B8862B"/>
          <w:sz w:val="25"/>
          <w:szCs w:val="25"/>
        </w:rPr>
        <w:t>ثالثاً: مراجع في النماذج العلاجية الغربية</w:t>
      </w:r>
    </w:p>
    <w:p w14:paraId="5C2D2C1F" w14:textId="77777777" w:rsidR="003371FC" w:rsidRDefault="00000000">
      <w:pPr>
        <w:spacing w:after="120" w:line="300" w:lineRule="auto"/>
        <w:jc w:val="right"/>
      </w:pPr>
      <w:r>
        <w:rPr>
          <w:sz w:val="21"/>
          <w:szCs w:val="21"/>
        </w:rPr>
        <w:t>16. Freud, S. (1923). The Ego and the Id. In The Standard Edition (Vol. 19). London: Hogarth Press.</w:t>
      </w:r>
    </w:p>
    <w:p w14:paraId="4C02831E" w14:textId="77777777" w:rsidR="003371FC" w:rsidRDefault="00000000">
      <w:pPr>
        <w:spacing w:after="120" w:line="300" w:lineRule="auto"/>
        <w:jc w:val="right"/>
      </w:pPr>
      <w:r>
        <w:rPr>
          <w:sz w:val="21"/>
          <w:szCs w:val="21"/>
        </w:rPr>
        <w:t>17. Beck, A. T. (1976). Cognitive Therapy and the Emotional Disorders. New York: International Universities Press.</w:t>
      </w:r>
    </w:p>
    <w:p w14:paraId="176CF848" w14:textId="77777777" w:rsidR="003371FC" w:rsidRDefault="00000000">
      <w:pPr>
        <w:spacing w:after="120" w:line="300" w:lineRule="auto"/>
        <w:jc w:val="right"/>
      </w:pPr>
      <w:r>
        <w:rPr>
          <w:sz w:val="21"/>
          <w:szCs w:val="21"/>
        </w:rPr>
        <w:t>18. Maslow, A. H. (1954). Motivation and Personality. New York: Harper &amp; Row.</w:t>
      </w:r>
    </w:p>
    <w:p w14:paraId="4A7DA897" w14:textId="77777777" w:rsidR="003371FC" w:rsidRDefault="00000000">
      <w:pPr>
        <w:spacing w:after="120" w:line="300" w:lineRule="auto"/>
        <w:jc w:val="right"/>
      </w:pPr>
      <w:r>
        <w:rPr>
          <w:sz w:val="21"/>
          <w:szCs w:val="21"/>
        </w:rPr>
        <w:t>19. Frankl, V. E. (1946/1959). Man's Search for Meaning. Boston: Beacon Press.</w:t>
      </w:r>
    </w:p>
    <w:p w14:paraId="51B978CE" w14:textId="77777777" w:rsidR="003371FC" w:rsidRDefault="00000000">
      <w:pPr>
        <w:spacing w:after="120" w:line="300" w:lineRule="auto"/>
        <w:jc w:val="right"/>
      </w:pPr>
      <w:r>
        <w:rPr>
          <w:sz w:val="21"/>
          <w:szCs w:val="21"/>
        </w:rPr>
        <w:t>20. Seligman, M. E. P. (2011). Flourish: A Visionary New Understanding of Happiness and Well-being. New York: Free Press.</w:t>
      </w:r>
    </w:p>
    <w:p w14:paraId="535C4968" w14:textId="77777777" w:rsidR="003371FC" w:rsidRDefault="00000000">
      <w:pPr>
        <w:spacing w:after="120" w:line="300" w:lineRule="auto"/>
        <w:jc w:val="right"/>
      </w:pPr>
      <w:r>
        <w:rPr>
          <w:sz w:val="21"/>
          <w:szCs w:val="21"/>
        </w:rPr>
        <w:t>21. Held, B. S. (2002). The Tyranny of the Positive Attitude in America: Observation and Speculation. Journal of Clinical Psychology, 58(9), 965-991.</w:t>
      </w:r>
    </w:p>
    <w:p w14:paraId="1678FB11" w14:textId="77777777" w:rsidR="003371FC" w:rsidRDefault="00000000">
      <w:pPr>
        <w:spacing w:after="120" w:line="300" w:lineRule="auto"/>
        <w:jc w:val="right"/>
      </w:pPr>
      <w:r>
        <w:rPr>
          <w:sz w:val="21"/>
          <w:szCs w:val="21"/>
        </w:rPr>
        <w:t>22. Festinger, L. (1957). A Theory of Cognitive Dissonance. Stanford: Stanford University Press.</w:t>
      </w:r>
    </w:p>
    <w:p w14:paraId="3A447E50" w14:textId="77777777" w:rsidR="003371FC" w:rsidRDefault="00000000">
      <w:pPr>
        <w:spacing w:after="120" w:line="300" w:lineRule="auto"/>
        <w:jc w:val="right"/>
      </w:pPr>
      <w:r>
        <w:rPr>
          <w:sz w:val="21"/>
          <w:szCs w:val="21"/>
        </w:rPr>
        <w:t>23. Bourdieu, P. (1980). Le sens pratique. Paris: Éditions de Minuit.</w:t>
      </w:r>
    </w:p>
    <w:p w14:paraId="70AE934F" w14:textId="77777777" w:rsidR="003371FC" w:rsidRDefault="00000000">
      <w:pPr>
        <w:pStyle w:val="3"/>
        <w:bidi/>
        <w:spacing w:before="260" w:after="140"/>
        <w:jc w:val="right"/>
      </w:pPr>
      <w:r>
        <w:rPr>
          <w:b/>
          <w:bCs/>
          <w:color w:val="B8862B"/>
          <w:sz w:val="25"/>
          <w:szCs w:val="25"/>
        </w:rPr>
        <w:t>رابعاً: مراجع في التراث الإسلامي والفكر الإسلامي المعاصر</w:t>
      </w:r>
    </w:p>
    <w:p w14:paraId="74562C24" w14:textId="77777777" w:rsidR="003371FC" w:rsidRDefault="00000000">
      <w:pPr>
        <w:spacing w:after="120" w:line="300" w:lineRule="auto"/>
        <w:jc w:val="right"/>
      </w:pPr>
      <w:r>
        <w:rPr>
          <w:sz w:val="21"/>
          <w:szCs w:val="21"/>
        </w:rPr>
        <w:t>24. القرآن الكريم.</w:t>
      </w:r>
    </w:p>
    <w:p w14:paraId="28E8573E" w14:textId="77777777" w:rsidR="003371FC" w:rsidRDefault="00000000">
      <w:pPr>
        <w:spacing w:after="120" w:line="300" w:lineRule="auto"/>
        <w:jc w:val="right"/>
      </w:pPr>
      <w:r>
        <w:rPr>
          <w:sz w:val="21"/>
          <w:szCs w:val="21"/>
        </w:rPr>
        <w:t>25. الغزالي، أبو حامد. (د.ت.). إحياء علوم الدين. بيروت: دار المعرفة.</w:t>
      </w:r>
    </w:p>
    <w:p w14:paraId="7467AA3B" w14:textId="77777777" w:rsidR="003371FC" w:rsidRDefault="00000000">
      <w:pPr>
        <w:spacing w:after="120" w:line="300" w:lineRule="auto"/>
        <w:jc w:val="right"/>
      </w:pPr>
      <w:r>
        <w:rPr>
          <w:sz w:val="21"/>
          <w:szCs w:val="21"/>
        </w:rPr>
        <w:t>26. ابن القيم الجوزية. (د.ت.). مدارج السالكين بين منازل إياك نعبد وإياك نستعين. تحقيق: محمد حامد الفقي. بيروت: دار الكتاب العربي.</w:t>
      </w:r>
    </w:p>
    <w:p w14:paraId="47FA88ED" w14:textId="77777777" w:rsidR="003371FC" w:rsidRDefault="00000000">
      <w:pPr>
        <w:spacing w:after="120" w:line="300" w:lineRule="auto"/>
        <w:jc w:val="right"/>
      </w:pPr>
      <w:r>
        <w:rPr>
          <w:sz w:val="21"/>
          <w:szCs w:val="21"/>
        </w:rPr>
        <w:t>27. ابن خلدون، عبد الرحمن. (د.ت.). المقدمة. بيروت: دار الفكر.</w:t>
      </w:r>
    </w:p>
    <w:p w14:paraId="7163D0B9" w14:textId="77777777" w:rsidR="003371FC" w:rsidRDefault="00000000">
      <w:pPr>
        <w:spacing w:after="120" w:line="300" w:lineRule="auto"/>
        <w:jc w:val="right"/>
      </w:pPr>
      <w:r>
        <w:rPr>
          <w:sz w:val="21"/>
          <w:szCs w:val="21"/>
        </w:rPr>
        <w:t>28. الشاطبي، إبراهيم بن موسى. (د.ت.). الموافقات في أصول الشريعة. تحقيق: أبو عبيدة مشهور آل سلمان. الخبر: دار ابن عفان.</w:t>
      </w:r>
    </w:p>
    <w:p w14:paraId="1D4B473D" w14:textId="77777777" w:rsidR="003371FC" w:rsidRDefault="00000000">
      <w:pPr>
        <w:spacing w:after="120" w:line="300" w:lineRule="auto"/>
        <w:jc w:val="right"/>
      </w:pPr>
      <w:r>
        <w:rPr>
          <w:sz w:val="21"/>
          <w:szCs w:val="21"/>
        </w:rPr>
        <w:t>29. عبد الرحمن، طه. (2006). روح الحداثة: المدخل إلى تأسيس الحداثة الإسلامية. الدار البيضاء: المركز الثقافي العربي.</w:t>
      </w:r>
    </w:p>
    <w:p w14:paraId="6BF8B691" w14:textId="77777777" w:rsidR="003371FC" w:rsidRDefault="00000000">
      <w:pPr>
        <w:spacing w:after="120" w:line="300" w:lineRule="auto"/>
        <w:jc w:val="right"/>
      </w:pPr>
      <w:r>
        <w:rPr>
          <w:sz w:val="21"/>
          <w:szCs w:val="21"/>
        </w:rPr>
        <w:t>30. الفاروقي، إسماعيل راجي. (1982). إسلامية المعرفة: المبادئ العامة وخطة العمل. هيرندن: المعهد العالمي للفكر الإسلامي.</w:t>
      </w:r>
    </w:p>
    <w:p w14:paraId="3F80B67D" w14:textId="77777777" w:rsidR="003371FC" w:rsidRDefault="00000000">
      <w:pPr>
        <w:spacing w:before="300" w:after="120" w:line="300" w:lineRule="auto"/>
        <w:jc w:val="both"/>
      </w:pPr>
      <w:r>
        <w:rPr>
          <w:i/>
          <w:iCs/>
          <w:color w:val="0F6B65"/>
          <w:sz w:val="19"/>
          <w:szCs w:val="19"/>
        </w:rPr>
        <w:t>ملاحظة منهجية: الأرقام الواردة بين معقوفتين [xxxx] في متن هذه الدراسة تحيل إلى نظام الترقيم الداخلي المعتمد في مدونة أبحاث المشروع (Corpus)، وتبقى قابلة للمراجعة والمطابقة مع الفهرسة الأصلية لمصادر النموذج الاستخلافي.</w:t>
      </w:r>
    </w:p>
    <w:sectPr w:rsidR="003371FC">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49201" w14:textId="77777777" w:rsidR="003D371A" w:rsidRDefault="003D371A">
      <w:r>
        <w:separator/>
      </w:r>
    </w:p>
  </w:endnote>
  <w:endnote w:type="continuationSeparator" w:id="0">
    <w:p w14:paraId="73F362B7" w14:textId="77777777" w:rsidR="003D371A" w:rsidRDefault="003D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4C7D2" w14:textId="77777777" w:rsidR="003371FC" w:rsidRDefault="00000000">
    <w:pPr>
      <w:jc w:val="center"/>
    </w:pPr>
    <w:r>
      <w:rPr>
        <w:color w:val="B8862B"/>
        <w:sz w:val="18"/>
        <w:szCs w:val="18"/>
      </w:rPr>
      <w:fldChar w:fldCharType="begin"/>
    </w:r>
    <w:r>
      <w:rPr>
        <w:color w:val="B8862B"/>
        <w:sz w:val="18"/>
        <w:szCs w:val="18"/>
      </w:rPr>
      <w:instrText>PAGE</w:instrText>
    </w:r>
    <w:r>
      <w:rPr>
        <w:color w:val="B8862B"/>
        <w:sz w:val="18"/>
        <w:szCs w:val="18"/>
      </w:rPr>
      <w:fldChar w:fldCharType="separate"/>
    </w:r>
    <w:r>
      <w:rPr>
        <w:color w:val="B8862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737D0" w14:textId="77777777" w:rsidR="003D371A" w:rsidRDefault="003D371A">
      <w:r>
        <w:separator/>
      </w:r>
    </w:p>
  </w:footnote>
  <w:footnote w:type="continuationSeparator" w:id="0">
    <w:p w14:paraId="7AA357D9" w14:textId="77777777" w:rsidR="003D371A" w:rsidRDefault="003D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68592" w14:textId="77777777" w:rsidR="003371FC" w:rsidRDefault="00000000">
    <w:pPr>
      <w:pBdr>
        <w:bottom w:val="single" w:sz="6" w:space="4" w:color="B8862B"/>
      </w:pBdr>
      <w:jc w:val="center"/>
    </w:pPr>
    <w:r>
      <w:rPr>
        <w:i/>
        <w:iCs/>
        <w:color w:val="0F6B65"/>
        <w:sz w:val="16"/>
        <w:szCs w:val="16"/>
      </w:rPr>
      <w:t>علم النفس الاستخلافي — دراسة موسعة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20D9E"/>
    <w:multiLevelType w:val="hybridMultilevel"/>
    <w:tmpl w:val="FFFFFFFF"/>
    <w:lvl w:ilvl="0" w:tplc="0EA40AE4">
      <w:start w:val="1"/>
      <w:numFmt w:val="bullet"/>
      <w:lvlText w:val="●"/>
      <w:lvlJc w:val="left"/>
      <w:pPr>
        <w:ind w:left="720" w:hanging="360"/>
      </w:pPr>
    </w:lvl>
    <w:lvl w:ilvl="1" w:tplc="26F876D8">
      <w:start w:val="1"/>
      <w:numFmt w:val="bullet"/>
      <w:lvlText w:val="○"/>
      <w:lvlJc w:val="left"/>
      <w:pPr>
        <w:ind w:left="1440" w:hanging="360"/>
      </w:pPr>
    </w:lvl>
    <w:lvl w:ilvl="2" w:tplc="A9349DDE">
      <w:start w:val="1"/>
      <w:numFmt w:val="bullet"/>
      <w:lvlText w:val="■"/>
      <w:lvlJc w:val="left"/>
      <w:pPr>
        <w:ind w:left="2160" w:hanging="360"/>
      </w:pPr>
    </w:lvl>
    <w:lvl w:ilvl="3" w:tplc="CE345CD0">
      <w:start w:val="1"/>
      <w:numFmt w:val="bullet"/>
      <w:lvlText w:val="●"/>
      <w:lvlJc w:val="left"/>
      <w:pPr>
        <w:ind w:left="2880" w:hanging="360"/>
      </w:pPr>
    </w:lvl>
    <w:lvl w:ilvl="4" w:tplc="235C0230">
      <w:start w:val="1"/>
      <w:numFmt w:val="bullet"/>
      <w:lvlText w:val="○"/>
      <w:lvlJc w:val="left"/>
      <w:pPr>
        <w:ind w:left="3600" w:hanging="360"/>
      </w:pPr>
    </w:lvl>
    <w:lvl w:ilvl="5" w:tplc="4572B5EA">
      <w:start w:val="1"/>
      <w:numFmt w:val="bullet"/>
      <w:lvlText w:val="■"/>
      <w:lvlJc w:val="left"/>
      <w:pPr>
        <w:ind w:left="4320" w:hanging="360"/>
      </w:pPr>
    </w:lvl>
    <w:lvl w:ilvl="6" w:tplc="88C8C2C6">
      <w:start w:val="1"/>
      <w:numFmt w:val="bullet"/>
      <w:lvlText w:val="●"/>
      <w:lvlJc w:val="left"/>
      <w:pPr>
        <w:ind w:left="5040" w:hanging="360"/>
      </w:pPr>
    </w:lvl>
    <w:lvl w:ilvl="7" w:tplc="BF2EB754">
      <w:start w:val="1"/>
      <w:numFmt w:val="bullet"/>
      <w:lvlText w:val="●"/>
      <w:lvlJc w:val="left"/>
      <w:pPr>
        <w:ind w:left="5760" w:hanging="360"/>
      </w:pPr>
    </w:lvl>
    <w:lvl w:ilvl="8" w:tplc="B7CCC49A">
      <w:start w:val="1"/>
      <w:numFmt w:val="bullet"/>
      <w:lvlText w:val="●"/>
      <w:lvlJc w:val="left"/>
      <w:pPr>
        <w:ind w:left="6480" w:hanging="360"/>
      </w:pPr>
    </w:lvl>
  </w:abstractNum>
  <w:num w:numId="1" w16cid:durableId="16498248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1FC"/>
    <w:rsid w:val="003371FC"/>
    <w:rsid w:val="00370173"/>
    <w:rsid w:val="003D371A"/>
    <w:rsid w:val="004B6823"/>
    <w:rsid w:val="009C090A"/>
    <w:rsid w:val="00C62EED"/>
    <w:rsid w:val="00F50458"/>
    <w:rsid w:val="00F964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82F94C5"/>
  <w15:docId w15:val="{ED42A527-5B46-AA47-A153-E7FFB3E51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22222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3827</Words>
  <Characters>21818</Characters>
  <Application>Microsoft Office Word</Application>
  <DocSecurity>0</DocSecurity>
  <Lines>181</Lines>
  <Paragraphs>51</Paragraphs>
  <ScaleCrop>false</ScaleCrop>
  <Company/>
  <LinksUpToDate>false</LinksUpToDate>
  <CharactersWithSpaces>25594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6</cp:revision>
  <dcterms:created xsi:type="dcterms:W3CDTF">2026-07-21T21:19:00Z</dcterms:created>
  <dcterms:modified xsi:type="dcterms:W3CDTF">2026-07-22T18:38:00Z</dcterms:modified>
</cp:coreProperties>
</file>