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34878" w14:textId="77777777" w:rsidR="00744904" w:rsidRDefault="00744904">
      <w:pPr>
        <w:spacing w:before="800" w:after="200"/>
      </w:pPr>
    </w:p>
    <w:p w14:paraId="34DFD413" w14:textId="77777777" w:rsidR="00744904" w:rsidRDefault="00000000">
      <w:pPr>
        <w:spacing w:after="40"/>
        <w:jc w:val="center"/>
      </w:pPr>
      <w:r>
        <w:rPr>
          <w:rFonts w:ascii="Traditional Arabic" w:eastAsia="Traditional Arabic" w:hAnsi="Traditional Arabic" w:cs="Traditional Arabic"/>
          <w:b/>
          <w:bCs/>
          <w:color w:val="1B3A5C"/>
          <w:sz w:val="44"/>
          <w:szCs w:val="44"/>
        </w:rPr>
        <w:t>علم النفس الاستخلافي</w:t>
      </w:r>
    </w:p>
    <w:p w14:paraId="09D7A463" w14:textId="77777777" w:rsidR="00744904" w:rsidRDefault="00000000">
      <w:pPr>
        <w:spacing w:after="200"/>
        <w:jc w:val="center"/>
      </w:pPr>
      <w:r>
        <w:rPr>
          <w:rFonts w:ascii="Traditional Arabic" w:eastAsia="Traditional Arabic" w:hAnsi="Traditional Arabic" w:cs="Traditional Arabic"/>
          <w:color w:val="1A7A6E"/>
          <w:sz w:val="28"/>
          <w:szCs w:val="28"/>
        </w:rPr>
        <w:t>العلاج بحرث المصالحة التحويلية (TLRT)</w:t>
      </w:r>
    </w:p>
    <w:p w14:paraId="30CA2862" w14:textId="77777777" w:rsidR="00744904" w:rsidRDefault="00000000">
      <w:pPr>
        <w:pBdr>
          <w:top w:val="single" w:sz="12" w:space="8" w:color="B8860B"/>
          <w:bottom w:val="single" w:sz="12" w:space="8" w:color="B8860B"/>
        </w:pBdr>
        <w:spacing w:after="40"/>
        <w:jc w:val="center"/>
      </w:pPr>
      <w:r>
        <w:rPr>
          <w:rFonts w:ascii="Traditional Arabic" w:eastAsia="Traditional Arabic" w:hAnsi="Traditional Arabic" w:cs="Traditional Arabic"/>
          <w:b/>
          <w:bCs/>
          <w:color w:val="B8860B"/>
          <w:sz w:val="34"/>
          <w:szCs w:val="34"/>
        </w:rPr>
        <w:t>الجزء الثاني: الإطار النظري للنموذج</w:t>
      </w:r>
    </w:p>
    <w:p w14:paraId="567BF6D7" w14:textId="77777777" w:rsidR="00744904" w:rsidRDefault="00744904">
      <w:pPr>
        <w:spacing w:before="100" w:after="100"/>
      </w:pPr>
    </w:p>
    <w:p w14:paraId="6CB97BA2" w14:textId="77777777" w:rsidR="00744904" w:rsidRDefault="00000000">
      <w:pPr>
        <w:spacing w:after="80"/>
        <w:jc w:val="center"/>
      </w:pPr>
      <w:r>
        <w:rPr>
          <w:rFonts w:ascii="Traditional Arabic" w:eastAsia="Traditional Arabic" w:hAnsi="Traditional Arabic" w:cs="Traditional Arabic"/>
          <w:b/>
          <w:bCs/>
          <w:color w:val="2E6DA4"/>
          <w:sz w:val="32"/>
          <w:szCs w:val="32"/>
        </w:rPr>
        <w:t>الفصل الأول</w:t>
      </w:r>
    </w:p>
    <w:p w14:paraId="22C8D46A" w14:textId="77777777" w:rsidR="00744904" w:rsidRDefault="00000000">
      <w:pPr>
        <w:spacing w:after="300"/>
        <w:jc w:val="center"/>
      </w:pPr>
      <w:r>
        <w:rPr>
          <w:rFonts w:ascii="Traditional Arabic" w:eastAsia="Traditional Arabic" w:hAnsi="Traditional Arabic" w:cs="Traditional Arabic"/>
          <w:b/>
          <w:bCs/>
          <w:color w:val="2E6DA4"/>
          <w:sz w:val="32"/>
          <w:szCs w:val="32"/>
        </w:rPr>
        <w:t>البنية النظرية العامة لنموذج</w:t>
      </w:r>
    </w:p>
    <w:p w14:paraId="0D89A2D4" w14:textId="77777777" w:rsidR="00744904" w:rsidRDefault="00000000">
      <w:pPr>
        <w:spacing w:after="200"/>
        <w:jc w:val="center"/>
      </w:pPr>
      <w:r>
        <w:rPr>
          <w:rFonts w:ascii="Traditional Arabic" w:eastAsia="Traditional Arabic" w:hAnsi="Traditional Arabic" w:cs="Traditional Arabic"/>
          <w:color w:val="1B3A5C"/>
          <w:sz w:val="28"/>
          <w:szCs w:val="28"/>
        </w:rPr>
        <w:t>العلاج بحرث المصالحة التحويلية (TLRT)</w:t>
      </w:r>
    </w:p>
    <w:p w14:paraId="74385AF5" w14:textId="77777777" w:rsidR="00744904" w:rsidRDefault="00744904">
      <w:pPr>
        <w:spacing w:before="400" w:after="100"/>
      </w:pPr>
    </w:p>
    <w:p w14:paraId="31064ED5" w14:textId="77777777" w:rsidR="00744904" w:rsidRDefault="00000000">
      <w:pPr>
        <w:jc w:val="center"/>
      </w:pPr>
      <w:r>
        <w:rPr>
          <w:rFonts w:ascii="Traditional Arabic" w:eastAsia="Traditional Arabic" w:hAnsi="Traditional Arabic" w:cs="Traditional Arabic"/>
          <w:color w:val="555555"/>
          <w:sz w:val="24"/>
          <w:szCs w:val="24"/>
        </w:rPr>
        <w:t>إعداد: عبد السلام الزراع</w:t>
      </w:r>
    </w:p>
    <w:p w14:paraId="5A0B1586" w14:textId="77777777" w:rsidR="00744904" w:rsidRDefault="00000000">
      <w:pPr>
        <w:jc w:val="center"/>
      </w:pPr>
      <w:r>
        <w:rPr>
          <w:rFonts w:ascii="Traditional Arabic" w:eastAsia="Traditional Arabic" w:hAnsi="Traditional Arabic" w:cs="Traditional Arabic"/>
          <w:color w:val="555555"/>
          <w:sz w:val="24"/>
          <w:szCs w:val="24"/>
        </w:rPr>
        <w:t>2026</w:t>
      </w:r>
    </w:p>
    <w:p w14:paraId="76458ED7" w14:textId="77777777" w:rsidR="00744904" w:rsidRDefault="00000000">
      <w:pPr>
        <w:pageBreakBefore/>
        <w:pBdr>
          <w:bottom w:val="single" w:sz="12" w:space="4" w:color="B8860B"/>
        </w:pBdr>
        <w:spacing w:before="240" w:after="160"/>
        <w:jc w:val="right"/>
      </w:pPr>
      <w:r>
        <w:rPr>
          <w:rFonts w:ascii="Traditional Arabic" w:eastAsia="Traditional Arabic" w:hAnsi="Traditional Arabic" w:cs="Traditional Arabic"/>
          <w:b/>
          <w:bCs/>
          <w:color w:val="1B3A5C"/>
          <w:sz w:val="36"/>
          <w:szCs w:val="36"/>
        </w:rPr>
        <w:t>1.1  نموذج التحول الخماسي: رؤية شاملة</w:t>
      </w:r>
    </w:p>
    <w:p w14:paraId="6585D426" w14:textId="77777777" w:rsidR="00744904" w:rsidRDefault="00000000" w:rsidP="0009397F">
      <w:pPr>
        <w:spacing w:before="40" w:after="80"/>
      </w:pPr>
      <w:r>
        <w:rPr>
          <w:rFonts w:ascii="Traditional Arabic" w:eastAsia="Traditional Arabic" w:hAnsi="Traditional Arabic" w:cs="Traditional Arabic"/>
          <w:color w:val="1A1A1A"/>
          <w:sz w:val="24"/>
          <w:szCs w:val="24"/>
        </w:rPr>
        <w:t>يرتكز العلاج بحرث المصالحة التحويلية (TLRT) – في بنيته النظرية – على افتراض مركزي مؤداه أن عقدة الذنب المرضي لا ينبغي النظر إليها بوصفها مجرد عَرَضٍ نفسيٍّ يتعيَّن إزالته أو تسكينه، بل هي طاقة وجودية محتجزة (Stored Existential Energy) يمكن – عبر منهجية علاجية محددة – تحويلها إلى فاعلية إحسانية منتجة (Productive Benevolence).</w:t>
      </w:r>
    </w:p>
    <w:p w14:paraId="5A28B45B" w14:textId="77777777" w:rsidR="00744904" w:rsidRDefault="00000000" w:rsidP="0009397F">
      <w:pPr>
        <w:spacing w:before="20" w:after="80"/>
        <w:ind w:left="200" w:right="200"/>
      </w:pPr>
      <w:r>
        <w:rPr>
          <w:rFonts w:ascii="Traditional Arabic" w:eastAsia="Traditional Arabic" w:hAnsi="Traditional Arabic" w:cs="Traditional Arabic"/>
          <w:i/>
          <w:iCs/>
          <w:color w:val="1A7A6E"/>
          <w:sz w:val="22"/>
          <w:szCs w:val="22"/>
        </w:rPr>
        <w:t>(الزراع، 2023، ص 1062)</w:t>
      </w:r>
    </w:p>
    <w:p w14:paraId="669BFF3E" w14:textId="77777777" w:rsidR="00744904" w:rsidRDefault="00744904" w:rsidP="0009397F">
      <w:pPr>
        <w:spacing w:before="60" w:after="60"/>
      </w:pPr>
    </w:p>
    <w:p w14:paraId="099BD4DA" w14:textId="77777777" w:rsidR="00744904" w:rsidRDefault="00000000" w:rsidP="0009397F">
      <w:pPr>
        <w:spacing w:before="40" w:after="80"/>
      </w:pPr>
      <w:r>
        <w:rPr>
          <w:rFonts w:ascii="Traditional Arabic" w:eastAsia="Traditional Arabic" w:hAnsi="Traditional Arabic" w:cs="Traditional Arabic"/>
          <w:color w:val="1A1A1A"/>
          <w:sz w:val="24"/>
          <w:szCs w:val="24"/>
        </w:rPr>
        <w:t>هذا التحول لا يحدث وفق مسار خطي بسيط، بل يتجلى من خلال خمس مراحل متداخلة تشكل معاً ديناميكية حلزونية (Spiral Dynamic) تعيد بناء علاقة الفرد بذاته، وبالآخرين، وبالمتعالي (الله). وهذه المراحل هي:</w:t>
      </w:r>
    </w:p>
    <w:p w14:paraId="3A41752E" w14:textId="77777777" w:rsidR="00744904" w:rsidRDefault="00744904" w:rsidP="0009397F">
      <w:pPr>
        <w:spacing w:before="80"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00"/>
        <w:gridCol w:w="2600"/>
        <w:gridCol w:w="5226"/>
      </w:tblGrid>
      <w:tr w:rsidR="00744904" w14:paraId="2F18DD43" w14:textId="77777777">
        <w:tblPrEx>
          <w:tblCellMar>
            <w:top w:w="0" w:type="dxa"/>
            <w:bottom w:w="0" w:type="dxa"/>
          </w:tblCellMar>
        </w:tblPrEx>
        <w:tc>
          <w:tcPr>
            <w:tcW w:w="1200" w:type="dxa"/>
            <w:tcBorders>
              <w:top w:val="single" w:sz="4" w:space="0" w:color="B0C4DE"/>
              <w:left w:val="single" w:sz="4" w:space="0" w:color="B0C4DE"/>
              <w:bottom w:val="single" w:sz="4" w:space="0" w:color="B0C4DE"/>
              <w:right w:val="single" w:sz="4" w:space="0" w:color="B0C4DE"/>
            </w:tcBorders>
            <w:shd w:val="clear" w:color="auto" w:fill="1B3A5C"/>
            <w:tcMar>
              <w:top w:w="80" w:type="dxa"/>
              <w:left w:w="140" w:type="dxa"/>
              <w:bottom w:w="80" w:type="dxa"/>
              <w:right w:w="140" w:type="dxa"/>
            </w:tcMar>
            <w:vAlign w:val="center"/>
          </w:tcPr>
          <w:p w14:paraId="7C393236" w14:textId="77777777" w:rsidR="00744904" w:rsidRDefault="00000000" w:rsidP="0009397F">
            <w:r>
              <w:rPr>
                <w:rFonts w:ascii="Traditional Arabic" w:eastAsia="Traditional Arabic" w:hAnsi="Traditional Arabic" w:cs="Traditional Arabic"/>
                <w:b/>
                <w:bCs/>
                <w:color w:val="FFFFFF"/>
                <w:sz w:val="22"/>
                <w:szCs w:val="22"/>
              </w:rPr>
              <w:t>المرحلة</w:t>
            </w:r>
          </w:p>
        </w:tc>
        <w:tc>
          <w:tcPr>
            <w:tcW w:w="2600" w:type="dxa"/>
            <w:tcBorders>
              <w:top w:val="single" w:sz="4" w:space="0" w:color="B0C4DE"/>
              <w:left w:val="single" w:sz="4" w:space="0" w:color="B0C4DE"/>
              <w:bottom w:val="single" w:sz="4" w:space="0" w:color="B0C4DE"/>
              <w:right w:val="single" w:sz="4" w:space="0" w:color="B0C4DE"/>
            </w:tcBorders>
            <w:shd w:val="clear" w:color="auto" w:fill="1B3A5C"/>
            <w:tcMar>
              <w:top w:w="80" w:type="dxa"/>
              <w:left w:w="140" w:type="dxa"/>
              <w:bottom w:w="80" w:type="dxa"/>
              <w:right w:w="140" w:type="dxa"/>
            </w:tcMar>
            <w:vAlign w:val="center"/>
          </w:tcPr>
          <w:p w14:paraId="39482CEA" w14:textId="77777777" w:rsidR="00744904" w:rsidRDefault="00000000" w:rsidP="0009397F">
            <w:r>
              <w:rPr>
                <w:rFonts w:ascii="Traditional Arabic" w:eastAsia="Traditional Arabic" w:hAnsi="Traditional Arabic" w:cs="Traditional Arabic"/>
                <w:b/>
                <w:bCs/>
                <w:color w:val="FFFFFF"/>
                <w:sz w:val="22"/>
                <w:szCs w:val="22"/>
              </w:rPr>
              <w:t>العنوان</w:t>
            </w:r>
          </w:p>
        </w:tc>
        <w:tc>
          <w:tcPr>
            <w:tcW w:w="5226" w:type="dxa"/>
            <w:tcBorders>
              <w:top w:val="single" w:sz="4" w:space="0" w:color="B0C4DE"/>
              <w:left w:val="single" w:sz="4" w:space="0" w:color="B0C4DE"/>
              <w:bottom w:val="single" w:sz="4" w:space="0" w:color="B0C4DE"/>
              <w:right w:val="single" w:sz="4" w:space="0" w:color="B0C4DE"/>
            </w:tcBorders>
            <w:shd w:val="clear" w:color="auto" w:fill="1B3A5C"/>
            <w:tcMar>
              <w:top w:w="80" w:type="dxa"/>
              <w:left w:w="140" w:type="dxa"/>
              <w:bottom w:w="80" w:type="dxa"/>
              <w:right w:w="140" w:type="dxa"/>
            </w:tcMar>
            <w:vAlign w:val="center"/>
          </w:tcPr>
          <w:p w14:paraId="20EFEB0C" w14:textId="77777777" w:rsidR="00744904" w:rsidRDefault="00000000" w:rsidP="0009397F">
            <w:r>
              <w:rPr>
                <w:rFonts w:ascii="Traditional Arabic" w:eastAsia="Traditional Arabic" w:hAnsi="Traditional Arabic" w:cs="Traditional Arabic"/>
                <w:b/>
                <w:bCs/>
                <w:color w:val="FFFFFF"/>
                <w:sz w:val="22"/>
                <w:szCs w:val="22"/>
              </w:rPr>
              <w:t>الوظيفة العلاجية المركزية</w:t>
            </w:r>
          </w:p>
        </w:tc>
      </w:tr>
      <w:tr w:rsidR="00744904" w14:paraId="5FD8AAA9" w14:textId="77777777">
        <w:tblPrEx>
          <w:tblCellMar>
            <w:top w:w="0" w:type="dxa"/>
            <w:bottom w:w="0" w:type="dxa"/>
          </w:tblCellMar>
        </w:tblPrEx>
        <w:tc>
          <w:tcPr>
            <w:tcW w:w="12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40" w:type="dxa"/>
              <w:bottom w:w="80" w:type="dxa"/>
              <w:right w:w="140" w:type="dxa"/>
            </w:tcMar>
            <w:vAlign w:val="center"/>
          </w:tcPr>
          <w:p w14:paraId="67ED2C21" w14:textId="77777777" w:rsidR="00744904" w:rsidRDefault="00000000" w:rsidP="0009397F">
            <w:r>
              <w:rPr>
                <w:rFonts w:ascii="Traditional Arabic" w:eastAsia="Traditional Arabic" w:hAnsi="Traditional Arabic" w:cs="Traditional Arabic"/>
                <w:color w:val="1A1A1A"/>
                <w:sz w:val="22"/>
                <w:szCs w:val="22"/>
              </w:rPr>
              <w:t>الأولى</w:t>
            </w:r>
          </w:p>
        </w:tc>
        <w:tc>
          <w:tcPr>
            <w:tcW w:w="26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40" w:type="dxa"/>
              <w:bottom w:w="80" w:type="dxa"/>
              <w:right w:w="140" w:type="dxa"/>
            </w:tcMar>
            <w:vAlign w:val="center"/>
          </w:tcPr>
          <w:p w14:paraId="10C2D132" w14:textId="77777777" w:rsidR="00744904" w:rsidRDefault="00000000" w:rsidP="0009397F">
            <w:r>
              <w:rPr>
                <w:rFonts w:ascii="Traditional Arabic" w:eastAsia="Traditional Arabic" w:hAnsi="Traditional Arabic" w:cs="Traditional Arabic"/>
                <w:color w:val="1A1A1A"/>
                <w:sz w:val="22"/>
                <w:szCs w:val="22"/>
              </w:rPr>
              <w:t>التشخيص الوجودي</w:t>
            </w:r>
          </w:p>
        </w:tc>
        <w:tc>
          <w:tcPr>
            <w:tcW w:w="522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40" w:type="dxa"/>
              <w:bottom w:w="80" w:type="dxa"/>
              <w:right w:w="140" w:type="dxa"/>
            </w:tcMar>
            <w:vAlign w:val="center"/>
          </w:tcPr>
          <w:p w14:paraId="1CE03186" w14:textId="77777777" w:rsidR="00744904" w:rsidRDefault="00000000" w:rsidP="0009397F">
            <w:r>
              <w:rPr>
                <w:rFonts w:ascii="Traditional Arabic" w:eastAsia="Traditional Arabic" w:hAnsi="Traditional Arabic" w:cs="Traditional Arabic"/>
                <w:color w:val="1A1A1A"/>
                <w:sz w:val="22"/>
                <w:szCs w:val="22"/>
              </w:rPr>
              <w:t>تفكيك عقدة الذنب وتحديد طبيعتها (حقيقية / وهمية)</w:t>
            </w:r>
          </w:p>
        </w:tc>
      </w:tr>
      <w:tr w:rsidR="00744904" w14:paraId="6B7A9F41" w14:textId="77777777">
        <w:tblPrEx>
          <w:tblCellMar>
            <w:top w:w="0" w:type="dxa"/>
            <w:bottom w:w="0" w:type="dxa"/>
          </w:tblCellMar>
        </w:tblPrEx>
        <w:tc>
          <w:tcPr>
            <w:tcW w:w="1200" w:type="dxa"/>
            <w:tcBorders>
              <w:top w:val="single" w:sz="4" w:space="0" w:color="B0C4DE"/>
              <w:left w:val="single" w:sz="4" w:space="0" w:color="B0C4DE"/>
              <w:bottom w:val="single" w:sz="4" w:space="0" w:color="B0C4DE"/>
              <w:right w:val="single" w:sz="4" w:space="0" w:color="B0C4DE"/>
            </w:tcBorders>
            <w:shd w:val="clear" w:color="auto" w:fill="E8EFF7"/>
            <w:tcMar>
              <w:top w:w="80" w:type="dxa"/>
              <w:left w:w="140" w:type="dxa"/>
              <w:bottom w:w="80" w:type="dxa"/>
              <w:right w:w="140" w:type="dxa"/>
            </w:tcMar>
            <w:vAlign w:val="center"/>
          </w:tcPr>
          <w:p w14:paraId="1617EC17" w14:textId="77777777" w:rsidR="00744904" w:rsidRDefault="00000000" w:rsidP="0009397F">
            <w:r>
              <w:rPr>
                <w:rFonts w:ascii="Traditional Arabic" w:eastAsia="Traditional Arabic" w:hAnsi="Traditional Arabic" w:cs="Traditional Arabic"/>
                <w:color w:val="1A1A1A"/>
                <w:sz w:val="22"/>
                <w:szCs w:val="22"/>
              </w:rPr>
              <w:t>الثانية</w:t>
            </w:r>
          </w:p>
        </w:tc>
        <w:tc>
          <w:tcPr>
            <w:tcW w:w="2600" w:type="dxa"/>
            <w:tcBorders>
              <w:top w:val="single" w:sz="4" w:space="0" w:color="B0C4DE"/>
              <w:left w:val="single" w:sz="4" w:space="0" w:color="B0C4DE"/>
              <w:bottom w:val="single" w:sz="4" w:space="0" w:color="B0C4DE"/>
              <w:right w:val="single" w:sz="4" w:space="0" w:color="B0C4DE"/>
            </w:tcBorders>
            <w:shd w:val="clear" w:color="auto" w:fill="E8EFF7"/>
            <w:tcMar>
              <w:top w:w="80" w:type="dxa"/>
              <w:left w:w="140" w:type="dxa"/>
              <w:bottom w:w="80" w:type="dxa"/>
              <w:right w:w="140" w:type="dxa"/>
            </w:tcMar>
            <w:vAlign w:val="center"/>
          </w:tcPr>
          <w:p w14:paraId="2EC8E7E7" w14:textId="77777777" w:rsidR="00744904" w:rsidRDefault="00000000" w:rsidP="0009397F">
            <w:r>
              <w:rPr>
                <w:rFonts w:ascii="Traditional Arabic" w:eastAsia="Traditional Arabic" w:hAnsi="Traditional Arabic" w:cs="Traditional Arabic"/>
                <w:color w:val="1A1A1A"/>
                <w:sz w:val="22"/>
                <w:szCs w:val="22"/>
              </w:rPr>
              <w:t>إعادة بناء صورة الله</w:t>
            </w:r>
          </w:p>
        </w:tc>
        <w:tc>
          <w:tcPr>
            <w:tcW w:w="5226" w:type="dxa"/>
            <w:tcBorders>
              <w:top w:val="single" w:sz="4" w:space="0" w:color="B0C4DE"/>
              <w:left w:val="single" w:sz="4" w:space="0" w:color="B0C4DE"/>
              <w:bottom w:val="single" w:sz="4" w:space="0" w:color="B0C4DE"/>
              <w:right w:val="single" w:sz="4" w:space="0" w:color="B0C4DE"/>
            </w:tcBorders>
            <w:shd w:val="clear" w:color="auto" w:fill="E8EFF7"/>
            <w:tcMar>
              <w:top w:w="80" w:type="dxa"/>
              <w:left w:w="140" w:type="dxa"/>
              <w:bottom w:w="80" w:type="dxa"/>
              <w:right w:w="140" w:type="dxa"/>
            </w:tcMar>
            <w:vAlign w:val="center"/>
          </w:tcPr>
          <w:p w14:paraId="6C754F93" w14:textId="77777777" w:rsidR="00744904" w:rsidRDefault="00000000" w:rsidP="0009397F">
            <w:r>
              <w:rPr>
                <w:rFonts w:ascii="Traditional Arabic" w:eastAsia="Traditional Arabic" w:hAnsi="Traditional Arabic" w:cs="Traditional Arabic"/>
                <w:color w:val="1A1A1A"/>
                <w:sz w:val="22"/>
                <w:szCs w:val="22"/>
              </w:rPr>
              <w:t>المصالحة مع الأب الرمزي وتحرير صورة الإله من تشوهات الطفولة</w:t>
            </w:r>
          </w:p>
        </w:tc>
      </w:tr>
      <w:tr w:rsidR="00744904" w14:paraId="646E5C72" w14:textId="77777777">
        <w:tblPrEx>
          <w:tblCellMar>
            <w:top w:w="0" w:type="dxa"/>
            <w:bottom w:w="0" w:type="dxa"/>
          </w:tblCellMar>
        </w:tblPrEx>
        <w:tc>
          <w:tcPr>
            <w:tcW w:w="12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40" w:type="dxa"/>
              <w:bottom w:w="80" w:type="dxa"/>
              <w:right w:w="140" w:type="dxa"/>
            </w:tcMar>
            <w:vAlign w:val="center"/>
          </w:tcPr>
          <w:p w14:paraId="5A3C6D2F" w14:textId="77777777" w:rsidR="00744904" w:rsidRDefault="00000000" w:rsidP="0009397F">
            <w:r>
              <w:rPr>
                <w:rFonts w:ascii="Traditional Arabic" w:eastAsia="Traditional Arabic" w:hAnsi="Traditional Arabic" w:cs="Traditional Arabic"/>
                <w:color w:val="1A1A1A"/>
                <w:sz w:val="22"/>
                <w:szCs w:val="22"/>
              </w:rPr>
              <w:t>الثالثة</w:t>
            </w:r>
          </w:p>
        </w:tc>
        <w:tc>
          <w:tcPr>
            <w:tcW w:w="26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40" w:type="dxa"/>
              <w:bottom w:w="80" w:type="dxa"/>
              <w:right w:w="140" w:type="dxa"/>
            </w:tcMar>
            <w:vAlign w:val="center"/>
          </w:tcPr>
          <w:p w14:paraId="5B35858E" w14:textId="77777777" w:rsidR="00744904" w:rsidRDefault="00000000" w:rsidP="0009397F">
            <w:r>
              <w:rPr>
                <w:rFonts w:ascii="Traditional Arabic" w:eastAsia="Traditional Arabic" w:hAnsi="Traditional Arabic" w:cs="Traditional Arabic"/>
                <w:color w:val="1A1A1A"/>
                <w:sz w:val="22"/>
                <w:szCs w:val="22"/>
              </w:rPr>
              <w:t>التحويل الطاقي</w:t>
            </w:r>
          </w:p>
        </w:tc>
        <w:tc>
          <w:tcPr>
            <w:tcW w:w="522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40" w:type="dxa"/>
              <w:bottom w:w="80" w:type="dxa"/>
              <w:right w:w="140" w:type="dxa"/>
            </w:tcMar>
            <w:vAlign w:val="center"/>
          </w:tcPr>
          <w:p w14:paraId="2F517E7D" w14:textId="77777777" w:rsidR="00744904" w:rsidRDefault="00000000" w:rsidP="0009397F">
            <w:r>
              <w:rPr>
                <w:rFonts w:ascii="Traditional Arabic" w:eastAsia="Traditional Arabic" w:hAnsi="Traditional Arabic" w:cs="Traditional Arabic"/>
                <w:color w:val="1A1A1A"/>
                <w:sz w:val="22"/>
                <w:szCs w:val="22"/>
              </w:rPr>
              <w:t>بناء "الجسر السلوكي" وتحويل طاقة الندم إلى فعل إحساني ملموس</w:t>
            </w:r>
          </w:p>
        </w:tc>
      </w:tr>
      <w:tr w:rsidR="00744904" w14:paraId="7733E3B8" w14:textId="77777777">
        <w:tblPrEx>
          <w:tblCellMar>
            <w:top w:w="0" w:type="dxa"/>
            <w:bottom w:w="0" w:type="dxa"/>
          </w:tblCellMar>
        </w:tblPrEx>
        <w:tc>
          <w:tcPr>
            <w:tcW w:w="1200" w:type="dxa"/>
            <w:tcBorders>
              <w:top w:val="single" w:sz="4" w:space="0" w:color="B0C4DE"/>
              <w:left w:val="single" w:sz="4" w:space="0" w:color="B0C4DE"/>
              <w:bottom w:val="single" w:sz="4" w:space="0" w:color="B0C4DE"/>
              <w:right w:val="single" w:sz="4" w:space="0" w:color="B0C4DE"/>
            </w:tcBorders>
            <w:shd w:val="clear" w:color="auto" w:fill="E8EFF7"/>
            <w:tcMar>
              <w:top w:w="80" w:type="dxa"/>
              <w:left w:w="140" w:type="dxa"/>
              <w:bottom w:w="80" w:type="dxa"/>
              <w:right w:w="140" w:type="dxa"/>
            </w:tcMar>
            <w:vAlign w:val="center"/>
          </w:tcPr>
          <w:p w14:paraId="78DD75D9" w14:textId="77777777" w:rsidR="00744904" w:rsidRDefault="00000000" w:rsidP="0009397F">
            <w:r>
              <w:rPr>
                <w:rFonts w:ascii="Traditional Arabic" w:eastAsia="Traditional Arabic" w:hAnsi="Traditional Arabic" w:cs="Traditional Arabic"/>
                <w:color w:val="1A1A1A"/>
                <w:sz w:val="22"/>
                <w:szCs w:val="22"/>
              </w:rPr>
              <w:t>الرابعة</w:t>
            </w:r>
          </w:p>
        </w:tc>
        <w:tc>
          <w:tcPr>
            <w:tcW w:w="2600" w:type="dxa"/>
            <w:tcBorders>
              <w:top w:val="single" w:sz="4" w:space="0" w:color="B0C4DE"/>
              <w:left w:val="single" w:sz="4" w:space="0" w:color="B0C4DE"/>
              <w:bottom w:val="single" w:sz="4" w:space="0" w:color="B0C4DE"/>
              <w:right w:val="single" w:sz="4" w:space="0" w:color="B0C4DE"/>
            </w:tcBorders>
            <w:shd w:val="clear" w:color="auto" w:fill="E8EFF7"/>
            <w:tcMar>
              <w:top w:w="80" w:type="dxa"/>
              <w:left w:w="140" w:type="dxa"/>
              <w:bottom w:w="80" w:type="dxa"/>
              <w:right w:w="140" w:type="dxa"/>
            </w:tcMar>
            <w:vAlign w:val="center"/>
          </w:tcPr>
          <w:p w14:paraId="62FF105F" w14:textId="77777777" w:rsidR="00744904" w:rsidRDefault="00000000" w:rsidP="0009397F">
            <w:r>
              <w:rPr>
                <w:rFonts w:ascii="Traditional Arabic" w:eastAsia="Traditional Arabic" w:hAnsi="Traditional Arabic" w:cs="Traditional Arabic"/>
                <w:color w:val="1A1A1A"/>
                <w:sz w:val="22"/>
                <w:szCs w:val="22"/>
              </w:rPr>
              <w:t>إعادة كتابة السردية الذاتية</w:t>
            </w:r>
          </w:p>
        </w:tc>
        <w:tc>
          <w:tcPr>
            <w:tcW w:w="5226" w:type="dxa"/>
            <w:tcBorders>
              <w:top w:val="single" w:sz="4" w:space="0" w:color="B0C4DE"/>
              <w:left w:val="single" w:sz="4" w:space="0" w:color="B0C4DE"/>
              <w:bottom w:val="single" w:sz="4" w:space="0" w:color="B0C4DE"/>
              <w:right w:val="single" w:sz="4" w:space="0" w:color="B0C4DE"/>
            </w:tcBorders>
            <w:shd w:val="clear" w:color="auto" w:fill="E8EFF7"/>
            <w:tcMar>
              <w:top w:w="80" w:type="dxa"/>
              <w:left w:w="140" w:type="dxa"/>
              <w:bottom w:w="80" w:type="dxa"/>
              <w:right w:w="140" w:type="dxa"/>
            </w:tcMar>
            <w:vAlign w:val="center"/>
          </w:tcPr>
          <w:p w14:paraId="6E24072B" w14:textId="77777777" w:rsidR="00744904" w:rsidRDefault="00000000" w:rsidP="0009397F">
            <w:r>
              <w:rPr>
                <w:rFonts w:ascii="Traditional Arabic" w:eastAsia="Traditional Arabic" w:hAnsi="Traditional Arabic" w:cs="Traditional Arabic"/>
                <w:color w:val="1A1A1A"/>
                <w:sz w:val="22"/>
                <w:szCs w:val="22"/>
              </w:rPr>
              <w:t>دمج الخطأ في قصة حياة جديدة (سردية الناجي الحكيم)</w:t>
            </w:r>
          </w:p>
        </w:tc>
      </w:tr>
      <w:tr w:rsidR="00744904" w14:paraId="6A2B313C" w14:textId="77777777">
        <w:tblPrEx>
          <w:tblCellMar>
            <w:top w:w="0" w:type="dxa"/>
            <w:bottom w:w="0" w:type="dxa"/>
          </w:tblCellMar>
        </w:tblPrEx>
        <w:tc>
          <w:tcPr>
            <w:tcW w:w="12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40" w:type="dxa"/>
              <w:bottom w:w="80" w:type="dxa"/>
              <w:right w:w="140" w:type="dxa"/>
            </w:tcMar>
            <w:vAlign w:val="center"/>
          </w:tcPr>
          <w:p w14:paraId="1CB407A7" w14:textId="77777777" w:rsidR="00744904" w:rsidRDefault="00000000" w:rsidP="0009397F">
            <w:r>
              <w:rPr>
                <w:rFonts w:ascii="Traditional Arabic" w:eastAsia="Traditional Arabic" w:hAnsi="Traditional Arabic" w:cs="Traditional Arabic"/>
                <w:color w:val="1A1A1A"/>
                <w:sz w:val="22"/>
                <w:szCs w:val="22"/>
              </w:rPr>
              <w:t>الخامسة</w:t>
            </w:r>
          </w:p>
        </w:tc>
        <w:tc>
          <w:tcPr>
            <w:tcW w:w="26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40" w:type="dxa"/>
              <w:bottom w:w="80" w:type="dxa"/>
              <w:right w:w="140" w:type="dxa"/>
            </w:tcMar>
            <w:vAlign w:val="center"/>
          </w:tcPr>
          <w:p w14:paraId="4196443F" w14:textId="77777777" w:rsidR="00744904" w:rsidRDefault="00000000" w:rsidP="0009397F">
            <w:r>
              <w:rPr>
                <w:rFonts w:ascii="Traditional Arabic" w:eastAsia="Traditional Arabic" w:hAnsi="Traditional Arabic" w:cs="Traditional Arabic"/>
                <w:color w:val="1A1A1A"/>
                <w:sz w:val="22"/>
                <w:szCs w:val="22"/>
              </w:rPr>
              <w:t>الاستدامة والنمو</w:t>
            </w:r>
          </w:p>
        </w:tc>
        <w:tc>
          <w:tcPr>
            <w:tcW w:w="522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40" w:type="dxa"/>
              <w:bottom w:w="80" w:type="dxa"/>
              <w:right w:w="140" w:type="dxa"/>
            </w:tcMar>
            <w:vAlign w:val="center"/>
          </w:tcPr>
          <w:p w14:paraId="3CC4EFAA" w14:textId="77777777" w:rsidR="00744904" w:rsidRDefault="00000000" w:rsidP="0009397F">
            <w:r>
              <w:rPr>
                <w:rFonts w:ascii="Traditional Arabic" w:eastAsia="Traditional Arabic" w:hAnsi="Traditional Arabic" w:cs="Traditional Arabic"/>
                <w:color w:val="1A1A1A"/>
                <w:sz w:val="22"/>
                <w:szCs w:val="22"/>
              </w:rPr>
              <w:t>تحويل التحول المؤقت إلى نمط حياة مستدام (نظام تزكية ذاتية)</w:t>
            </w:r>
          </w:p>
        </w:tc>
      </w:tr>
    </w:tbl>
    <w:p w14:paraId="160CBAE4" w14:textId="77777777" w:rsidR="00744904" w:rsidRDefault="00000000" w:rsidP="0009397F">
      <w:pPr>
        <w:spacing w:before="20" w:after="80"/>
        <w:ind w:left="200" w:right="200"/>
      </w:pPr>
      <w:r>
        <w:rPr>
          <w:rFonts w:ascii="Traditional Arabic" w:eastAsia="Traditional Arabic" w:hAnsi="Traditional Arabic" w:cs="Traditional Arabic"/>
          <w:i/>
          <w:iCs/>
          <w:color w:val="1A7A6E"/>
          <w:sz w:val="22"/>
          <w:szCs w:val="22"/>
        </w:rPr>
        <w:t>(الزراع، 2023، ص 905-906)</w:t>
      </w:r>
    </w:p>
    <w:p w14:paraId="016A8C7B" w14:textId="77777777" w:rsidR="00744904" w:rsidRDefault="00000000" w:rsidP="0009397F">
      <w:pPr>
        <w:pageBreakBefore/>
        <w:pBdr>
          <w:bottom w:val="single" w:sz="12" w:space="4" w:color="B8860B"/>
        </w:pBdr>
        <w:spacing w:before="240" w:after="160"/>
      </w:pPr>
      <w:r>
        <w:rPr>
          <w:rFonts w:ascii="Traditional Arabic" w:eastAsia="Traditional Arabic" w:hAnsi="Traditional Arabic" w:cs="Traditional Arabic"/>
          <w:b/>
          <w:bCs/>
          <w:color w:val="1B3A5C"/>
          <w:sz w:val="36"/>
          <w:szCs w:val="36"/>
        </w:rPr>
        <w:t>1.2  المبادئ الديناميكية الحاكمة للنموذج</w:t>
      </w:r>
    </w:p>
    <w:p w14:paraId="6F9C0161" w14:textId="77777777" w:rsidR="00744904" w:rsidRDefault="00000000" w:rsidP="0009397F">
      <w:pPr>
        <w:spacing w:before="140" w:after="80"/>
      </w:pPr>
      <w:r>
        <w:rPr>
          <w:rFonts w:ascii="Traditional Arabic" w:eastAsia="Traditional Arabic" w:hAnsi="Traditional Arabic" w:cs="Traditional Arabic"/>
          <w:b/>
          <w:bCs/>
          <w:color w:val="1A7A6E"/>
          <w:sz w:val="26"/>
          <w:szCs w:val="26"/>
        </w:rPr>
        <w:t>أ. مبدأ الثلاثية العلاجية (Therapeutic Triad)</w:t>
      </w:r>
    </w:p>
    <w:p w14:paraId="4EEDD702" w14:textId="77777777" w:rsidR="00744904" w:rsidRDefault="00000000" w:rsidP="0009397F">
      <w:pPr>
        <w:spacing w:before="40" w:after="80"/>
      </w:pPr>
      <w:r>
        <w:rPr>
          <w:rFonts w:ascii="Traditional Arabic" w:eastAsia="Traditional Arabic" w:hAnsi="Traditional Arabic" w:cs="Traditional Arabic"/>
          <w:color w:val="1A1A1A"/>
          <w:sz w:val="24"/>
          <w:szCs w:val="24"/>
        </w:rPr>
        <w:t>تعمل كل مرحلة من المراحل الخمس على المستويات الثلاثة للتجربة الإنسانية بشكل متكامل وغير منفصل:</w:t>
      </w:r>
    </w:p>
    <w:p w14:paraId="155E34D5" w14:textId="77777777" w:rsidR="00744904" w:rsidRDefault="00000000" w:rsidP="0009397F">
      <w:pPr>
        <w:pStyle w:val="a4"/>
        <w:numPr>
          <w:ilvl w:val="0"/>
          <w:numId w:val="2"/>
        </w:numPr>
        <w:spacing w:before="40" w:after="60"/>
      </w:pPr>
      <w:r>
        <w:rPr>
          <w:rFonts w:ascii="Traditional Arabic" w:eastAsia="Traditional Arabic" w:hAnsi="Traditional Arabic" w:cs="Traditional Arabic"/>
          <w:color w:val="1A1A1A"/>
          <w:sz w:val="24"/>
          <w:szCs w:val="24"/>
        </w:rPr>
        <w:t>المستوى المعرفي (Cognitive): إعادة بناء المعتقدات والمفاهيم الخاطئة المرتبطة بالذنب، وتفكيك "الأنا الأعلى القاسي".</w:t>
      </w:r>
    </w:p>
    <w:p w14:paraId="5A1D7F55" w14:textId="77777777" w:rsidR="00744904" w:rsidRDefault="00000000" w:rsidP="0009397F">
      <w:pPr>
        <w:pStyle w:val="a4"/>
        <w:numPr>
          <w:ilvl w:val="0"/>
          <w:numId w:val="2"/>
        </w:numPr>
        <w:spacing w:before="40" w:after="60"/>
      </w:pPr>
      <w:r>
        <w:rPr>
          <w:rFonts w:ascii="Traditional Arabic" w:eastAsia="Traditional Arabic" w:hAnsi="Traditional Arabic" w:cs="Traditional Arabic"/>
          <w:color w:val="1A1A1A"/>
          <w:sz w:val="24"/>
          <w:szCs w:val="24"/>
        </w:rPr>
        <w:t>المستوى الوجداني (Affective): تحرير المشاعر السلبية المحتجزة (كالندم المَرَضي، والخوف، والحزن) وتحويلها إلى طاقة دافعة.</w:t>
      </w:r>
    </w:p>
    <w:p w14:paraId="38AAC34F" w14:textId="77777777" w:rsidR="00744904" w:rsidRDefault="00000000" w:rsidP="0009397F">
      <w:pPr>
        <w:pStyle w:val="a4"/>
        <w:numPr>
          <w:ilvl w:val="0"/>
          <w:numId w:val="2"/>
        </w:numPr>
        <w:spacing w:before="40" w:after="60"/>
      </w:pPr>
      <w:r>
        <w:rPr>
          <w:rFonts w:ascii="Traditional Arabic" w:eastAsia="Traditional Arabic" w:hAnsi="Traditional Arabic" w:cs="Traditional Arabic"/>
          <w:color w:val="1A1A1A"/>
          <w:sz w:val="24"/>
          <w:szCs w:val="24"/>
        </w:rPr>
        <w:t>المستوى السلوكي (Behavioral): ترجمة البصيرة والوعي الجديدين إلى أفعال ملموسة (الجسر السلوكي ومشروع الكفارة الإبداعية).</w:t>
      </w:r>
    </w:p>
    <w:p w14:paraId="0A1388F7" w14:textId="77777777" w:rsidR="00744904" w:rsidRDefault="00000000" w:rsidP="0009397F">
      <w:pPr>
        <w:spacing w:before="20" w:after="80"/>
        <w:ind w:left="200" w:right="200"/>
      </w:pPr>
      <w:r>
        <w:rPr>
          <w:rFonts w:ascii="Traditional Arabic" w:eastAsia="Traditional Arabic" w:hAnsi="Traditional Arabic" w:cs="Traditional Arabic"/>
          <w:i/>
          <w:iCs/>
          <w:color w:val="1A7A6E"/>
          <w:sz w:val="22"/>
          <w:szCs w:val="22"/>
        </w:rPr>
        <w:t>(TLRT، 2026، الدليل النظري، ص 34)</w:t>
      </w:r>
    </w:p>
    <w:p w14:paraId="2A7A2859" w14:textId="77777777" w:rsidR="00744904" w:rsidRDefault="00744904" w:rsidP="0009397F">
      <w:pPr>
        <w:spacing w:before="80" w:after="60"/>
      </w:pPr>
    </w:p>
    <w:p w14:paraId="2B6AB626" w14:textId="77777777" w:rsidR="00744904" w:rsidRDefault="00000000" w:rsidP="0009397F">
      <w:pPr>
        <w:spacing w:before="140" w:after="80"/>
      </w:pPr>
      <w:r>
        <w:rPr>
          <w:rFonts w:ascii="Traditional Arabic" w:eastAsia="Traditional Arabic" w:hAnsi="Traditional Arabic" w:cs="Traditional Arabic"/>
          <w:b/>
          <w:bCs/>
          <w:color w:val="1A7A6E"/>
          <w:sz w:val="26"/>
          <w:szCs w:val="26"/>
        </w:rPr>
        <w:t>ب. مبدأ التحويل الطاقي (Energy Transformation Principle)</w:t>
      </w:r>
    </w:p>
    <w:p w14:paraId="37DAA526" w14:textId="77777777" w:rsidR="00744904" w:rsidRDefault="00000000" w:rsidP="0009397F">
      <w:pPr>
        <w:spacing w:before="40" w:after="80"/>
      </w:pPr>
      <w:r>
        <w:rPr>
          <w:rFonts w:ascii="Traditional Arabic" w:eastAsia="Traditional Arabic" w:hAnsi="Traditional Arabic" w:cs="Traditional Arabic"/>
          <w:color w:val="1A1A1A"/>
          <w:sz w:val="24"/>
          <w:szCs w:val="24"/>
        </w:rPr>
        <w:t>يُفترض في هذا النموذج أن الطاقة النفسية المرتبطة بالذنب (ندم، حزن، خوف، شعور بالعجز) لا يمكن إلغاؤها أو كبتها دون ثمن، بل يمكن – بل ينبغي – توجيهها نحو غاية بناءة. يستعير هذا المبدأ تشبيهاً من قانون حفظ الطاقة في الفيزياء (الطاقة لا تفنى ولا تستحدث من عدم، بل تتحول من صورة إلى أخرى). في السياق العلاجي، تتحول طاقة الندم المَرَضي إلى دافع للعطاء والإحسان.</w:t>
      </w:r>
    </w:p>
    <w:p w14:paraId="59FE785F" w14:textId="77777777" w:rsidR="00744904" w:rsidRDefault="00000000" w:rsidP="0009397F">
      <w:pPr>
        <w:spacing w:before="20" w:after="80"/>
        <w:ind w:left="200" w:right="200"/>
      </w:pPr>
      <w:r>
        <w:rPr>
          <w:rFonts w:ascii="Traditional Arabic" w:eastAsia="Traditional Arabic" w:hAnsi="Traditional Arabic" w:cs="Traditional Arabic"/>
          <w:i/>
          <w:iCs/>
          <w:color w:val="1A7A6E"/>
          <w:sz w:val="22"/>
          <w:szCs w:val="22"/>
        </w:rPr>
        <w:t>(الزراع، 2023، ص 1064)</w:t>
      </w:r>
    </w:p>
    <w:p w14:paraId="125CBEFD" w14:textId="77777777" w:rsidR="00744904" w:rsidRDefault="00744904" w:rsidP="0009397F">
      <w:pPr>
        <w:spacing w:before="80" w:after="60"/>
      </w:pPr>
    </w:p>
    <w:p w14:paraId="0B17A7A9" w14:textId="77777777" w:rsidR="00744904" w:rsidRDefault="00000000" w:rsidP="0009397F">
      <w:pPr>
        <w:spacing w:before="140" w:after="80"/>
      </w:pPr>
      <w:r>
        <w:rPr>
          <w:rFonts w:ascii="Traditional Arabic" w:eastAsia="Traditional Arabic" w:hAnsi="Traditional Arabic" w:cs="Traditional Arabic"/>
          <w:b/>
          <w:bCs/>
          <w:color w:val="1A7A6E"/>
          <w:sz w:val="26"/>
          <w:szCs w:val="26"/>
        </w:rPr>
        <w:t>ج. مبدأ التدرج التكاملي (Integrative Gradualism)</w:t>
      </w:r>
    </w:p>
    <w:p w14:paraId="2587B744" w14:textId="77777777" w:rsidR="00744904" w:rsidRDefault="00000000" w:rsidP="0009397F">
      <w:pPr>
        <w:spacing w:before="40" w:after="80"/>
      </w:pPr>
      <w:r>
        <w:rPr>
          <w:rFonts w:ascii="Traditional Arabic" w:eastAsia="Traditional Arabic" w:hAnsi="Traditional Arabic" w:cs="Traditional Arabic"/>
          <w:color w:val="1A1A1A"/>
          <w:sz w:val="24"/>
          <w:szCs w:val="24"/>
        </w:rPr>
        <w:t>رغم تداخل المراحل الخمس وتشابكها، إلا أن ثمّة تقدماً طبيعياً يمكن رصده من:</w:t>
      </w:r>
    </w:p>
    <w:p w14:paraId="628E805F" w14:textId="77777777" w:rsidR="00744904" w:rsidRDefault="00000000" w:rsidP="0009397F">
      <w:pPr>
        <w:pStyle w:val="a4"/>
        <w:numPr>
          <w:ilvl w:val="0"/>
          <w:numId w:val="3"/>
        </w:numPr>
        <w:spacing w:before="40" w:after="60"/>
      </w:pPr>
      <w:r>
        <w:rPr>
          <w:rFonts w:ascii="Traditional Arabic" w:eastAsia="Traditional Arabic" w:hAnsi="Traditional Arabic" w:cs="Traditional Arabic"/>
          <w:color w:val="1A1A1A"/>
          <w:sz w:val="24"/>
          <w:szCs w:val="24"/>
        </w:rPr>
        <w:t>الانشغال بالماضي (المرحلتان الأولى والثانية: تفكيك العقدة وإعادة بناء صورة الله)</w:t>
      </w:r>
    </w:p>
    <w:p w14:paraId="0FDFA018" w14:textId="77777777" w:rsidR="00744904" w:rsidRDefault="00000000" w:rsidP="0009397F">
      <w:pPr>
        <w:pStyle w:val="a4"/>
        <w:numPr>
          <w:ilvl w:val="0"/>
          <w:numId w:val="3"/>
        </w:numPr>
        <w:spacing w:before="40" w:after="60"/>
      </w:pPr>
      <w:r>
        <w:rPr>
          <w:rFonts w:ascii="Traditional Arabic" w:eastAsia="Traditional Arabic" w:hAnsi="Traditional Arabic" w:cs="Traditional Arabic"/>
          <w:color w:val="1A1A1A"/>
          <w:sz w:val="24"/>
          <w:szCs w:val="24"/>
        </w:rPr>
        <w:t>إلى التركيز على الحاضر (المرحلة الثالثة: التحويل الطاقي والجسر السلوكي)</w:t>
      </w:r>
    </w:p>
    <w:p w14:paraId="110D7B8F" w14:textId="77777777" w:rsidR="00744904" w:rsidRDefault="00000000" w:rsidP="0009397F">
      <w:pPr>
        <w:pStyle w:val="a4"/>
        <w:numPr>
          <w:ilvl w:val="0"/>
          <w:numId w:val="3"/>
        </w:numPr>
        <w:spacing w:before="40" w:after="60"/>
      </w:pPr>
      <w:r>
        <w:rPr>
          <w:rFonts w:ascii="Traditional Arabic" w:eastAsia="Traditional Arabic" w:hAnsi="Traditional Arabic" w:cs="Traditional Arabic"/>
          <w:color w:val="1A1A1A"/>
          <w:sz w:val="24"/>
          <w:szCs w:val="24"/>
        </w:rPr>
        <w:t>ثم بناء المستقبل (المرحلتان الرابعة والخامسة: إعادة كتابة السردية والاستدامة)</w:t>
      </w:r>
    </w:p>
    <w:p w14:paraId="4D49D153" w14:textId="77777777" w:rsidR="00744904" w:rsidRDefault="00000000" w:rsidP="0009397F">
      <w:pPr>
        <w:spacing w:before="20" w:after="80"/>
        <w:ind w:left="200" w:right="200"/>
      </w:pPr>
      <w:r>
        <w:rPr>
          <w:rFonts w:ascii="Traditional Arabic" w:eastAsia="Traditional Arabic" w:hAnsi="Traditional Arabic" w:cs="Traditional Arabic"/>
          <w:i/>
          <w:iCs/>
          <w:color w:val="1A7A6E"/>
          <w:sz w:val="22"/>
          <w:szCs w:val="22"/>
        </w:rPr>
        <w:t>(TLRT، 2026، الدليل النظري، ص 45)</w:t>
      </w:r>
    </w:p>
    <w:p w14:paraId="23F035B8" w14:textId="77777777" w:rsidR="00744904" w:rsidRDefault="00744904" w:rsidP="0009397F">
      <w:pPr>
        <w:spacing w:before="80" w:after="60"/>
      </w:pPr>
    </w:p>
    <w:p w14:paraId="5149A225" w14:textId="77777777" w:rsidR="00744904" w:rsidRDefault="00000000" w:rsidP="0009397F">
      <w:pPr>
        <w:spacing w:before="140" w:after="80"/>
      </w:pPr>
      <w:r>
        <w:rPr>
          <w:rFonts w:ascii="Traditional Arabic" w:eastAsia="Traditional Arabic" w:hAnsi="Traditional Arabic" w:cs="Traditional Arabic"/>
          <w:b/>
          <w:bCs/>
          <w:color w:val="1A7A6E"/>
          <w:sz w:val="26"/>
          <w:szCs w:val="26"/>
        </w:rPr>
        <w:t>د. مبدأ التعويض الحي (Living Compensation)</w:t>
      </w:r>
    </w:p>
    <w:p w14:paraId="10DE382A" w14:textId="77777777" w:rsidR="00744904" w:rsidRDefault="00000000" w:rsidP="0009397F">
      <w:pPr>
        <w:spacing w:before="40" w:after="80"/>
      </w:pPr>
      <w:r>
        <w:rPr>
          <w:rFonts w:ascii="Traditional Arabic" w:eastAsia="Traditional Arabic" w:hAnsi="Traditional Arabic" w:cs="Traditional Arabic"/>
          <w:color w:val="1A1A1A"/>
          <w:sz w:val="24"/>
          <w:szCs w:val="24"/>
        </w:rPr>
        <w:t>التعويض الحقيقي في هذا النموذج لا يختزل في اعتذار لفظي عابر، ولا في شعور بالندم غير المترجم إلى فعل، بل هو فعل مستمر في الزمن الحاضر يعكس القيم الجديدة ويكرّس التحول. هذا المبدأ هو ما يفصل هذا النموذج عن مفهوم "التوبة" التقليدي (في بعض صياغاته) أو "التعويض القانوني" الجاف. فالتعويض الحي هو فعل إحساني متجدد يرتبط رمزياً بالذنب الأصلي ويستمر في الزمن.</w:t>
      </w:r>
    </w:p>
    <w:p w14:paraId="381D6B1D" w14:textId="77777777" w:rsidR="00744904" w:rsidRDefault="00000000" w:rsidP="0009397F">
      <w:pPr>
        <w:spacing w:before="20" w:after="80"/>
        <w:ind w:left="200" w:right="200"/>
      </w:pPr>
      <w:r>
        <w:rPr>
          <w:rFonts w:ascii="Traditional Arabic" w:eastAsia="Traditional Arabic" w:hAnsi="Traditional Arabic" w:cs="Traditional Arabic"/>
          <w:i/>
          <w:iCs/>
          <w:color w:val="1A7A6E"/>
          <w:sz w:val="22"/>
          <w:szCs w:val="22"/>
        </w:rPr>
        <w:t>(الزراع، 2023، ص 906)</w:t>
      </w:r>
    </w:p>
    <w:p w14:paraId="5BA318CA" w14:textId="77777777" w:rsidR="00744904" w:rsidRDefault="00000000" w:rsidP="0009397F">
      <w:pPr>
        <w:pageBreakBefore/>
        <w:pBdr>
          <w:bottom w:val="single" w:sz="12" w:space="4" w:color="B8860B"/>
        </w:pBdr>
        <w:spacing w:before="240" w:after="160"/>
      </w:pPr>
      <w:r>
        <w:rPr>
          <w:rFonts w:ascii="Traditional Arabic" w:eastAsia="Traditional Arabic" w:hAnsi="Traditional Arabic" w:cs="Traditional Arabic"/>
          <w:b/>
          <w:bCs/>
          <w:color w:val="1B3A5C"/>
          <w:sz w:val="36"/>
          <w:szCs w:val="36"/>
        </w:rPr>
        <w:t>1.3  الأساس النظري للنموذج: ثلاث ركائز متكاملة</w:t>
      </w:r>
    </w:p>
    <w:p w14:paraId="1AFAF4BF" w14:textId="77777777" w:rsidR="00744904" w:rsidRDefault="00000000" w:rsidP="0009397F">
      <w:pPr>
        <w:spacing w:before="40" w:after="80"/>
      </w:pPr>
      <w:r>
        <w:rPr>
          <w:rFonts w:ascii="Traditional Arabic" w:eastAsia="Traditional Arabic" w:hAnsi="Traditional Arabic" w:cs="Traditional Arabic"/>
          <w:color w:val="1A1A1A"/>
          <w:sz w:val="24"/>
          <w:szCs w:val="24"/>
        </w:rPr>
        <w:t>يستند النموذج إلى ثلاث ركائز نظرية كبرى، تم دمجها في إطار مفاهيمي متكامل أصيل:</w:t>
      </w:r>
    </w:p>
    <w:p w14:paraId="288C046D" w14:textId="77777777" w:rsidR="00744904" w:rsidRDefault="00744904" w:rsidP="0009397F">
      <w:pPr>
        <w:spacing w:before="60" w:after="60"/>
      </w:pPr>
    </w:p>
    <w:p w14:paraId="1E92968D" w14:textId="77777777" w:rsidR="00744904" w:rsidRDefault="00000000" w:rsidP="0009397F">
      <w:pPr>
        <w:spacing w:before="140" w:after="80"/>
      </w:pPr>
      <w:r>
        <w:rPr>
          <w:rFonts w:ascii="Traditional Arabic" w:eastAsia="Traditional Arabic" w:hAnsi="Traditional Arabic" w:cs="Traditional Arabic"/>
          <w:b/>
          <w:bCs/>
          <w:color w:val="1A7A6E"/>
          <w:sz w:val="26"/>
          <w:szCs w:val="26"/>
        </w:rPr>
        <w:t>أ. الركيزة التحليلية: تفكيك "الأنا الأعلى القاسي"</w:t>
      </w:r>
    </w:p>
    <w:p w14:paraId="78A6679A" w14:textId="77777777" w:rsidR="00744904" w:rsidRDefault="00000000" w:rsidP="0009397F">
      <w:pPr>
        <w:spacing w:before="40" w:after="80"/>
      </w:pPr>
      <w:r>
        <w:rPr>
          <w:rFonts w:ascii="Traditional Arabic" w:eastAsia="Traditional Arabic" w:hAnsi="Traditional Arabic" w:cs="Traditional Arabic"/>
          <w:color w:val="1A1A1A"/>
          <w:sz w:val="24"/>
          <w:szCs w:val="24"/>
        </w:rPr>
        <w:t>تستفيد هذه الركيزة من مفهوم "الأنا الأعلى" (Superego) في التحليل النفسي الفرويدي، لكنها تعيد قراءته في ضوء تمييز جوهري بين:</w:t>
      </w:r>
    </w:p>
    <w:p w14:paraId="22E16A9F" w14:textId="77777777" w:rsidR="00744904" w:rsidRDefault="00000000" w:rsidP="0009397F">
      <w:pPr>
        <w:pStyle w:val="a4"/>
        <w:numPr>
          <w:ilvl w:val="0"/>
          <w:numId w:val="3"/>
        </w:numPr>
        <w:spacing w:before="40" w:after="60"/>
      </w:pPr>
      <w:r>
        <w:rPr>
          <w:rFonts w:ascii="Traditional Arabic" w:eastAsia="Traditional Arabic" w:hAnsi="Traditional Arabic" w:cs="Traditional Arabic"/>
          <w:color w:val="1A1A1A"/>
          <w:sz w:val="24"/>
          <w:szCs w:val="24"/>
        </w:rPr>
        <w:t>صوت الضمير الإلهي الرحيم: الذي يوجه نحو الخير بلطف ويترك باب التوبة مفتوحاً.</w:t>
      </w:r>
    </w:p>
    <w:p w14:paraId="3CC409FD" w14:textId="77777777" w:rsidR="00744904" w:rsidRDefault="00000000" w:rsidP="0009397F">
      <w:pPr>
        <w:pStyle w:val="a4"/>
        <w:numPr>
          <w:ilvl w:val="0"/>
          <w:numId w:val="3"/>
        </w:numPr>
        <w:spacing w:before="40" w:after="60"/>
      </w:pPr>
      <w:r>
        <w:rPr>
          <w:rFonts w:ascii="Traditional Arabic" w:eastAsia="Traditional Arabic" w:hAnsi="Traditional Arabic" w:cs="Traditional Arabic"/>
          <w:color w:val="1A1A1A"/>
          <w:sz w:val="24"/>
          <w:szCs w:val="24"/>
        </w:rPr>
        <w:t>صوت المربي القاسي (الاستبطاني): الذي يُعذب النفس بديون وهمية ومعايير كمالية مستحيلة.</w:t>
      </w:r>
    </w:p>
    <w:p w14:paraId="47BFF98A" w14:textId="77777777" w:rsidR="00744904" w:rsidRDefault="00000000" w:rsidP="0009397F">
      <w:pPr>
        <w:spacing w:before="40" w:after="80"/>
      </w:pPr>
      <w:r>
        <w:rPr>
          <w:rFonts w:ascii="Traditional Arabic" w:eastAsia="Traditional Arabic" w:hAnsi="Traditional Arabic" w:cs="Traditional Arabic"/>
          <w:color w:val="1A1A1A"/>
          <w:sz w:val="24"/>
          <w:szCs w:val="24"/>
        </w:rPr>
        <w:t>الهدف من العلاج ليس "قتل الأنا الأعلى" – كما قد يُفهم في بعض القراءات الفرويدية – بل تحريره من تشوهاته الطفولية، وإعادة توجيهه نحو معايير ناضجة تقوم على التوازن بين العدل والرحمة.</w:t>
      </w:r>
    </w:p>
    <w:p w14:paraId="2AD4F9AD" w14:textId="77777777" w:rsidR="00744904" w:rsidRDefault="00000000" w:rsidP="0009397F">
      <w:pPr>
        <w:spacing w:before="20" w:after="80"/>
        <w:ind w:left="200" w:right="200"/>
      </w:pPr>
      <w:r>
        <w:rPr>
          <w:rFonts w:ascii="Traditional Arabic" w:eastAsia="Traditional Arabic" w:hAnsi="Traditional Arabic" w:cs="Traditional Arabic"/>
          <w:i/>
          <w:iCs/>
          <w:color w:val="1A7A6E"/>
          <w:sz w:val="22"/>
          <w:szCs w:val="22"/>
        </w:rPr>
        <w:t>(TLRT، 2026، الدليل النظري، ص 57)</w:t>
      </w:r>
    </w:p>
    <w:p w14:paraId="477B33D2" w14:textId="77777777" w:rsidR="00744904" w:rsidRDefault="00744904" w:rsidP="0009397F">
      <w:pPr>
        <w:spacing w:before="80" w:after="60"/>
      </w:pPr>
    </w:p>
    <w:p w14:paraId="5C7FCE30" w14:textId="77777777" w:rsidR="00744904" w:rsidRDefault="00000000" w:rsidP="0009397F">
      <w:pPr>
        <w:spacing w:before="140" w:after="80"/>
      </w:pPr>
      <w:r>
        <w:rPr>
          <w:rFonts w:ascii="Traditional Arabic" w:eastAsia="Traditional Arabic" w:hAnsi="Traditional Arabic" w:cs="Traditional Arabic"/>
          <w:b/>
          <w:bCs/>
          <w:color w:val="1A7A6E"/>
          <w:sz w:val="26"/>
          <w:szCs w:val="26"/>
        </w:rPr>
        <w:t>ب. الركيزة الوجودية: المعنى في المعاناة</w:t>
      </w:r>
    </w:p>
    <w:p w14:paraId="2E15EB8B" w14:textId="77777777" w:rsidR="00744904" w:rsidRDefault="00000000" w:rsidP="0009397F">
      <w:pPr>
        <w:spacing w:before="40" w:after="80"/>
      </w:pPr>
      <w:r>
        <w:rPr>
          <w:rFonts w:ascii="Traditional Arabic" w:eastAsia="Traditional Arabic" w:hAnsi="Traditional Arabic" w:cs="Traditional Arabic"/>
          <w:color w:val="1A1A1A"/>
          <w:sz w:val="24"/>
          <w:szCs w:val="24"/>
        </w:rPr>
        <w:t>تستند هذه الركيزة إلى رؤية فيكتور فرانكل (Viktor Frankl) القائلة إن الإنسان مدفوع أساساً بـ "إرادة المعنى" (Will to Meaning)، وأن المعاناة – ومنها عقدة الذنب – يمكن أن تتحول إلى مصدر للمعنى إذا ما استُخلصت منها رسالة أو قضية.</w:t>
      </w:r>
    </w:p>
    <w:p w14:paraId="19FA00C0" w14:textId="77777777" w:rsidR="00744904" w:rsidRDefault="00000000" w:rsidP="0009397F">
      <w:pPr>
        <w:spacing w:before="20" w:after="80"/>
        <w:ind w:left="200" w:right="200"/>
      </w:pPr>
      <w:r>
        <w:rPr>
          <w:rFonts w:ascii="Traditional Arabic" w:eastAsia="Traditional Arabic" w:hAnsi="Traditional Arabic" w:cs="Traditional Arabic"/>
          <w:i/>
          <w:iCs/>
          <w:color w:val="1A7A6E"/>
          <w:sz w:val="22"/>
          <w:szCs w:val="22"/>
        </w:rPr>
        <w:t>(Frankl, 1946, p. 98-102)</w:t>
      </w:r>
    </w:p>
    <w:p w14:paraId="26FB83A5" w14:textId="77777777" w:rsidR="00744904" w:rsidRDefault="00000000" w:rsidP="0009397F">
      <w:pPr>
        <w:spacing w:before="40" w:after="80"/>
      </w:pPr>
      <w:r>
        <w:rPr>
          <w:rFonts w:ascii="Traditional Arabic" w:eastAsia="Traditional Arabic" w:hAnsi="Traditional Arabic" w:cs="Traditional Arabic"/>
          <w:color w:val="1A1A1A"/>
          <w:sz w:val="24"/>
          <w:szCs w:val="24"/>
        </w:rPr>
        <w:t>غير أن النموذج الحالي يضيف إلى رؤية فرانكل أن المعنى لا يتحقق بالتفكر والتأمل وحدهما، بل لا بد من ترجمته إلى فعل إحساني ملموس (الجسر السلوكي). فالمعنى دون فعل يظل مجرد فكرة جوفاء.</w:t>
      </w:r>
    </w:p>
    <w:p w14:paraId="19F605C5" w14:textId="77777777" w:rsidR="00744904" w:rsidRDefault="00000000" w:rsidP="0009397F">
      <w:pPr>
        <w:spacing w:before="20" w:after="80"/>
        <w:ind w:left="200" w:right="200"/>
      </w:pPr>
      <w:r>
        <w:rPr>
          <w:rFonts w:ascii="Traditional Arabic" w:eastAsia="Traditional Arabic" w:hAnsi="Traditional Arabic" w:cs="Traditional Arabic"/>
          <w:i/>
          <w:iCs/>
          <w:color w:val="1A7A6E"/>
          <w:sz w:val="22"/>
          <w:szCs w:val="22"/>
        </w:rPr>
        <w:t>(الزراع، 2023، ص 1102)</w:t>
      </w:r>
    </w:p>
    <w:p w14:paraId="0E480C38" w14:textId="77777777" w:rsidR="00744904" w:rsidRDefault="00744904" w:rsidP="0009397F">
      <w:pPr>
        <w:spacing w:before="80" w:after="60"/>
      </w:pPr>
    </w:p>
    <w:p w14:paraId="7D0975EA" w14:textId="77777777" w:rsidR="00744904" w:rsidRDefault="00000000" w:rsidP="0009397F">
      <w:pPr>
        <w:spacing w:before="140" w:after="80"/>
      </w:pPr>
      <w:r>
        <w:rPr>
          <w:rFonts w:ascii="Traditional Arabic" w:eastAsia="Traditional Arabic" w:hAnsi="Traditional Arabic" w:cs="Traditional Arabic"/>
          <w:b/>
          <w:bCs/>
          <w:color w:val="1A7A6E"/>
          <w:sz w:val="26"/>
          <w:szCs w:val="26"/>
        </w:rPr>
        <w:t>ج. الركيزة الإسلامية: التزكية ومراتب النفس</w:t>
      </w:r>
    </w:p>
    <w:p w14:paraId="6EFD8D56" w14:textId="77777777" w:rsidR="00744904" w:rsidRDefault="00000000" w:rsidP="0009397F">
      <w:pPr>
        <w:spacing w:before="40" w:after="80"/>
      </w:pPr>
      <w:r>
        <w:rPr>
          <w:rFonts w:ascii="Traditional Arabic" w:eastAsia="Traditional Arabic" w:hAnsi="Traditional Arabic" w:cs="Traditional Arabic"/>
          <w:color w:val="1A1A1A"/>
          <w:sz w:val="24"/>
          <w:szCs w:val="24"/>
        </w:rPr>
        <w:t>تُؤصّل النظرية مفاهيمها في القرآن الكريم والسنة النبوية، وتستند إلى تراث علماء التزكية (كالمحاسبي، والغزالي، وابن القيم). وتبرز منها المفاهيم التالية:</w:t>
      </w:r>
    </w:p>
    <w:p w14:paraId="10241BB3" w14:textId="77777777" w:rsidR="00744904" w:rsidRDefault="00000000" w:rsidP="0009397F">
      <w:pPr>
        <w:pStyle w:val="a4"/>
        <w:numPr>
          <w:ilvl w:val="0"/>
          <w:numId w:val="3"/>
        </w:numPr>
        <w:spacing w:before="40" w:after="60"/>
      </w:pPr>
      <w:r>
        <w:rPr>
          <w:rFonts w:ascii="Traditional Arabic" w:eastAsia="Traditional Arabic" w:hAnsi="Traditional Arabic" w:cs="Traditional Arabic"/>
          <w:color w:val="1A1A1A"/>
          <w:sz w:val="24"/>
          <w:szCs w:val="24"/>
        </w:rPr>
        <w:t>النفس اللوامة: بوصفها المرحلة الانتقالية المحورية بين النفس الأمارة بالسوء والنفس المطمئنة. فهي النفس التي تلوم صاحبها على الخطأ؛ فإن ظلت تلوم دون أن تهتدِ إلى طريق التوبة والتحول، تحولت إلى عقدة ذنب مرضية، وإن اهتدت، كانت دافعاً للنمو والارتقاء.</w:t>
      </w:r>
    </w:p>
    <w:p w14:paraId="54475474" w14:textId="77777777" w:rsidR="00744904" w:rsidRDefault="00000000" w:rsidP="0009397F">
      <w:pPr>
        <w:pStyle w:val="a4"/>
        <w:numPr>
          <w:ilvl w:val="0"/>
          <w:numId w:val="3"/>
        </w:numPr>
        <w:spacing w:before="40" w:after="60"/>
      </w:pPr>
      <w:r>
        <w:rPr>
          <w:rFonts w:ascii="Traditional Arabic" w:eastAsia="Traditional Arabic" w:hAnsi="Traditional Arabic" w:cs="Traditional Arabic"/>
          <w:color w:val="1A1A1A"/>
          <w:sz w:val="24"/>
          <w:szCs w:val="24"/>
        </w:rPr>
        <w:t>التوبة: عملية نفسية-روحية متكاملة تشمل: الإقلاع عن الذنب، الندم على ما فات، العزم على عدم العودة، ورد المظالم إلى أهلها.</w:t>
      </w:r>
    </w:p>
    <w:p w14:paraId="4F7FC958" w14:textId="77777777" w:rsidR="00744904" w:rsidRDefault="00000000" w:rsidP="0009397F">
      <w:pPr>
        <w:pStyle w:val="a4"/>
        <w:numPr>
          <w:ilvl w:val="0"/>
          <w:numId w:val="3"/>
        </w:numPr>
        <w:spacing w:before="40" w:after="60"/>
      </w:pPr>
      <w:r>
        <w:rPr>
          <w:rFonts w:ascii="Traditional Arabic" w:eastAsia="Traditional Arabic" w:hAnsi="Traditional Arabic" w:cs="Traditional Arabic"/>
          <w:color w:val="1A1A1A"/>
          <w:sz w:val="24"/>
          <w:szCs w:val="24"/>
        </w:rPr>
        <w:t>الإحسان: غاية وجودية ("أن تعبد الله كأنك تراه")، ويُوسَّع مفهومه في هذا النموذج ليشمل "تحويل الذنب إلى نفع للغير" كصورة من صور الإحسان.</w:t>
      </w:r>
    </w:p>
    <w:p w14:paraId="745C21B0" w14:textId="77777777" w:rsidR="00744904" w:rsidRDefault="00000000" w:rsidP="0009397F">
      <w:pPr>
        <w:pStyle w:val="a4"/>
        <w:numPr>
          <w:ilvl w:val="0"/>
          <w:numId w:val="3"/>
        </w:numPr>
        <w:spacing w:before="40" w:after="60"/>
      </w:pPr>
      <w:r>
        <w:rPr>
          <w:rFonts w:ascii="Traditional Arabic" w:eastAsia="Traditional Arabic" w:hAnsi="Traditional Arabic" w:cs="Traditional Arabic"/>
          <w:color w:val="1A1A1A"/>
          <w:sz w:val="24"/>
          <w:szCs w:val="24"/>
        </w:rPr>
        <w:t>الأسماء الحسنى: توظف صفات الله (خاصة الرحيم، الغفور، التواب، الودود) كأدوات علاجية لإعادة بناء صورة الله في النفس بعد أن تكون مشوهة بتجارب الطفولة القاسية.</w:t>
      </w:r>
    </w:p>
    <w:p w14:paraId="0D854C49" w14:textId="77777777" w:rsidR="00744904" w:rsidRDefault="00000000" w:rsidP="0009397F">
      <w:pPr>
        <w:spacing w:before="20" w:after="80"/>
        <w:ind w:left="200" w:right="200"/>
      </w:pPr>
      <w:r>
        <w:rPr>
          <w:rFonts w:ascii="Traditional Arabic" w:eastAsia="Traditional Arabic" w:hAnsi="Traditional Arabic" w:cs="Traditional Arabic"/>
          <w:i/>
          <w:iCs/>
          <w:color w:val="1A7A6E"/>
          <w:sz w:val="22"/>
          <w:szCs w:val="22"/>
        </w:rPr>
        <w:t>(TLRT، 2026، الدليل النظري، ص 67-95)</w:t>
      </w:r>
    </w:p>
    <w:p w14:paraId="4DCC3CD9" w14:textId="77777777" w:rsidR="00744904" w:rsidRDefault="00000000" w:rsidP="0009397F">
      <w:pPr>
        <w:pageBreakBefore/>
        <w:pBdr>
          <w:bottom w:val="single" w:sz="12" w:space="4" w:color="B8860B"/>
        </w:pBdr>
        <w:spacing w:before="240" w:after="160"/>
      </w:pPr>
      <w:r>
        <w:rPr>
          <w:rFonts w:ascii="Traditional Arabic" w:eastAsia="Traditional Arabic" w:hAnsi="Traditional Arabic" w:cs="Traditional Arabic"/>
          <w:b/>
          <w:bCs/>
          <w:color w:val="1B3A5C"/>
          <w:sz w:val="36"/>
          <w:szCs w:val="36"/>
        </w:rPr>
        <w:t>1.4  المصطلحات الأساسية في النموذج</w:t>
      </w:r>
    </w:p>
    <w:p w14:paraId="2F4730BE" w14:textId="77777777" w:rsidR="00744904" w:rsidRDefault="00000000" w:rsidP="0009397F">
      <w:pPr>
        <w:spacing w:before="140" w:after="80"/>
      </w:pPr>
      <w:r>
        <w:rPr>
          <w:rFonts w:ascii="Traditional Arabic" w:eastAsia="Traditional Arabic" w:hAnsi="Traditional Arabic" w:cs="Traditional Arabic"/>
          <w:b/>
          <w:bCs/>
          <w:color w:val="1A7A6E"/>
          <w:sz w:val="26"/>
          <w:szCs w:val="26"/>
        </w:rPr>
        <w:t>أ. حرث المصالحة (Reconciliatory Tilling)</w:t>
      </w:r>
    </w:p>
    <w:p w14:paraId="5925AFAE" w14:textId="77777777" w:rsidR="00744904" w:rsidRDefault="00000000" w:rsidP="0009397F">
      <w:pPr>
        <w:spacing w:before="40" w:after="80"/>
      </w:pPr>
      <w:r>
        <w:rPr>
          <w:rFonts w:ascii="Traditional Arabic" w:eastAsia="Traditional Arabic" w:hAnsi="Traditional Arabic" w:cs="Traditional Arabic"/>
          <w:color w:val="1A1A1A"/>
          <w:sz w:val="24"/>
          <w:szCs w:val="24"/>
        </w:rPr>
        <w:t>يشير هذا المصطلح إلى العملية العلاجية العميقة التي تشمل تفكيك الأنا الأعلى القاسي، وتهيئة "الأرض النفسية" لقبول بذرة جديدة. "الحرث" هنا استعارة للجهد العلاجي الأولي الذي يفتت "الصخور" (العقد النفسية) ويقلب "التربة" (اللاوعي والذاكرة العاطفية) لإعدادها للإنبات والنمو.</w:t>
      </w:r>
    </w:p>
    <w:p w14:paraId="15D18B11" w14:textId="77777777" w:rsidR="00744904" w:rsidRDefault="00000000" w:rsidP="0009397F">
      <w:pPr>
        <w:spacing w:before="20" w:after="80"/>
        <w:ind w:left="200" w:right="200"/>
      </w:pPr>
      <w:r>
        <w:rPr>
          <w:rFonts w:ascii="Traditional Arabic" w:eastAsia="Traditional Arabic" w:hAnsi="Traditional Arabic" w:cs="Traditional Arabic"/>
          <w:i/>
          <w:iCs/>
          <w:color w:val="1A7A6E"/>
          <w:sz w:val="22"/>
          <w:szCs w:val="22"/>
        </w:rPr>
        <w:t>(الزراع، 2023، ص 905)</w:t>
      </w:r>
    </w:p>
    <w:p w14:paraId="22D0D163" w14:textId="77777777" w:rsidR="00744904" w:rsidRDefault="00744904" w:rsidP="0009397F">
      <w:pPr>
        <w:spacing w:before="80" w:after="60"/>
      </w:pPr>
    </w:p>
    <w:p w14:paraId="3FFD7E02" w14:textId="77777777" w:rsidR="00744904" w:rsidRDefault="00000000" w:rsidP="0009397F">
      <w:pPr>
        <w:spacing w:before="140" w:after="80"/>
      </w:pPr>
      <w:r>
        <w:rPr>
          <w:rFonts w:ascii="Traditional Arabic" w:eastAsia="Traditional Arabic" w:hAnsi="Traditional Arabic" w:cs="Traditional Arabic"/>
          <w:b/>
          <w:bCs/>
          <w:color w:val="1A7A6E"/>
          <w:sz w:val="26"/>
          <w:szCs w:val="26"/>
        </w:rPr>
        <w:t>ب. خريطة الدين النفسي (Psychological Debt Map)</w:t>
      </w:r>
    </w:p>
    <w:p w14:paraId="7AD7F1A8" w14:textId="77777777" w:rsidR="00744904" w:rsidRDefault="00000000" w:rsidP="0009397F">
      <w:pPr>
        <w:spacing w:before="40" w:after="80"/>
      </w:pPr>
      <w:r>
        <w:rPr>
          <w:rFonts w:ascii="Traditional Arabic" w:eastAsia="Traditional Arabic" w:hAnsi="Traditional Arabic" w:cs="Traditional Arabic"/>
          <w:color w:val="1A1A1A"/>
          <w:sz w:val="24"/>
          <w:szCs w:val="24"/>
        </w:rPr>
        <w:t>أداة تشخيصية تميز بين نوعين من "الديون" التي يشعر الفرد بأنه مدين بها:</w:t>
      </w:r>
    </w:p>
    <w:p w14:paraId="495EBF8E" w14:textId="77777777" w:rsidR="00744904" w:rsidRDefault="00744904" w:rsidP="0009397F">
      <w:pPr>
        <w:spacing w:before="6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2600"/>
        <w:gridCol w:w="2500"/>
        <w:gridCol w:w="2126"/>
      </w:tblGrid>
      <w:tr w:rsidR="00744904" w14:paraId="3FF6FCE9" w14:textId="77777777">
        <w:tblPrEx>
          <w:tblCellMar>
            <w:top w:w="0" w:type="dxa"/>
            <w:bottom w:w="0" w:type="dxa"/>
          </w:tblCellMar>
        </w:tblPrEx>
        <w:tc>
          <w:tcPr>
            <w:tcW w:w="1800" w:type="dxa"/>
            <w:tcBorders>
              <w:top w:val="single" w:sz="4" w:space="0" w:color="B0C4DE"/>
              <w:left w:val="single" w:sz="4" w:space="0" w:color="B0C4DE"/>
              <w:bottom w:val="single" w:sz="4" w:space="0" w:color="B0C4DE"/>
              <w:right w:val="single" w:sz="4" w:space="0" w:color="B0C4DE"/>
            </w:tcBorders>
            <w:shd w:val="clear" w:color="auto" w:fill="1B3A5C"/>
            <w:tcMar>
              <w:top w:w="80" w:type="dxa"/>
              <w:left w:w="140" w:type="dxa"/>
              <w:bottom w:w="80" w:type="dxa"/>
              <w:right w:w="140" w:type="dxa"/>
            </w:tcMar>
            <w:vAlign w:val="center"/>
          </w:tcPr>
          <w:p w14:paraId="52E77849" w14:textId="77777777" w:rsidR="00744904" w:rsidRDefault="00000000" w:rsidP="0009397F">
            <w:r>
              <w:rPr>
                <w:rFonts w:ascii="Traditional Arabic" w:eastAsia="Traditional Arabic" w:hAnsi="Traditional Arabic" w:cs="Traditional Arabic"/>
                <w:b/>
                <w:bCs/>
                <w:color w:val="FFFFFF"/>
                <w:sz w:val="22"/>
                <w:szCs w:val="22"/>
              </w:rPr>
              <w:t>نوع الدين</w:t>
            </w:r>
          </w:p>
        </w:tc>
        <w:tc>
          <w:tcPr>
            <w:tcW w:w="2600" w:type="dxa"/>
            <w:tcBorders>
              <w:top w:val="single" w:sz="4" w:space="0" w:color="B0C4DE"/>
              <w:left w:val="single" w:sz="4" w:space="0" w:color="B0C4DE"/>
              <w:bottom w:val="single" w:sz="4" w:space="0" w:color="B0C4DE"/>
              <w:right w:val="single" w:sz="4" w:space="0" w:color="B0C4DE"/>
            </w:tcBorders>
            <w:shd w:val="clear" w:color="auto" w:fill="1B3A5C"/>
            <w:tcMar>
              <w:top w:w="80" w:type="dxa"/>
              <w:left w:w="140" w:type="dxa"/>
              <w:bottom w:w="80" w:type="dxa"/>
              <w:right w:w="140" w:type="dxa"/>
            </w:tcMar>
            <w:vAlign w:val="center"/>
          </w:tcPr>
          <w:p w14:paraId="14FE7039" w14:textId="77777777" w:rsidR="00744904" w:rsidRDefault="00000000" w:rsidP="0009397F">
            <w:r>
              <w:rPr>
                <w:rFonts w:ascii="Traditional Arabic" w:eastAsia="Traditional Arabic" w:hAnsi="Traditional Arabic" w:cs="Traditional Arabic"/>
                <w:b/>
                <w:bCs/>
                <w:color w:val="FFFFFF"/>
                <w:sz w:val="22"/>
                <w:szCs w:val="22"/>
              </w:rPr>
              <w:t>التعريف</w:t>
            </w:r>
          </w:p>
        </w:tc>
        <w:tc>
          <w:tcPr>
            <w:tcW w:w="2500" w:type="dxa"/>
            <w:tcBorders>
              <w:top w:val="single" w:sz="4" w:space="0" w:color="B0C4DE"/>
              <w:left w:val="single" w:sz="4" w:space="0" w:color="B0C4DE"/>
              <w:bottom w:val="single" w:sz="4" w:space="0" w:color="B0C4DE"/>
              <w:right w:val="single" w:sz="4" w:space="0" w:color="B0C4DE"/>
            </w:tcBorders>
            <w:shd w:val="clear" w:color="auto" w:fill="1B3A5C"/>
            <w:tcMar>
              <w:top w:w="80" w:type="dxa"/>
              <w:left w:w="140" w:type="dxa"/>
              <w:bottom w:w="80" w:type="dxa"/>
              <w:right w:w="140" w:type="dxa"/>
            </w:tcMar>
            <w:vAlign w:val="center"/>
          </w:tcPr>
          <w:p w14:paraId="0023FD2C" w14:textId="77777777" w:rsidR="00744904" w:rsidRDefault="00000000" w:rsidP="0009397F">
            <w:r>
              <w:rPr>
                <w:rFonts w:ascii="Traditional Arabic" w:eastAsia="Traditional Arabic" w:hAnsi="Traditional Arabic" w:cs="Traditional Arabic"/>
                <w:b/>
                <w:bCs/>
                <w:color w:val="FFFFFF"/>
                <w:sz w:val="22"/>
                <w:szCs w:val="22"/>
              </w:rPr>
              <w:t>مصدره</w:t>
            </w:r>
          </w:p>
        </w:tc>
        <w:tc>
          <w:tcPr>
            <w:tcW w:w="2126" w:type="dxa"/>
            <w:tcBorders>
              <w:top w:val="single" w:sz="4" w:space="0" w:color="B0C4DE"/>
              <w:left w:val="single" w:sz="4" w:space="0" w:color="B0C4DE"/>
              <w:bottom w:val="single" w:sz="4" w:space="0" w:color="B0C4DE"/>
              <w:right w:val="single" w:sz="4" w:space="0" w:color="B0C4DE"/>
            </w:tcBorders>
            <w:shd w:val="clear" w:color="auto" w:fill="1B3A5C"/>
            <w:tcMar>
              <w:top w:w="80" w:type="dxa"/>
              <w:left w:w="140" w:type="dxa"/>
              <w:bottom w:w="80" w:type="dxa"/>
              <w:right w:w="140" w:type="dxa"/>
            </w:tcMar>
            <w:vAlign w:val="center"/>
          </w:tcPr>
          <w:p w14:paraId="7FB438E1" w14:textId="77777777" w:rsidR="00744904" w:rsidRDefault="00000000" w:rsidP="0009397F">
            <w:r>
              <w:rPr>
                <w:rFonts w:ascii="Traditional Arabic" w:eastAsia="Traditional Arabic" w:hAnsi="Traditional Arabic" w:cs="Traditional Arabic"/>
                <w:b/>
                <w:bCs/>
                <w:color w:val="FFFFFF"/>
                <w:sz w:val="22"/>
                <w:szCs w:val="22"/>
              </w:rPr>
              <w:t>العلاج المناسب</w:t>
            </w:r>
          </w:p>
        </w:tc>
      </w:tr>
      <w:tr w:rsidR="00744904" w14:paraId="29DC3C83" w14:textId="77777777">
        <w:tblPrEx>
          <w:tblCellMar>
            <w:top w:w="0" w:type="dxa"/>
            <w:bottom w:w="0" w:type="dxa"/>
          </w:tblCellMar>
        </w:tblPrEx>
        <w:tc>
          <w:tcPr>
            <w:tcW w:w="18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40" w:type="dxa"/>
              <w:bottom w:w="80" w:type="dxa"/>
              <w:right w:w="140" w:type="dxa"/>
            </w:tcMar>
            <w:vAlign w:val="center"/>
          </w:tcPr>
          <w:p w14:paraId="01515163" w14:textId="77777777" w:rsidR="00744904" w:rsidRDefault="00000000" w:rsidP="0009397F">
            <w:r>
              <w:rPr>
                <w:rFonts w:ascii="Traditional Arabic" w:eastAsia="Traditional Arabic" w:hAnsi="Traditional Arabic" w:cs="Traditional Arabic"/>
                <w:color w:val="1A1A1A"/>
                <w:sz w:val="22"/>
                <w:szCs w:val="22"/>
              </w:rPr>
              <w:t>دين حقيقي</w:t>
            </w:r>
          </w:p>
        </w:tc>
        <w:tc>
          <w:tcPr>
            <w:tcW w:w="26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40" w:type="dxa"/>
              <w:bottom w:w="80" w:type="dxa"/>
              <w:right w:w="140" w:type="dxa"/>
            </w:tcMar>
            <w:vAlign w:val="center"/>
          </w:tcPr>
          <w:p w14:paraId="27ABF52B" w14:textId="77777777" w:rsidR="00744904" w:rsidRDefault="00000000" w:rsidP="0009397F">
            <w:r>
              <w:rPr>
                <w:rFonts w:ascii="Traditional Arabic" w:eastAsia="Traditional Arabic" w:hAnsi="Traditional Arabic" w:cs="Traditional Arabic"/>
                <w:color w:val="1A1A1A"/>
                <w:sz w:val="22"/>
                <w:szCs w:val="22"/>
              </w:rPr>
              <w:t>أفعال ملموسة يمكن التعويض عنها</w:t>
            </w:r>
          </w:p>
        </w:tc>
        <w:tc>
          <w:tcPr>
            <w:tcW w:w="25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40" w:type="dxa"/>
              <w:bottom w:w="80" w:type="dxa"/>
              <w:right w:w="140" w:type="dxa"/>
            </w:tcMar>
            <w:vAlign w:val="center"/>
          </w:tcPr>
          <w:p w14:paraId="0AE940ED" w14:textId="77777777" w:rsidR="00744904" w:rsidRDefault="00000000" w:rsidP="0009397F">
            <w:r>
              <w:rPr>
                <w:rFonts w:ascii="Traditional Arabic" w:eastAsia="Traditional Arabic" w:hAnsi="Traditional Arabic" w:cs="Traditional Arabic"/>
                <w:color w:val="1A1A1A"/>
                <w:sz w:val="22"/>
                <w:szCs w:val="22"/>
              </w:rPr>
              <w:t>خطأ حقيقي ارتكبه الفرد</w:t>
            </w:r>
          </w:p>
        </w:tc>
        <w:tc>
          <w:tcPr>
            <w:tcW w:w="212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40" w:type="dxa"/>
              <w:bottom w:w="80" w:type="dxa"/>
              <w:right w:w="140" w:type="dxa"/>
            </w:tcMar>
            <w:vAlign w:val="center"/>
          </w:tcPr>
          <w:p w14:paraId="316C7BF5" w14:textId="77777777" w:rsidR="00744904" w:rsidRDefault="00000000" w:rsidP="0009397F">
            <w:r>
              <w:rPr>
                <w:rFonts w:ascii="Traditional Arabic" w:eastAsia="Traditional Arabic" w:hAnsi="Traditional Arabic" w:cs="Traditional Arabic"/>
                <w:color w:val="1A1A1A"/>
                <w:sz w:val="22"/>
                <w:szCs w:val="22"/>
              </w:rPr>
              <w:t>توبة + تعويض + جسر سلوكي</w:t>
            </w:r>
          </w:p>
        </w:tc>
      </w:tr>
      <w:tr w:rsidR="00744904" w14:paraId="05E56AEB" w14:textId="77777777">
        <w:tblPrEx>
          <w:tblCellMar>
            <w:top w:w="0" w:type="dxa"/>
            <w:bottom w:w="0" w:type="dxa"/>
          </w:tblCellMar>
        </w:tblPrEx>
        <w:tc>
          <w:tcPr>
            <w:tcW w:w="1800" w:type="dxa"/>
            <w:tcBorders>
              <w:top w:val="single" w:sz="4" w:space="0" w:color="B0C4DE"/>
              <w:left w:val="single" w:sz="4" w:space="0" w:color="B0C4DE"/>
              <w:bottom w:val="single" w:sz="4" w:space="0" w:color="B0C4DE"/>
              <w:right w:val="single" w:sz="4" w:space="0" w:color="B0C4DE"/>
            </w:tcBorders>
            <w:shd w:val="clear" w:color="auto" w:fill="E8EFF7"/>
            <w:tcMar>
              <w:top w:w="80" w:type="dxa"/>
              <w:left w:w="140" w:type="dxa"/>
              <w:bottom w:w="80" w:type="dxa"/>
              <w:right w:w="140" w:type="dxa"/>
            </w:tcMar>
            <w:vAlign w:val="center"/>
          </w:tcPr>
          <w:p w14:paraId="010A28E6" w14:textId="77777777" w:rsidR="00744904" w:rsidRDefault="00000000" w:rsidP="0009397F">
            <w:r>
              <w:rPr>
                <w:rFonts w:ascii="Traditional Arabic" w:eastAsia="Traditional Arabic" w:hAnsi="Traditional Arabic" w:cs="Traditional Arabic"/>
                <w:color w:val="1A1A1A"/>
                <w:sz w:val="22"/>
                <w:szCs w:val="22"/>
              </w:rPr>
              <w:t>دين وهمي</w:t>
            </w:r>
          </w:p>
        </w:tc>
        <w:tc>
          <w:tcPr>
            <w:tcW w:w="2600" w:type="dxa"/>
            <w:tcBorders>
              <w:top w:val="single" w:sz="4" w:space="0" w:color="B0C4DE"/>
              <w:left w:val="single" w:sz="4" w:space="0" w:color="B0C4DE"/>
              <w:bottom w:val="single" w:sz="4" w:space="0" w:color="B0C4DE"/>
              <w:right w:val="single" w:sz="4" w:space="0" w:color="B0C4DE"/>
            </w:tcBorders>
            <w:shd w:val="clear" w:color="auto" w:fill="E8EFF7"/>
            <w:tcMar>
              <w:top w:w="80" w:type="dxa"/>
              <w:left w:w="140" w:type="dxa"/>
              <w:bottom w:w="80" w:type="dxa"/>
              <w:right w:w="140" w:type="dxa"/>
            </w:tcMar>
            <w:vAlign w:val="center"/>
          </w:tcPr>
          <w:p w14:paraId="7DCFBD54" w14:textId="77777777" w:rsidR="00744904" w:rsidRDefault="00000000" w:rsidP="0009397F">
            <w:r>
              <w:rPr>
                <w:rFonts w:ascii="Traditional Arabic" w:eastAsia="Traditional Arabic" w:hAnsi="Traditional Arabic" w:cs="Traditional Arabic"/>
                <w:color w:val="1A1A1A"/>
                <w:sz w:val="22"/>
                <w:szCs w:val="22"/>
              </w:rPr>
              <w:t>توقعات مثالية مستحيلة أو مشاعر ذنب معممة</w:t>
            </w:r>
          </w:p>
        </w:tc>
        <w:tc>
          <w:tcPr>
            <w:tcW w:w="2500" w:type="dxa"/>
            <w:tcBorders>
              <w:top w:val="single" w:sz="4" w:space="0" w:color="B0C4DE"/>
              <w:left w:val="single" w:sz="4" w:space="0" w:color="B0C4DE"/>
              <w:bottom w:val="single" w:sz="4" w:space="0" w:color="B0C4DE"/>
              <w:right w:val="single" w:sz="4" w:space="0" w:color="B0C4DE"/>
            </w:tcBorders>
            <w:shd w:val="clear" w:color="auto" w:fill="E8EFF7"/>
            <w:tcMar>
              <w:top w:w="80" w:type="dxa"/>
              <w:left w:w="140" w:type="dxa"/>
              <w:bottom w:w="80" w:type="dxa"/>
              <w:right w:w="140" w:type="dxa"/>
            </w:tcMar>
            <w:vAlign w:val="center"/>
          </w:tcPr>
          <w:p w14:paraId="259F49CD" w14:textId="77777777" w:rsidR="00744904" w:rsidRDefault="00000000" w:rsidP="0009397F">
            <w:r>
              <w:rPr>
                <w:rFonts w:ascii="Traditional Arabic" w:eastAsia="Traditional Arabic" w:hAnsi="Traditional Arabic" w:cs="Traditional Arabic"/>
                <w:color w:val="1A1A1A"/>
                <w:sz w:val="22"/>
                <w:szCs w:val="22"/>
              </w:rPr>
              <w:t>"أنا أعلى قاسٍ" استبطاني</w:t>
            </w:r>
          </w:p>
        </w:tc>
        <w:tc>
          <w:tcPr>
            <w:tcW w:w="2126" w:type="dxa"/>
            <w:tcBorders>
              <w:top w:val="single" w:sz="4" w:space="0" w:color="B0C4DE"/>
              <w:left w:val="single" w:sz="4" w:space="0" w:color="B0C4DE"/>
              <w:bottom w:val="single" w:sz="4" w:space="0" w:color="B0C4DE"/>
              <w:right w:val="single" w:sz="4" w:space="0" w:color="B0C4DE"/>
            </w:tcBorders>
            <w:shd w:val="clear" w:color="auto" w:fill="E8EFF7"/>
            <w:tcMar>
              <w:top w:w="80" w:type="dxa"/>
              <w:left w:w="140" w:type="dxa"/>
              <w:bottom w:w="80" w:type="dxa"/>
              <w:right w:w="140" w:type="dxa"/>
            </w:tcMar>
            <w:vAlign w:val="center"/>
          </w:tcPr>
          <w:p w14:paraId="6ADEF18C" w14:textId="77777777" w:rsidR="00744904" w:rsidRDefault="00000000" w:rsidP="0009397F">
            <w:r>
              <w:rPr>
                <w:rFonts w:ascii="Traditional Arabic" w:eastAsia="Traditional Arabic" w:hAnsi="Traditional Arabic" w:cs="Traditional Arabic"/>
                <w:color w:val="1A1A1A"/>
                <w:sz w:val="22"/>
                <w:szCs w:val="22"/>
              </w:rPr>
              <w:t>تفكيك + إعادة بناء صورة الله</w:t>
            </w:r>
          </w:p>
        </w:tc>
      </w:tr>
    </w:tbl>
    <w:p w14:paraId="4D4371CB" w14:textId="77777777" w:rsidR="00744904" w:rsidRDefault="00000000" w:rsidP="0009397F">
      <w:pPr>
        <w:spacing w:before="20" w:after="80"/>
        <w:ind w:left="200" w:right="200"/>
      </w:pPr>
      <w:r>
        <w:rPr>
          <w:rFonts w:ascii="Traditional Arabic" w:eastAsia="Traditional Arabic" w:hAnsi="Traditional Arabic" w:cs="Traditional Arabic"/>
          <w:i/>
          <w:iCs/>
          <w:color w:val="1A7A6E"/>
          <w:sz w:val="22"/>
          <w:szCs w:val="22"/>
        </w:rPr>
        <w:t>(TLRT، 2026، الدليل النظري، ص 89)</w:t>
      </w:r>
    </w:p>
    <w:p w14:paraId="2F7149F8" w14:textId="77777777" w:rsidR="00744904" w:rsidRDefault="00744904" w:rsidP="0009397F">
      <w:pPr>
        <w:spacing w:before="80" w:after="60"/>
      </w:pPr>
    </w:p>
    <w:p w14:paraId="282F850A" w14:textId="77777777" w:rsidR="00744904" w:rsidRDefault="00000000" w:rsidP="0009397F">
      <w:pPr>
        <w:spacing w:before="140" w:after="80"/>
      </w:pPr>
      <w:r>
        <w:rPr>
          <w:rFonts w:ascii="Traditional Arabic" w:eastAsia="Traditional Arabic" w:hAnsi="Traditional Arabic" w:cs="Traditional Arabic"/>
          <w:b/>
          <w:bCs/>
          <w:color w:val="1A7A6E"/>
          <w:sz w:val="26"/>
          <w:szCs w:val="26"/>
        </w:rPr>
        <w:t>ج. الجسر السلوكي (Behavioral Bridge)</w:t>
      </w:r>
    </w:p>
    <w:p w14:paraId="420F9139" w14:textId="77777777" w:rsidR="00744904" w:rsidRDefault="00000000" w:rsidP="0009397F">
      <w:pPr>
        <w:spacing w:before="40" w:after="80"/>
      </w:pPr>
      <w:r>
        <w:rPr>
          <w:rFonts w:ascii="Traditional Arabic" w:eastAsia="Traditional Arabic" w:hAnsi="Traditional Arabic" w:cs="Traditional Arabic"/>
          <w:color w:val="1A1A1A"/>
          <w:sz w:val="24"/>
          <w:szCs w:val="24"/>
        </w:rPr>
        <w:t>فعل إحساني محدد يرتبط رمزياً بالذنب الأصلي، بحيث يصبح التعويض حياً ومستمراً. هو الآلية المركزية التي تحول طاقة الندم إلى فاعلية مجتمعية ملموسة. يختلف الجسر السلوكي عن "الكفارة" التقليدية في كونه:</w:t>
      </w:r>
    </w:p>
    <w:p w14:paraId="6A430136" w14:textId="77777777" w:rsidR="00744904" w:rsidRDefault="00000000" w:rsidP="0009397F">
      <w:pPr>
        <w:pStyle w:val="a4"/>
        <w:numPr>
          <w:ilvl w:val="0"/>
          <w:numId w:val="3"/>
        </w:numPr>
        <w:spacing w:before="40" w:after="60"/>
      </w:pPr>
      <w:r>
        <w:rPr>
          <w:rFonts w:ascii="Traditional Arabic" w:eastAsia="Traditional Arabic" w:hAnsi="Traditional Arabic" w:cs="Traditional Arabic"/>
          <w:color w:val="1A1A1A"/>
          <w:sz w:val="24"/>
          <w:szCs w:val="24"/>
        </w:rPr>
        <w:t>مُصمَّماً بشكل فردي لكل مريض.</w:t>
      </w:r>
    </w:p>
    <w:p w14:paraId="279255BA" w14:textId="77777777" w:rsidR="00744904" w:rsidRDefault="00000000" w:rsidP="0009397F">
      <w:pPr>
        <w:pStyle w:val="a4"/>
        <w:numPr>
          <w:ilvl w:val="0"/>
          <w:numId w:val="3"/>
        </w:numPr>
        <w:spacing w:before="40" w:after="60"/>
      </w:pPr>
      <w:r>
        <w:rPr>
          <w:rFonts w:ascii="Traditional Arabic" w:eastAsia="Traditional Arabic" w:hAnsi="Traditional Arabic" w:cs="Traditional Arabic"/>
          <w:color w:val="1A1A1A"/>
          <w:sz w:val="24"/>
          <w:szCs w:val="24"/>
        </w:rPr>
        <w:t>مرتبطاً رمزياً بطبيعة الخطأ.</w:t>
      </w:r>
    </w:p>
    <w:p w14:paraId="33EF83A2" w14:textId="77777777" w:rsidR="00744904" w:rsidRDefault="00000000" w:rsidP="0009397F">
      <w:pPr>
        <w:pStyle w:val="a4"/>
        <w:numPr>
          <w:ilvl w:val="0"/>
          <w:numId w:val="3"/>
        </w:numPr>
        <w:spacing w:before="40" w:after="60"/>
      </w:pPr>
      <w:r>
        <w:rPr>
          <w:rFonts w:ascii="Traditional Arabic" w:eastAsia="Traditional Arabic" w:hAnsi="Traditional Arabic" w:cs="Traditional Arabic"/>
          <w:color w:val="1A1A1A"/>
          <w:sz w:val="24"/>
          <w:szCs w:val="24"/>
        </w:rPr>
        <w:t>مستمراً في الزمن (ليس مجرد فعل لمرة واحدة).</w:t>
      </w:r>
    </w:p>
    <w:p w14:paraId="0699A723" w14:textId="77777777" w:rsidR="00744904" w:rsidRDefault="00000000" w:rsidP="0009397F">
      <w:pPr>
        <w:pStyle w:val="a4"/>
        <w:numPr>
          <w:ilvl w:val="0"/>
          <w:numId w:val="3"/>
        </w:numPr>
        <w:spacing w:before="40" w:after="60"/>
      </w:pPr>
      <w:r>
        <w:rPr>
          <w:rFonts w:ascii="Traditional Arabic" w:eastAsia="Traditional Arabic" w:hAnsi="Traditional Arabic" w:cs="Traditional Arabic"/>
          <w:color w:val="1A1A1A"/>
          <w:sz w:val="24"/>
          <w:szCs w:val="24"/>
        </w:rPr>
        <w:t>يحول المريض من "متلقٍ" إلى "معطٍ".</w:t>
      </w:r>
    </w:p>
    <w:p w14:paraId="4FAD8F8E" w14:textId="77777777" w:rsidR="00744904" w:rsidRDefault="00000000" w:rsidP="0009397F">
      <w:pPr>
        <w:spacing w:before="20" w:after="80"/>
        <w:ind w:left="200" w:right="200"/>
      </w:pPr>
      <w:r>
        <w:rPr>
          <w:rFonts w:ascii="Traditional Arabic" w:eastAsia="Traditional Arabic" w:hAnsi="Traditional Arabic" w:cs="Traditional Arabic"/>
          <w:i/>
          <w:iCs/>
          <w:color w:val="1A7A6E"/>
          <w:sz w:val="22"/>
          <w:szCs w:val="22"/>
        </w:rPr>
        <w:t>(الزراع، 2023، ص 906)</w:t>
      </w:r>
    </w:p>
    <w:p w14:paraId="50690A02" w14:textId="77777777" w:rsidR="00744904" w:rsidRDefault="00744904" w:rsidP="0009397F">
      <w:pPr>
        <w:spacing w:before="80" w:after="60"/>
      </w:pPr>
    </w:p>
    <w:p w14:paraId="68B1DD3E" w14:textId="77777777" w:rsidR="00744904" w:rsidRDefault="00000000" w:rsidP="0009397F">
      <w:pPr>
        <w:spacing w:before="140" w:after="80"/>
      </w:pPr>
      <w:r>
        <w:rPr>
          <w:rFonts w:ascii="Traditional Arabic" w:eastAsia="Traditional Arabic" w:hAnsi="Traditional Arabic" w:cs="Traditional Arabic"/>
          <w:b/>
          <w:bCs/>
          <w:color w:val="1A7A6E"/>
          <w:sz w:val="26"/>
          <w:szCs w:val="26"/>
        </w:rPr>
        <w:t>د. مشروع الكفارة الإبداعية (Creative Atonement Project)</w:t>
      </w:r>
    </w:p>
    <w:p w14:paraId="0A8190A8" w14:textId="77777777" w:rsidR="00744904" w:rsidRDefault="00000000" w:rsidP="0009397F">
      <w:pPr>
        <w:spacing w:before="40" w:after="80"/>
      </w:pPr>
      <w:r>
        <w:rPr>
          <w:rFonts w:ascii="Traditional Arabic" w:eastAsia="Traditional Arabic" w:hAnsi="Traditional Arabic" w:cs="Traditional Arabic"/>
          <w:color w:val="1A1A1A"/>
          <w:sz w:val="24"/>
          <w:szCs w:val="24"/>
        </w:rPr>
        <w:t>برنامج عملي من تصميم المريض (بمساعدة المعالج) يحول ذنبه إلى مصدر خير ونفع للآخرين. هو تتويج للمراحل العلاجية السابقة، ويتخذ أشكالاً متعددة بحسب طبيعة الذنب وقدرات المريض وظروفه. أمثلة:</w:t>
      </w:r>
    </w:p>
    <w:p w14:paraId="27973D8C" w14:textId="77777777" w:rsidR="00744904" w:rsidRDefault="00000000" w:rsidP="0009397F">
      <w:pPr>
        <w:pStyle w:val="a4"/>
        <w:numPr>
          <w:ilvl w:val="0"/>
          <w:numId w:val="3"/>
        </w:numPr>
        <w:spacing w:before="40" w:after="60"/>
      </w:pPr>
      <w:r>
        <w:rPr>
          <w:rFonts w:ascii="Traditional Arabic" w:eastAsia="Traditional Arabic" w:hAnsi="Traditional Arabic" w:cs="Traditional Arabic"/>
          <w:color w:val="1A1A1A"/>
          <w:sz w:val="24"/>
          <w:szCs w:val="24"/>
        </w:rPr>
        <w:t>من تسبب في حادث سير: التطوع في التوعية المرورية.</w:t>
      </w:r>
    </w:p>
    <w:p w14:paraId="7020E665" w14:textId="77777777" w:rsidR="00744904" w:rsidRDefault="00000000" w:rsidP="0009397F">
      <w:pPr>
        <w:pStyle w:val="a4"/>
        <w:numPr>
          <w:ilvl w:val="0"/>
          <w:numId w:val="3"/>
        </w:numPr>
        <w:spacing w:before="40" w:after="60"/>
      </w:pPr>
      <w:r>
        <w:rPr>
          <w:rFonts w:ascii="Traditional Arabic" w:eastAsia="Traditional Arabic" w:hAnsi="Traditional Arabic" w:cs="Traditional Arabic"/>
          <w:color w:val="1A1A1A"/>
          <w:sz w:val="24"/>
          <w:szCs w:val="24"/>
        </w:rPr>
        <w:t>من خان أمانة مالية: إنشاء صندوق مساعدة صغير.</w:t>
      </w:r>
    </w:p>
    <w:p w14:paraId="393395EC" w14:textId="77777777" w:rsidR="00744904" w:rsidRDefault="00000000" w:rsidP="0009397F">
      <w:pPr>
        <w:pStyle w:val="a4"/>
        <w:numPr>
          <w:ilvl w:val="0"/>
          <w:numId w:val="3"/>
        </w:numPr>
        <w:spacing w:before="40" w:after="60"/>
      </w:pPr>
      <w:r>
        <w:rPr>
          <w:rFonts w:ascii="Traditional Arabic" w:eastAsia="Traditional Arabic" w:hAnsi="Traditional Arabic" w:cs="Traditional Arabic"/>
          <w:color w:val="1A1A1A"/>
          <w:sz w:val="24"/>
          <w:szCs w:val="24"/>
        </w:rPr>
        <w:t>من تسبب في أذى نفسي لشخص: إنتاج محتوى توعوي عن الصحة النفسية.</w:t>
      </w:r>
    </w:p>
    <w:p w14:paraId="0B0B4180" w14:textId="77777777" w:rsidR="00744904" w:rsidRDefault="00000000" w:rsidP="0009397F">
      <w:pPr>
        <w:spacing w:before="20" w:after="80"/>
        <w:ind w:left="200" w:right="200"/>
      </w:pPr>
      <w:r>
        <w:rPr>
          <w:rFonts w:ascii="Traditional Arabic" w:eastAsia="Traditional Arabic" w:hAnsi="Traditional Arabic" w:cs="Traditional Arabic"/>
          <w:i/>
          <w:iCs/>
          <w:color w:val="1A7A6E"/>
          <w:sz w:val="22"/>
          <w:szCs w:val="22"/>
        </w:rPr>
        <w:t>(TLRT، 2026، الدليل النظري، ص 98)</w:t>
      </w:r>
    </w:p>
    <w:p w14:paraId="49DC78E8" w14:textId="77777777" w:rsidR="00744904" w:rsidRDefault="00744904" w:rsidP="0009397F">
      <w:pPr>
        <w:spacing w:before="80" w:after="60"/>
      </w:pPr>
    </w:p>
    <w:p w14:paraId="2A1738F8" w14:textId="77777777" w:rsidR="00744904" w:rsidRDefault="00000000" w:rsidP="0009397F">
      <w:pPr>
        <w:spacing w:before="140" w:after="80"/>
      </w:pPr>
      <w:r>
        <w:rPr>
          <w:rFonts w:ascii="Traditional Arabic" w:eastAsia="Traditional Arabic" w:hAnsi="Traditional Arabic" w:cs="Traditional Arabic"/>
          <w:b/>
          <w:bCs/>
          <w:color w:val="1A7A6E"/>
          <w:sz w:val="26"/>
          <w:szCs w:val="26"/>
        </w:rPr>
        <w:t>هـ. الكينتسوغي النفسي (Psychological Kintsugi)</w:t>
      </w:r>
    </w:p>
    <w:p w14:paraId="57F15005" w14:textId="77777777" w:rsidR="00744904" w:rsidRDefault="00000000" w:rsidP="0009397F">
      <w:pPr>
        <w:spacing w:before="40" w:after="80"/>
      </w:pPr>
      <w:r>
        <w:rPr>
          <w:rFonts w:ascii="Traditional Arabic" w:eastAsia="Traditional Arabic" w:hAnsi="Traditional Arabic" w:cs="Traditional Arabic"/>
          <w:color w:val="1A1A1A"/>
          <w:sz w:val="24"/>
          <w:szCs w:val="24"/>
        </w:rPr>
        <w:t>مصطلح مستعار من الفن الياباني في ترميم الخزف بالذهب (Kintsugi). الفكرة الجوهرية: أن الشرخ لا يُخفى ولا يُنكر، بل يُبرز ويُزين، فيصبح جزءاً من جمال القطعة وتفردها. تطبيقاً على العلاج النفسي:</w:t>
      </w:r>
    </w:p>
    <w:p w14:paraId="5F97A60F" w14:textId="77777777" w:rsidR="00744904" w:rsidRDefault="00744904" w:rsidP="0009397F">
      <w:pPr>
        <w:spacing w:before="60" w:after="60"/>
      </w:pPr>
    </w:p>
    <w:p w14:paraId="57CA69E9" w14:textId="77777777" w:rsidR="00744904" w:rsidRDefault="00000000" w:rsidP="0009397F">
      <w:pPr>
        <w:pBdr>
          <w:left w:val="single" w:sz="12" w:space="6" w:color="B8860B"/>
          <w:right w:val="single" w:sz="12" w:space="6" w:color="B8860B"/>
        </w:pBdr>
        <w:spacing w:before="100" w:after="100"/>
        <w:ind w:left="720" w:right="720"/>
      </w:pPr>
      <w:r>
        <w:rPr>
          <w:rFonts w:ascii="Traditional Arabic" w:eastAsia="Traditional Arabic" w:hAnsi="Traditional Arabic" w:cs="Traditional Arabic"/>
          <w:b/>
          <w:bCs/>
          <w:i/>
          <w:iCs/>
          <w:color w:val="2C2C2C"/>
          <w:sz w:val="24"/>
          <w:szCs w:val="24"/>
        </w:rPr>
        <w:t>"الخطأ لا يُمحى من الذاكرة، ولا يُنكر، ولا يُختزل في شعور بالذنب، بل يُعاد صياغته كجزء من هوية الناجي الحكيم، ومصدر للقوة والتعاطف مع الآخرين."</w:t>
      </w:r>
    </w:p>
    <w:p w14:paraId="0B4DEF08" w14:textId="77777777" w:rsidR="00744904" w:rsidRDefault="00000000" w:rsidP="0009397F">
      <w:pPr>
        <w:spacing w:before="20" w:after="80"/>
        <w:ind w:left="200" w:right="200"/>
      </w:pPr>
      <w:r>
        <w:rPr>
          <w:rFonts w:ascii="Traditional Arabic" w:eastAsia="Traditional Arabic" w:hAnsi="Traditional Arabic" w:cs="Traditional Arabic"/>
          <w:i/>
          <w:iCs/>
          <w:color w:val="1A7A6E"/>
          <w:sz w:val="22"/>
          <w:szCs w:val="22"/>
        </w:rPr>
        <w:t>(الزراع، 2023، ص 1062)</w:t>
      </w:r>
    </w:p>
    <w:p w14:paraId="47D7C226" w14:textId="77777777" w:rsidR="00744904" w:rsidRDefault="00000000" w:rsidP="0009397F">
      <w:pPr>
        <w:pageBreakBefore/>
        <w:pBdr>
          <w:bottom w:val="single" w:sz="12" w:space="4" w:color="B8860B"/>
        </w:pBdr>
        <w:spacing w:before="240" w:after="160"/>
      </w:pPr>
      <w:r>
        <w:rPr>
          <w:rFonts w:ascii="Traditional Arabic" w:eastAsia="Traditional Arabic" w:hAnsi="Traditional Arabic" w:cs="Traditional Arabic"/>
          <w:b/>
          <w:bCs/>
          <w:color w:val="1B3A5C"/>
          <w:sz w:val="36"/>
          <w:szCs w:val="36"/>
        </w:rPr>
        <w:t>1.5  البنية الحلزونية للتحول (Spiral Structure of Transformation)</w:t>
      </w:r>
    </w:p>
    <w:p w14:paraId="3B400725" w14:textId="77777777" w:rsidR="00744904" w:rsidRDefault="00000000" w:rsidP="0009397F">
      <w:pPr>
        <w:spacing w:before="40" w:after="80"/>
      </w:pPr>
      <w:r>
        <w:rPr>
          <w:rFonts w:ascii="Traditional Arabic" w:eastAsia="Traditional Arabic" w:hAnsi="Traditional Arabic" w:cs="Traditional Arabic"/>
          <w:color w:val="1A1A1A"/>
          <w:sz w:val="24"/>
          <w:szCs w:val="24"/>
        </w:rPr>
        <w:t>المراحل الخمس المذكورة (1.1) ليست خطية بشكل صارم، بل هي حلزونية (Spiral). قد يمر المريض بمرحلة ما، ثم يعود إلى نقطة سابقة بمستوى أعمق، ثم يتقدم ثانية. هذا الحلزون يعكس طبيعة النمو النفسي الحقيقي: تقدم مع تراجع، تعميق مع مراجعة.</w:t>
      </w:r>
    </w:p>
    <w:p w14:paraId="225EDA07" w14:textId="77777777" w:rsidR="00744904" w:rsidRDefault="00744904" w:rsidP="0009397F">
      <w:pPr>
        <w:spacing w:before="80" w:after="80"/>
      </w:pPr>
    </w:p>
    <w:p w14:paraId="2BDF123D" w14:textId="77777777" w:rsidR="00744904" w:rsidRDefault="00000000" w:rsidP="0009397F">
      <w:pPr>
        <w:spacing w:before="140" w:after="80"/>
      </w:pPr>
      <w:r>
        <w:rPr>
          <w:rFonts w:ascii="Traditional Arabic" w:eastAsia="Traditional Arabic" w:hAnsi="Traditional Arabic" w:cs="Traditional Arabic"/>
          <w:b/>
          <w:bCs/>
          <w:color w:val="1A7A6E"/>
          <w:sz w:val="26"/>
          <w:szCs w:val="26"/>
        </w:rPr>
        <w:t>خصائص البنية الحلزونية:</w:t>
      </w:r>
    </w:p>
    <w:p w14:paraId="27CB83E1" w14:textId="77777777" w:rsidR="00744904" w:rsidRDefault="00744904" w:rsidP="0009397F">
      <w:pPr>
        <w:spacing w:before="6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026"/>
      </w:tblGrid>
      <w:tr w:rsidR="00744904" w14:paraId="0201A874" w14:textId="77777777">
        <w:tblPrEx>
          <w:tblCellMar>
            <w:top w:w="0" w:type="dxa"/>
            <w:bottom w:w="0" w:type="dxa"/>
          </w:tblCellMar>
        </w:tblPrEx>
        <w:tc>
          <w:tcPr>
            <w:tcW w:w="3000" w:type="dxa"/>
            <w:tcBorders>
              <w:top w:val="single" w:sz="4" w:space="0" w:color="B0C4DE"/>
              <w:left w:val="single" w:sz="4" w:space="0" w:color="B0C4DE"/>
              <w:bottom w:val="single" w:sz="4" w:space="0" w:color="B0C4DE"/>
              <w:right w:val="single" w:sz="4" w:space="0" w:color="B0C4DE"/>
            </w:tcBorders>
            <w:shd w:val="clear" w:color="auto" w:fill="1B3A5C"/>
            <w:tcMar>
              <w:top w:w="80" w:type="dxa"/>
              <w:left w:w="140" w:type="dxa"/>
              <w:bottom w:w="80" w:type="dxa"/>
              <w:right w:w="140" w:type="dxa"/>
            </w:tcMar>
            <w:vAlign w:val="center"/>
          </w:tcPr>
          <w:p w14:paraId="458F20C9" w14:textId="77777777" w:rsidR="00744904" w:rsidRDefault="00000000" w:rsidP="0009397F">
            <w:r>
              <w:rPr>
                <w:rFonts w:ascii="Traditional Arabic" w:eastAsia="Traditional Arabic" w:hAnsi="Traditional Arabic" w:cs="Traditional Arabic"/>
                <w:b/>
                <w:bCs/>
                <w:color w:val="FFFFFF"/>
                <w:sz w:val="22"/>
                <w:szCs w:val="22"/>
              </w:rPr>
              <w:t>الخاصية</w:t>
            </w:r>
          </w:p>
        </w:tc>
        <w:tc>
          <w:tcPr>
            <w:tcW w:w="6026" w:type="dxa"/>
            <w:tcBorders>
              <w:top w:val="single" w:sz="4" w:space="0" w:color="B0C4DE"/>
              <w:left w:val="single" w:sz="4" w:space="0" w:color="B0C4DE"/>
              <w:bottom w:val="single" w:sz="4" w:space="0" w:color="B0C4DE"/>
              <w:right w:val="single" w:sz="4" w:space="0" w:color="B0C4DE"/>
            </w:tcBorders>
            <w:shd w:val="clear" w:color="auto" w:fill="1B3A5C"/>
            <w:tcMar>
              <w:top w:w="80" w:type="dxa"/>
              <w:left w:w="140" w:type="dxa"/>
              <w:bottom w:w="80" w:type="dxa"/>
              <w:right w:w="140" w:type="dxa"/>
            </w:tcMar>
            <w:vAlign w:val="center"/>
          </w:tcPr>
          <w:p w14:paraId="1EE994E4" w14:textId="77777777" w:rsidR="00744904" w:rsidRDefault="00000000" w:rsidP="0009397F">
            <w:r>
              <w:rPr>
                <w:rFonts w:ascii="Traditional Arabic" w:eastAsia="Traditional Arabic" w:hAnsi="Traditional Arabic" w:cs="Traditional Arabic"/>
                <w:b/>
                <w:bCs/>
                <w:color w:val="FFFFFF"/>
                <w:sz w:val="22"/>
                <w:szCs w:val="22"/>
              </w:rPr>
              <w:t>الشرح</w:t>
            </w:r>
          </w:p>
        </w:tc>
      </w:tr>
      <w:tr w:rsidR="00744904" w14:paraId="23BE1EC1" w14:textId="77777777">
        <w:tblPrEx>
          <w:tblCellMar>
            <w:top w:w="0" w:type="dxa"/>
            <w:bottom w:w="0" w:type="dxa"/>
          </w:tblCellMar>
        </w:tblPrEx>
        <w:tc>
          <w:tcPr>
            <w:tcW w:w="3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40" w:type="dxa"/>
              <w:bottom w:w="80" w:type="dxa"/>
              <w:right w:w="140" w:type="dxa"/>
            </w:tcMar>
            <w:vAlign w:val="center"/>
          </w:tcPr>
          <w:p w14:paraId="14A81168" w14:textId="77777777" w:rsidR="00744904" w:rsidRDefault="00000000" w:rsidP="0009397F">
            <w:r>
              <w:rPr>
                <w:rFonts w:ascii="Traditional Arabic" w:eastAsia="Traditional Arabic" w:hAnsi="Traditional Arabic" w:cs="Traditional Arabic"/>
                <w:color w:val="1A1A1A"/>
                <w:sz w:val="22"/>
                <w:szCs w:val="22"/>
              </w:rPr>
              <w:t>التداخل (Overlap)</w:t>
            </w:r>
          </w:p>
        </w:tc>
        <w:tc>
          <w:tcPr>
            <w:tcW w:w="602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40" w:type="dxa"/>
              <w:bottom w:w="80" w:type="dxa"/>
              <w:right w:w="140" w:type="dxa"/>
            </w:tcMar>
            <w:vAlign w:val="center"/>
          </w:tcPr>
          <w:p w14:paraId="0EB07D28" w14:textId="77777777" w:rsidR="00744904" w:rsidRDefault="00000000" w:rsidP="0009397F">
            <w:r>
              <w:rPr>
                <w:rFonts w:ascii="Traditional Arabic" w:eastAsia="Traditional Arabic" w:hAnsi="Traditional Arabic" w:cs="Traditional Arabic"/>
                <w:color w:val="1A1A1A"/>
                <w:sz w:val="22"/>
                <w:szCs w:val="22"/>
              </w:rPr>
              <w:t>المراحل تتداخل ولا تنفصل تماماً؛ فالعمل في مرحلة متقدمة قد يستدعي العودة لمرحلة سابقة.</w:t>
            </w:r>
          </w:p>
        </w:tc>
      </w:tr>
      <w:tr w:rsidR="00744904" w14:paraId="0D8AFCC8" w14:textId="77777777">
        <w:tblPrEx>
          <w:tblCellMar>
            <w:top w:w="0" w:type="dxa"/>
            <w:bottom w:w="0" w:type="dxa"/>
          </w:tblCellMar>
        </w:tblPrEx>
        <w:tc>
          <w:tcPr>
            <w:tcW w:w="3000" w:type="dxa"/>
            <w:tcBorders>
              <w:top w:val="single" w:sz="4" w:space="0" w:color="B0C4DE"/>
              <w:left w:val="single" w:sz="4" w:space="0" w:color="B0C4DE"/>
              <w:bottom w:val="single" w:sz="4" w:space="0" w:color="B0C4DE"/>
              <w:right w:val="single" w:sz="4" w:space="0" w:color="B0C4DE"/>
            </w:tcBorders>
            <w:shd w:val="clear" w:color="auto" w:fill="E8EFF7"/>
            <w:tcMar>
              <w:top w:w="80" w:type="dxa"/>
              <w:left w:w="140" w:type="dxa"/>
              <w:bottom w:w="80" w:type="dxa"/>
              <w:right w:w="140" w:type="dxa"/>
            </w:tcMar>
            <w:vAlign w:val="center"/>
          </w:tcPr>
          <w:p w14:paraId="4FAEA6EE" w14:textId="77777777" w:rsidR="00744904" w:rsidRDefault="00000000" w:rsidP="0009397F">
            <w:r>
              <w:rPr>
                <w:rFonts w:ascii="Traditional Arabic" w:eastAsia="Traditional Arabic" w:hAnsi="Traditional Arabic" w:cs="Traditional Arabic"/>
                <w:color w:val="1A1A1A"/>
                <w:sz w:val="22"/>
                <w:szCs w:val="22"/>
              </w:rPr>
              <w:t>التكرار (Repetition)</w:t>
            </w:r>
          </w:p>
        </w:tc>
        <w:tc>
          <w:tcPr>
            <w:tcW w:w="6026" w:type="dxa"/>
            <w:tcBorders>
              <w:top w:val="single" w:sz="4" w:space="0" w:color="B0C4DE"/>
              <w:left w:val="single" w:sz="4" w:space="0" w:color="B0C4DE"/>
              <w:bottom w:val="single" w:sz="4" w:space="0" w:color="B0C4DE"/>
              <w:right w:val="single" w:sz="4" w:space="0" w:color="B0C4DE"/>
            </w:tcBorders>
            <w:shd w:val="clear" w:color="auto" w:fill="E8EFF7"/>
            <w:tcMar>
              <w:top w:w="80" w:type="dxa"/>
              <w:left w:w="140" w:type="dxa"/>
              <w:bottom w:w="80" w:type="dxa"/>
              <w:right w:w="140" w:type="dxa"/>
            </w:tcMar>
            <w:vAlign w:val="center"/>
          </w:tcPr>
          <w:p w14:paraId="7A46E9F9" w14:textId="77777777" w:rsidR="00744904" w:rsidRDefault="00000000" w:rsidP="0009397F">
            <w:r>
              <w:rPr>
                <w:rFonts w:ascii="Traditional Arabic" w:eastAsia="Traditional Arabic" w:hAnsi="Traditional Arabic" w:cs="Traditional Arabic"/>
                <w:color w:val="1A1A1A"/>
                <w:sz w:val="22"/>
                <w:szCs w:val="22"/>
              </w:rPr>
              <w:t>يمكن العودة إلى مرحلة سابقة بمستوى أعمق من الفهم والتطبيق.</w:t>
            </w:r>
          </w:p>
        </w:tc>
      </w:tr>
      <w:tr w:rsidR="00744904" w14:paraId="496CD32A" w14:textId="77777777">
        <w:tblPrEx>
          <w:tblCellMar>
            <w:top w:w="0" w:type="dxa"/>
            <w:bottom w:w="0" w:type="dxa"/>
          </w:tblCellMar>
        </w:tblPrEx>
        <w:tc>
          <w:tcPr>
            <w:tcW w:w="30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40" w:type="dxa"/>
              <w:bottom w:w="80" w:type="dxa"/>
              <w:right w:w="140" w:type="dxa"/>
            </w:tcMar>
            <w:vAlign w:val="center"/>
          </w:tcPr>
          <w:p w14:paraId="281039C8" w14:textId="77777777" w:rsidR="00744904" w:rsidRDefault="00000000" w:rsidP="0009397F">
            <w:r>
              <w:rPr>
                <w:rFonts w:ascii="Traditional Arabic" w:eastAsia="Traditional Arabic" w:hAnsi="Traditional Arabic" w:cs="Traditional Arabic"/>
                <w:color w:val="1A1A1A"/>
                <w:sz w:val="22"/>
                <w:szCs w:val="22"/>
              </w:rPr>
              <w:t>التصاعد (Ascendancy)</w:t>
            </w:r>
          </w:p>
        </w:tc>
        <w:tc>
          <w:tcPr>
            <w:tcW w:w="602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40" w:type="dxa"/>
              <w:bottom w:w="80" w:type="dxa"/>
              <w:right w:w="140" w:type="dxa"/>
            </w:tcMar>
            <w:vAlign w:val="center"/>
          </w:tcPr>
          <w:p w14:paraId="11857F2E" w14:textId="77777777" w:rsidR="00744904" w:rsidRDefault="00000000" w:rsidP="0009397F">
            <w:r>
              <w:rPr>
                <w:rFonts w:ascii="Traditional Arabic" w:eastAsia="Traditional Arabic" w:hAnsi="Traditional Arabic" w:cs="Traditional Arabic"/>
                <w:color w:val="1A1A1A"/>
                <w:sz w:val="22"/>
                <w:szCs w:val="22"/>
              </w:rPr>
              <w:t>رغم التراجعات المؤقتة، هناك تقدم عام نحو الهدف العلاجي.</w:t>
            </w:r>
          </w:p>
        </w:tc>
      </w:tr>
      <w:tr w:rsidR="00744904" w14:paraId="5F7EA47F" w14:textId="77777777">
        <w:tblPrEx>
          <w:tblCellMar>
            <w:top w:w="0" w:type="dxa"/>
            <w:bottom w:w="0" w:type="dxa"/>
          </w:tblCellMar>
        </w:tblPrEx>
        <w:tc>
          <w:tcPr>
            <w:tcW w:w="3000" w:type="dxa"/>
            <w:tcBorders>
              <w:top w:val="single" w:sz="4" w:space="0" w:color="B0C4DE"/>
              <w:left w:val="single" w:sz="4" w:space="0" w:color="B0C4DE"/>
              <w:bottom w:val="single" w:sz="4" w:space="0" w:color="B0C4DE"/>
              <w:right w:val="single" w:sz="4" w:space="0" w:color="B0C4DE"/>
            </w:tcBorders>
            <w:shd w:val="clear" w:color="auto" w:fill="E8EFF7"/>
            <w:tcMar>
              <w:top w:w="80" w:type="dxa"/>
              <w:left w:w="140" w:type="dxa"/>
              <w:bottom w:w="80" w:type="dxa"/>
              <w:right w:w="140" w:type="dxa"/>
            </w:tcMar>
            <w:vAlign w:val="center"/>
          </w:tcPr>
          <w:p w14:paraId="6EEDC8B9" w14:textId="77777777" w:rsidR="00744904" w:rsidRDefault="00000000" w:rsidP="0009397F">
            <w:r>
              <w:rPr>
                <w:rFonts w:ascii="Traditional Arabic" w:eastAsia="Traditional Arabic" w:hAnsi="Traditional Arabic" w:cs="Traditional Arabic"/>
                <w:color w:val="1A1A1A"/>
                <w:sz w:val="22"/>
                <w:szCs w:val="22"/>
              </w:rPr>
              <w:t>التكامل (Integration)</w:t>
            </w:r>
          </w:p>
        </w:tc>
        <w:tc>
          <w:tcPr>
            <w:tcW w:w="6026" w:type="dxa"/>
            <w:tcBorders>
              <w:top w:val="single" w:sz="4" w:space="0" w:color="B0C4DE"/>
              <w:left w:val="single" w:sz="4" w:space="0" w:color="B0C4DE"/>
              <w:bottom w:val="single" w:sz="4" w:space="0" w:color="B0C4DE"/>
              <w:right w:val="single" w:sz="4" w:space="0" w:color="B0C4DE"/>
            </w:tcBorders>
            <w:shd w:val="clear" w:color="auto" w:fill="E8EFF7"/>
            <w:tcMar>
              <w:top w:w="80" w:type="dxa"/>
              <w:left w:w="140" w:type="dxa"/>
              <w:bottom w:w="80" w:type="dxa"/>
              <w:right w:w="140" w:type="dxa"/>
            </w:tcMar>
            <w:vAlign w:val="center"/>
          </w:tcPr>
          <w:p w14:paraId="333A5293" w14:textId="77777777" w:rsidR="00744904" w:rsidRDefault="00000000" w:rsidP="0009397F">
            <w:r>
              <w:rPr>
                <w:rFonts w:ascii="Traditional Arabic" w:eastAsia="Traditional Arabic" w:hAnsi="Traditional Arabic" w:cs="Traditional Arabic"/>
                <w:color w:val="1A1A1A"/>
                <w:sz w:val="22"/>
                <w:szCs w:val="22"/>
              </w:rPr>
              <w:t>كل مرحلة تبني على ما قبلها وتستعد لما بعدها، في وحدة عضوية.</w:t>
            </w:r>
          </w:p>
        </w:tc>
      </w:tr>
    </w:tbl>
    <w:p w14:paraId="187986D6" w14:textId="77777777" w:rsidR="00744904" w:rsidRDefault="00000000" w:rsidP="0009397F">
      <w:pPr>
        <w:spacing w:before="20" w:after="80"/>
        <w:ind w:left="200" w:right="200"/>
      </w:pPr>
      <w:r>
        <w:rPr>
          <w:rFonts w:ascii="Traditional Arabic" w:eastAsia="Traditional Arabic" w:hAnsi="Traditional Arabic" w:cs="Traditional Arabic"/>
          <w:i/>
          <w:iCs/>
          <w:color w:val="1A7A6E"/>
          <w:sz w:val="22"/>
          <w:szCs w:val="22"/>
        </w:rPr>
        <w:t>(TLRT، 2026، الدليل النظري، ص 131)</w:t>
      </w:r>
    </w:p>
    <w:p w14:paraId="09368C66" w14:textId="77777777" w:rsidR="00744904" w:rsidRDefault="00000000" w:rsidP="0009397F">
      <w:pPr>
        <w:pageBreakBefore/>
        <w:pBdr>
          <w:bottom w:val="single" w:sz="12" w:space="4" w:color="B8860B"/>
        </w:pBdr>
        <w:spacing w:before="240" w:after="160"/>
      </w:pPr>
      <w:r>
        <w:rPr>
          <w:rFonts w:ascii="Traditional Arabic" w:eastAsia="Traditional Arabic" w:hAnsi="Traditional Arabic" w:cs="Traditional Arabic"/>
          <w:b/>
          <w:bCs/>
          <w:color w:val="1B3A5C"/>
          <w:sz w:val="36"/>
          <w:szCs w:val="36"/>
        </w:rPr>
        <w:t>1.6  الفروق الجوهرية بين النموذج المقترح والنماذج النفسية الأخرى</w:t>
      </w:r>
    </w:p>
    <w:p w14:paraId="0CB4D191" w14:textId="77777777" w:rsidR="00744904" w:rsidRDefault="00744904" w:rsidP="0009397F">
      <w:pPr>
        <w:spacing w:before="6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1806"/>
        <w:gridCol w:w="1806"/>
        <w:gridCol w:w="1807"/>
        <w:gridCol w:w="1807"/>
      </w:tblGrid>
      <w:tr w:rsidR="00744904" w14:paraId="6FCF490D" w14:textId="77777777">
        <w:tblPrEx>
          <w:tblCellMar>
            <w:top w:w="0" w:type="dxa"/>
            <w:bottom w:w="0" w:type="dxa"/>
          </w:tblCellMar>
        </w:tblPrEx>
        <w:tc>
          <w:tcPr>
            <w:tcW w:w="1800" w:type="dxa"/>
            <w:tcBorders>
              <w:top w:val="single" w:sz="4" w:space="0" w:color="B0C4DE"/>
              <w:left w:val="single" w:sz="4" w:space="0" w:color="B0C4DE"/>
              <w:bottom w:val="single" w:sz="4" w:space="0" w:color="B0C4DE"/>
              <w:right w:val="single" w:sz="4" w:space="0" w:color="B0C4DE"/>
            </w:tcBorders>
            <w:shd w:val="clear" w:color="auto" w:fill="1B3A5C"/>
            <w:tcMar>
              <w:top w:w="80" w:type="dxa"/>
              <w:left w:w="140" w:type="dxa"/>
              <w:bottom w:w="80" w:type="dxa"/>
              <w:right w:w="140" w:type="dxa"/>
            </w:tcMar>
            <w:vAlign w:val="center"/>
          </w:tcPr>
          <w:p w14:paraId="0FD8571C" w14:textId="77777777" w:rsidR="00744904" w:rsidRDefault="00000000" w:rsidP="0009397F">
            <w:r>
              <w:rPr>
                <w:rFonts w:ascii="Traditional Arabic" w:eastAsia="Traditional Arabic" w:hAnsi="Traditional Arabic" w:cs="Traditional Arabic"/>
                <w:b/>
                <w:bCs/>
                <w:color w:val="FFFFFF"/>
                <w:sz w:val="22"/>
                <w:szCs w:val="22"/>
              </w:rPr>
              <w:t>المعيار</w:t>
            </w:r>
          </w:p>
        </w:tc>
        <w:tc>
          <w:tcPr>
            <w:tcW w:w="1806" w:type="dxa"/>
            <w:tcBorders>
              <w:top w:val="single" w:sz="4" w:space="0" w:color="B0C4DE"/>
              <w:left w:val="single" w:sz="4" w:space="0" w:color="B0C4DE"/>
              <w:bottom w:val="single" w:sz="4" w:space="0" w:color="B0C4DE"/>
              <w:right w:val="single" w:sz="4" w:space="0" w:color="B0C4DE"/>
            </w:tcBorders>
            <w:shd w:val="clear" w:color="auto" w:fill="1B3A5C"/>
            <w:tcMar>
              <w:top w:w="80" w:type="dxa"/>
              <w:left w:w="140" w:type="dxa"/>
              <w:bottom w:w="80" w:type="dxa"/>
              <w:right w:w="140" w:type="dxa"/>
            </w:tcMar>
            <w:vAlign w:val="center"/>
          </w:tcPr>
          <w:p w14:paraId="79927FD2" w14:textId="77777777" w:rsidR="00744904" w:rsidRDefault="00000000" w:rsidP="0009397F">
            <w:r>
              <w:rPr>
                <w:rFonts w:ascii="Traditional Arabic" w:eastAsia="Traditional Arabic" w:hAnsi="Traditional Arabic" w:cs="Traditional Arabic"/>
                <w:b/>
                <w:bCs/>
                <w:color w:val="FFFFFF"/>
                <w:sz w:val="22"/>
                <w:szCs w:val="22"/>
              </w:rPr>
              <w:t>CBT</w:t>
            </w:r>
          </w:p>
        </w:tc>
        <w:tc>
          <w:tcPr>
            <w:tcW w:w="1806" w:type="dxa"/>
            <w:tcBorders>
              <w:top w:val="single" w:sz="4" w:space="0" w:color="B0C4DE"/>
              <w:left w:val="single" w:sz="4" w:space="0" w:color="B0C4DE"/>
              <w:bottom w:val="single" w:sz="4" w:space="0" w:color="B0C4DE"/>
              <w:right w:val="single" w:sz="4" w:space="0" w:color="B0C4DE"/>
            </w:tcBorders>
            <w:shd w:val="clear" w:color="auto" w:fill="1B3A5C"/>
            <w:tcMar>
              <w:top w:w="80" w:type="dxa"/>
              <w:left w:w="140" w:type="dxa"/>
              <w:bottom w:w="80" w:type="dxa"/>
              <w:right w:w="140" w:type="dxa"/>
            </w:tcMar>
            <w:vAlign w:val="center"/>
          </w:tcPr>
          <w:p w14:paraId="043E9367" w14:textId="77777777" w:rsidR="00744904" w:rsidRDefault="00000000" w:rsidP="0009397F">
            <w:r>
              <w:rPr>
                <w:rFonts w:ascii="Traditional Arabic" w:eastAsia="Traditional Arabic" w:hAnsi="Traditional Arabic" w:cs="Traditional Arabic"/>
                <w:b/>
                <w:bCs/>
                <w:color w:val="FFFFFF"/>
                <w:sz w:val="22"/>
                <w:szCs w:val="22"/>
              </w:rPr>
              <w:t>التحليل النفسي</w:t>
            </w:r>
          </w:p>
        </w:tc>
        <w:tc>
          <w:tcPr>
            <w:tcW w:w="1807" w:type="dxa"/>
            <w:tcBorders>
              <w:top w:val="single" w:sz="4" w:space="0" w:color="B0C4DE"/>
              <w:left w:val="single" w:sz="4" w:space="0" w:color="B0C4DE"/>
              <w:bottom w:val="single" w:sz="4" w:space="0" w:color="B0C4DE"/>
              <w:right w:val="single" w:sz="4" w:space="0" w:color="B0C4DE"/>
            </w:tcBorders>
            <w:shd w:val="clear" w:color="auto" w:fill="1B3A5C"/>
            <w:tcMar>
              <w:top w:w="80" w:type="dxa"/>
              <w:left w:w="140" w:type="dxa"/>
              <w:bottom w:w="80" w:type="dxa"/>
              <w:right w:w="140" w:type="dxa"/>
            </w:tcMar>
            <w:vAlign w:val="center"/>
          </w:tcPr>
          <w:p w14:paraId="6FA9907C" w14:textId="77777777" w:rsidR="00744904" w:rsidRDefault="00000000" w:rsidP="0009397F">
            <w:r>
              <w:rPr>
                <w:rFonts w:ascii="Traditional Arabic" w:eastAsia="Traditional Arabic" w:hAnsi="Traditional Arabic" w:cs="Traditional Arabic"/>
                <w:b/>
                <w:bCs/>
                <w:color w:val="FFFFFF"/>
                <w:sz w:val="22"/>
                <w:szCs w:val="22"/>
              </w:rPr>
              <w:t>العلاج الوجودي</w:t>
            </w:r>
          </w:p>
        </w:tc>
        <w:tc>
          <w:tcPr>
            <w:tcW w:w="1807" w:type="dxa"/>
            <w:tcBorders>
              <w:top w:val="single" w:sz="4" w:space="0" w:color="B0C4DE"/>
              <w:left w:val="single" w:sz="4" w:space="0" w:color="B0C4DE"/>
              <w:bottom w:val="single" w:sz="4" w:space="0" w:color="B0C4DE"/>
              <w:right w:val="single" w:sz="4" w:space="0" w:color="B0C4DE"/>
            </w:tcBorders>
            <w:shd w:val="clear" w:color="auto" w:fill="1B3A5C"/>
            <w:tcMar>
              <w:top w:w="80" w:type="dxa"/>
              <w:left w:w="140" w:type="dxa"/>
              <w:bottom w:w="80" w:type="dxa"/>
              <w:right w:w="140" w:type="dxa"/>
            </w:tcMar>
            <w:vAlign w:val="center"/>
          </w:tcPr>
          <w:p w14:paraId="5718DC7B" w14:textId="77777777" w:rsidR="00744904" w:rsidRDefault="00000000" w:rsidP="0009397F">
            <w:r>
              <w:rPr>
                <w:rFonts w:ascii="Traditional Arabic" w:eastAsia="Traditional Arabic" w:hAnsi="Traditional Arabic" w:cs="Traditional Arabic"/>
                <w:b/>
                <w:bCs/>
                <w:color w:val="FFFFFF"/>
                <w:sz w:val="22"/>
                <w:szCs w:val="22"/>
              </w:rPr>
              <w:t>TLRT</w:t>
            </w:r>
          </w:p>
        </w:tc>
      </w:tr>
      <w:tr w:rsidR="00744904" w14:paraId="31227C22" w14:textId="77777777">
        <w:tblPrEx>
          <w:tblCellMar>
            <w:top w:w="0" w:type="dxa"/>
            <w:bottom w:w="0" w:type="dxa"/>
          </w:tblCellMar>
        </w:tblPrEx>
        <w:tc>
          <w:tcPr>
            <w:tcW w:w="18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40" w:type="dxa"/>
              <w:bottom w:w="80" w:type="dxa"/>
              <w:right w:w="140" w:type="dxa"/>
            </w:tcMar>
            <w:vAlign w:val="center"/>
          </w:tcPr>
          <w:p w14:paraId="7E3266EA" w14:textId="77777777" w:rsidR="00744904" w:rsidRDefault="00000000" w:rsidP="0009397F">
            <w:r>
              <w:rPr>
                <w:rFonts w:ascii="Traditional Arabic" w:eastAsia="Traditional Arabic" w:hAnsi="Traditional Arabic" w:cs="Traditional Arabic"/>
                <w:color w:val="1A1A1A"/>
                <w:sz w:val="22"/>
                <w:szCs w:val="22"/>
              </w:rPr>
              <w:t>نظرة إلى الذنب</w:t>
            </w:r>
          </w:p>
        </w:tc>
        <w:tc>
          <w:tcPr>
            <w:tcW w:w="180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40" w:type="dxa"/>
              <w:bottom w:w="80" w:type="dxa"/>
              <w:right w:w="140" w:type="dxa"/>
            </w:tcMar>
            <w:vAlign w:val="center"/>
          </w:tcPr>
          <w:p w14:paraId="6EA30E20" w14:textId="77777777" w:rsidR="00744904" w:rsidRDefault="00000000" w:rsidP="0009397F">
            <w:r>
              <w:rPr>
                <w:rFonts w:ascii="Traditional Arabic" w:eastAsia="Traditional Arabic" w:hAnsi="Traditional Arabic" w:cs="Traditional Arabic"/>
                <w:color w:val="1A1A1A"/>
                <w:sz w:val="22"/>
                <w:szCs w:val="22"/>
              </w:rPr>
              <w:t>خطأ معرفي (مغالطة)</w:t>
            </w:r>
          </w:p>
        </w:tc>
        <w:tc>
          <w:tcPr>
            <w:tcW w:w="180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40" w:type="dxa"/>
              <w:bottom w:w="80" w:type="dxa"/>
              <w:right w:w="140" w:type="dxa"/>
            </w:tcMar>
            <w:vAlign w:val="center"/>
          </w:tcPr>
          <w:p w14:paraId="0061C9DB" w14:textId="77777777" w:rsidR="00744904" w:rsidRDefault="00000000" w:rsidP="0009397F">
            <w:r>
              <w:rPr>
                <w:rFonts w:ascii="Traditional Arabic" w:eastAsia="Traditional Arabic" w:hAnsi="Traditional Arabic" w:cs="Traditional Arabic"/>
                <w:color w:val="1A1A1A"/>
                <w:sz w:val="22"/>
                <w:szCs w:val="22"/>
              </w:rPr>
              <w:t>صراع لاشعوري (بين الأنا والأنا الأعلى)</w:t>
            </w:r>
          </w:p>
        </w:tc>
        <w:tc>
          <w:tcPr>
            <w:tcW w:w="1807" w:type="dxa"/>
            <w:tcBorders>
              <w:top w:val="single" w:sz="4" w:space="0" w:color="B0C4DE"/>
              <w:left w:val="single" w:sz="4" w:space="0" w:color="B0C4DE"/>
              <w:bottom w:val="single" w:sz="4" w:space="0" w:color="B0C4DE"/>
              <w:right w:val="single" w:sz="4" w:space="0" w:color="B0C4DE"/>
            </w:tcBorders>
            <w:shd w:val="clear" w:color="auto" w:fill="FFFFFF"/>
            <w:tcMar>
              <w:top w:w="80" w:type="dxa"/>
              <w:left w:w="140" w:type="dxa"/>
              <w:bottom w:w="80" w:type="dxa"/>
              <w:right w:w="140" w:type="dxa"/>
            </w:tcMar>
            <w:vAlign w:val="center"/>
          </w:tcPr>
          <w:p w14:paraId="42897D26" w14:textId="77777777" w:rsidR="00744904" w:rsidRDefault="00000000" w:rsidP="0009397F">
            <w:r>
              <w:rPr>
                <w:rFonts w:ascii="Traditional Arabic" w:eastAsia="Traditional Arabic" w:hAnsi="Traditional Arabic" w:cs="Traditional Arabic"/>
                <w:color w:val="1A1A1A"/>
                <w:sz w:val="22"/>
                <w:szCs w:val="22"/>
              </w:rPr>
              <w:t>مسؤولية وجودية (اختيار حر)</w:t>
            </w:r>
          </w:p>
        </w:tc>
        <w:tc>
          <w:tcPr>
            <w:tcW w:w="1807" w:type="dxa"/>
            <w:tcBorders>
              <w:top w:val="single" w:sz="4" w:space="0" w:color="B0C4DE"/>
              <w:left w:val="single" w:sz="4" w:space="0" w:color="B0C4DE"/>
              <w:bottom w:val="single" w:sz="4" w:space="0" w:color="B0C4DE"/>
              <w:right w:val="single" w:sz="4" w:space="0" w:color="B0C4DE"/>
            </w:tcBorders>
            <w:shd w:val="clear" w:color="auto" w:fill="FFFFFF"/>
            <w:tcMar>
              <w:top w:w="80" w:type="dxa"/>
              <w:left w:w="140" w:type="dxa"/>
              <w:bottom w:w="80" w:type="dxa"/>
              <w:right w:w="140" w:type="dxa"/>
            </w:tcMar>
            <w:vAlign w:val="center"/>
          </w:tcPr>
          <w:p w14:paraId="2F92E330" w14:textId="77777777" w:rsidR="00744904" w:rsidRDefault="00000000" w:rsidP="0009397F">
            <w:r>
              <w:rPr>
                <w:rFonts w:ascii="Traditional Arabic" w:eastAsia="Traditional Arabic" w:hAnsi="Traditional Arabic" w:cs="Traditional Arabic"/>
                <w:color w:val="1A1A1A"/>
                <w:sz w:val="22"/>
                <w:szCs w:val="22"/>
              </w:rPr>
              <w:t>طاقة وجودية محتجزة تحتاج تحويلاً</w:t>
            </w:r>
          </w:p>
        </w:tc>
      </w:tr>
      <w:tr w:rsidR="00744904" w14:paraId="5848E483" w14:textId="77777777">
        <w:tblPrEx>
          <w:tblCellMar>
            <w:top w:w="0" w:type="dxa"/>
            <w:bottom w:w="0" w:type="dxa"/>
          </w:tblCellMar>
        </w:tblPrEx>
        <w:tc>
          <w:tcPr>
            <w:tcW w:w="1800" w:type="dxa"/>
            <w:tcBorders>
              <w:top w:val="single" w:sz="4" w:space="0" w:color="B0C4DE"/>
              <w:left w:val="single" w:sz="4" w:space="0" w:color="B0C4DE"/>
              <w:bottom w:val="single" w:sz="4" w:space="0" w:color="B0C4DE"/>
              <w:right w:val="single" w:sz="4" w:space="0" w:color="B0C4DE"/>
            </w:tcBorders>
            <w:shd w:val="clear" w:color="auto" w:fill="E8EFF7"/>
            <w:tcMar>
              <w:top w:w="80" w:type="dxa"/>
              <w:left w:w="140" w:type="dxa"/>
              <w:bottom w:w="80" w:type="dxa"/>
              <w:right w:w="140" w:type="dxa"/>
            </w:tcMar>
            <w:vAlign w:val="center"/>
          </w:tcPr>
          <w:p w14:paraId="1300FA13" w14:textId="77777777" w:rsidR="00744904" w:rsidRDefault="00000000" w:rsidP="0009397F">
            <w:r>
              <w:rPr>
                <w:rFonts w:ascii="Traditional Arabic" w:eastAsia="Traditional Arabic" w:hAnsi="Traditional Arabic" w:cs="Traditional Arabic"/>
                <w:color w:val="1A1A1A"/>
                <w:sz w:val="22"/>
                <w:szCs w:val="22"/>
              </w:rPr>
              <w:t>آلية العلاج المركزية</w:t>
            </w:r>
          </w:p>
        </w:tc>
        <w:tc>
          <w:tcPr>
            <w:tcW w:w="1806" w:type="dxa"/>
            <w:tcBorders>
              <w:top w:val="single" w:sz="4" w:space="0" w:color="B0C4DE"/>
              <w:left w:val="single" w:sz="4" w:space="0" w:color="B0C4DE"/>
              <w:bottom w:val="single" w:sz="4" w:space="0" w:color="B0C4DE"/>
              <w:right w:val="single" w:sz="4" w:space="0" w:color="B0C4DE"/>
            </w:tcBorders>
            <w:shd w:val="clear" w:color="auto" w:fill="E8EFF7"/>
            <w:tcMar>
              <w:top w:w="80" w:type="dxa"/>
              <w:left w:w="140" w:type="dxa"/>
              <w:bottom w:w="80" w:type="dxa"/>
              <w:right w:w="140" w:type="dxa"/>
            </w:tcMar>
            <w:vAlign w:val="center"/>
          </w:tcPr>
          <w:p w14:paraId="27865696" w14:textId="77777777" w:rsidR="00744904" w:rsidRDefault="00000000" w:rsidP="0009397F">
            <w:r>
              <w:rPr>
                <w:rFonts w:ascii="Traditional Arabic" w:eastAsia="Traditional Arabic" w:hAnsi="Traditional Arabic" w:cs="Traditional Arabic"/>
                <w:color w:val="1A1A1A"/>
                <w:sz w:val="22"/>
                <w:szCs w:val="22"/>
              </w:rPr>
              <w:t>إعادة هيكلة معرفية</w:t>
            </w:r>
          </w:p>
        </w:tc>
        <w:tc>
          <w:tcPr>
            <w:tcW w:w="1806" w:type="dxa"/>
            <w:tcBorders>
              <w:top w:val="single" w:sz="4" w:space="0" w:color="B0C4DE"/>
              <w:left w:val="single" w:sz="4" w:space="0" w:color="B0C4DE"/>
              <w:bottom w:val="single" w:sz="4" w:space="0" w:color="B0C4DE"/>
              <w:right w:val="single" w:sz="4" w:space="0" w:color="B0C4DE"/>
            </w:tcBorders>
            <w:shd w:val="clear" w:color="auto" w:fill="E8EFF7"/>
            <w:tcMar>
              <w:top w:w="80" w:type="dxa"/>
              <w:left w:w="140" w:type="dxa"/>
              <w:bottom w:w="80" w:type="dxa"/>
              <w:right w:w="140" w:type="dxa"/>
            </w:tcMar>
            <w:vAlign w:val="center"/>
          </w:tcPr>
          <w:p w14:paraId="67B48E5C" w14:textId="77777777" w:rsidR="00744904" w:rsidRDefault="00000000" w:rsidP="0009397F">
            <w:r>
              <w:rPr>
                <w:rFonts w:ascii="Traditional Arabic" w:eastAsia="Traditional Arabic" w:hAnsi="Traditional Arabic" w:cs="Traditional Arabic"/>
                <w:color w:val="1A1A1A"/>
                <w:sz w:val="22"/>
                <w:szCs w:val="22"/>
              </w:rPr>
              <w:t>تفسير وتحليل للمقاومة</w:t>
            </w:r>
          </w:p>
        </w:tc>
        <w:tc>
          <w:tcPr>
            <w:tcW w:w="1807" w:type="dxa"/>
            <w:tcBorders>
              <w:top w:val="single" w:sz="4" w:space="0" w:color="B0C4DE"/>
              <w:left w:val="single" w:sz="4" w:space="0" w:color="B0C4DE"/>
              <w:bottom w:val="single" w:sz="4" w:space="0" w:color="B0C4DE"/>
              <w:right w:val="single" w:sz="4" w:space="0" w:color="B0C4DE"/>
            </w:tcBorders>
            <w:shd w:val="clear" w:color="auto" w:fill="E8EFF7"/>
            <w:tcMar>
              <w:top w:w="80" w:type="dxa"/>
              <w:left w:w="140" w:type="dxa"/>
              <w:bottom w:w="80" w:type="dxa"/>
              <w:right w:w="140" w:type="dxa"/>
            </w:tcMar>
            <w:vAlign w:val="center"/>
          </w:tcPr>
          <w:p w14:paraId="14C63F68" w14:textId="77777777" w:rsidR="00744904" w:rsidRDefault="00000000" w:rsidP="0009397F">
            <w:r>
              <w:rPr>
                <w:rFonts w:ascii="Traditional Arabic" w:eastAsia="Traditional Arabic" w:hAnsi="Traditional Arabic" w:cs="Traditional Arabic"/>
                <w:color w:val="1A1A1A"/>
                <w:sz w:val="22"/>
                <w:szCs w:val="22"/>
              </w:rPr>
              <w:t>بحث عن المعنى (Logo-therapy)</w:t>
            </w:r>
          </w:p>
        </w:tc>
        <w:tc>
          <w:tcPr>
            <w:tcW w:w="1807" w:type="dxa"/>
            <w:tcBorders>
              <w:top w:val="single" w:sz="4" w:space="0" w:color="B0C4DE"/>
              <w:left w:val="single" w:sz="4" w:space="0" w:color="B0C4DE"/>
              <w:bottom w:val="single" w:sz="4" w:space="0" w:color="B0C4DE"/>
              <w:right w:val="single" w:sz="4" w:space="0" w:color="B0C4DE"/>
            </w:tcBorders>
            <w:shd w:val="clear" w:color="auto" w:fill="E8EFF7"/>
            <w:tcMar>
              <w:top w:w="80" w:type="dxa"/>
              <w:left w:w="140" w:type="dxa"/>
              <w:bottom w:w="80" w:type="dxa"/>
              <w:right w:w="140" w:type="dxa"/>
            </w:tcMar>
            <w:vAlign w:val="center"/>
          </w:tcPr>
          <w:p w14:paraId="147B4669" w14:textId="77777777" w:rsidR="00744904" w:rsidRDefault="00000000" w:rsidP="0009397F">
            <w:r>
              <w:rPr>
                <w:rFonts w:ascii="Traditional Arabic" w:eastAsia="Traditional Arabic" w:hAnsi="Traditional Arabic" w:cs="Traditional Arabic"/>
                <w:color w:val="1A1A1A"/>
                <w:sz w:val="22"/>
                <w:szCs w:val="22"/>
              </w:rPr>
              <w:t>بناء جسر سلوكي + كينتسوغي نفسي</w:t>
            </w:r>
          </w:p>
        </w:tc>
      </w:tr>
      <w:tr w:rsidR="00744904" w14:paraId="155E3B30" w14:textId="77777777">
        <w:tblPrEx>
          <w:tblCellMar>
            <w:top w:w="0" w:type="dxa"/>
            <w:bottom w:w="0" w:type="dxa"/>
          </w:tblCellMar>
        </w:tblPrEx>
        <w:tc>
          <w:tcPr>
            <w:tcW w:w="18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40" w:type="dxa"/>
              <w:bottom w:w="80" w:type="dxa"/>
              <w:right w:w="140" w:type="dxa"/>
            </w:tcMar>
            <w:vAlign w:val="center"/>
          </w:tcPr>
          <w:p w14:paraId="7F736288" w14:textId="77777777" w:rsidR="00744904" w:rsidRDefault="00000000" w:rsidP="0009397F">
            <w:r>
              <w:rPr>
                <w:rFonts w:ascii="Traditional Arabic" w:eastAsia="Traditional Arabic" w:hAnsi="Traditional Arabic" w:cs="Traditional Arabic"/>
                <w:color w:val="1A1A1A"/>
                <w:sz w:val="22"/>
                <w:szCs w:val="22"/>
              </w:rPr>
              <w:t>دور الروحانيات</w:t>
            </w:r>
          </w:p>
        </w:tc>
        <w:tc>
          <w:tcPr>
            <w:tcW w:w="180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40" w:type="dxa"/>
              <w:bottom w:w="80" w:type="dxa"/>
              <w:right w:w="140" w:type="dxa"/>
            </w:tcMar>
            <w:vAlign w:val="center"/>
          </w:tcPr>
          <w:p w14:paraId="0897FFA9" w14:textId="77777777" w:rsidR="00744904" w:rsidRDefault="00000000" w:rsidP="0009397F">
            <w:r>
              <w:rPr>
                <w:rFonts w:ascii="Traditional Arabic" w:eastAsia="Traditional Arabic" w:hAnsi="Traditional Arabic" w:cs="Traditional Arabic"/>
                <w:color w:val="1A1A1A"/>
                <w:sz w:val="22"/>
                <w:szCs w:val="22"/>
              </w:rPr>
              <w:t>هامشي أو غائب</w:t>
            </w:r>
          </w:p>
        </w:tc>
        <w:tc>
          <w:tcPr>
            <w:tcW w:w="180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40" w:type="dxa"/>
              <w:bottom w:w="80" w:type="dxa"/>
              <w:right w:w="140" w:type="dxa"/>
            </w:tcMar>
            <w:vAlign w:val="center"/>
          </w:tcPr>
          <w:p w14:paraId="4A379A6F" w14:textId="77777777" w:rsidR="00744904" w:rsidRDefault="00000000" w:rsidP="0009397F">
            <w:r>
              <w:rPr>
                <w:rFonts w:ascii="Traditional Arabic" w:eastAsia="Traditional Arabic" w:hAnsi="Traditional Arabic" w:cs="Traditional Arabic"/>
                <w:color w:val="1A1A1A"/>
                <w:sz w:val="22"/>
                <w:szCs w:val="22"/>
              </w:rPr>
              <w:t>هامشي (رمزية دينية)</w:t>
            </w:r>
          </w:p>
        </w:tc>
        <w:tc>
          <w:tcPr>
            <w:tcW w:w="1807" w:type="dxa"/>
            <w:tcBorders>
              <w:top w:val="single" w:sz="4" w:space="0" w:color="B0C4DE"/>
              <w:left w:val="single" w:sz="4" w:space="0" w:color="B0C4DE"/>
              <w:bottom w:val="single" w:sz="4" w:space="0" w:color="B0C4DE"/>
              <w:right w:val="single" w:sz="4" w:space="0" w:color="B0C4DE"/>
            </w:tcBorders>
            <w:shd w:val="clear" w:color="auto" w:fill="FFFFFF"/>
            <w:tcMar>
              <w:top w:w="80" w:type="dxa"/>
              <w:left w:w="140" w:type="dxa"/>
              <w:bottom w:w="80" w:type="dxa"/>
              <w:right w:w="140" w:type="dxa"/>
            </w:tcMar>
            <w:vAlign w:val="center"/>
          </w:tcPr>
          <w:p w14:paraId="522C7C53" w14:textId="77777777" w:rsidR="00744904" w:rsidRDefault="00000000" w:rsidP="0009397F">
            <w:r>
              <w:rPr>
                <w:rFonts w:ascii="Traditional Arabic" w:eastAsia="Traditional Arabic" w:hAnsi="Traditional Arabic" w:cs="Traditional Arabic"/>
                <w:color w:val="1A1A1A"/>
                <w:sz w:val="22"/>
                <w:szCs w:val="22"/>
              </w:rPr>
              <w:t>مركزي (كمعنى، لا كمرجعية إلهية)</w:t>
            </w:r>
          </w:p>
        </w:tc>
        <w:tc>
          <w:tcPr>
            <w:tcW w:w="1807" w:type="dxa"/>
            <w:tcBorders>
              <w:top w:val="single" w:sz="4" w:space="0" w:color="B0C4DE"/>
              <w:left w:val="single" w:sz="4" w:space="0" w:color="B0C4DE"/>
              <w:bottom w:val="single" w:sz="4" w:space="0" w:color="B0C4DE"/>
              <w:right w:val="single" w:sz="4" w:space="0" w:color="B0C4DE"/>
            </w:tcBorders>
            <w:shd w:val="clear" w:color="auto" w:fill="FFFFFF"/>
            <w:tcMar>
              <w:top w:w="80" w:type="dxa"/>
              <w:left w:w="140" w:type="dxa"/>
              <w:bottom w:w="80" w:type="dxa"/>
              <w:right w:w="140" w:type="dxa"/>
            </w:tcMar>
            <w:vAlign w:val="center"/>
          </w:tcPr>
          <w:p w14:paraId="0FAA5A7E" w14:textId="77777777" w:rsidR="00744904" w:rsidRDefault="00000000" w:rsidP="0009397F">
            <w:r>
              <w:rPr>
                <w:rFonts w:ascii="Traditional Arabic" w:eastAsia="Traditional Arabic" w:hAnsi="Traditional Arabic" w:cs="Traditional Arabic"/>
                <w:color w:val="1A1A1A"/>
                <w:sz w:val="22"/>
                <w:szCs w:val="22"/>
              </w:rPr>
              <w:t>مركزي (مرجعية إلهية + فطرة + تزكية)</w:t>
            </w:r>
          </w:p>
        </w:tc>
      </w:tr>
      <w:tr w:rsidR="00744904" w14:paraId="781F24A0" w14:textId="77777777">
        <w:tblPrEx>
          <w:tblCellMar>
            <w:top w:w="0" w:type="dxa"/>
            <w:bottom w:w="0" w:type="dxa"/>
          </w:tblCellMar>
        </w:tblPrEx>
        <w:tc>
          <w:tcPr>
            <w:tcW w:w="1800" w:type="dxa"/>
            <w:tcBorders>
              <w:top w:val="single" w:sz="4" w:space="0" w:color="B0C4DE"/>
              <w:left w:val="single" w:sz="4" w:space="0" w:color="B0C4DE"/>
              <w:bottom w:val="single" w:sz="4" w:space="0" w:color="B0C4DE"/>
              <w:right w:val="single" w:sz="4" w:space="0" w:color="B0C4DE"/>
            </w:tcBorders>
            <w:shd w:val="clear" w:color="auto" w:fill="E8EFF7"/>
            <w:tcMar>
              <w:top w:w="80" w:type="dxa"/>
              <w:left w:w="140" w:type="dxa"/>
              <w:bottom w:w="80" w:type="dxa"/>
              <w:right w:w="140" w:type="dxa"/>
            </w:tcMar>
            <w:vAlign w:val="center"/>
          </w:tcPr>
          <w:p w14:paraId="5B1168BE" w14:textId="77777777" w:rsidR="00744904" w:rsidRDefault="00000000" w:rsidP="0009397F">
            <w:r>
              <w:rPr>
                <w:rFonts w:ascii="Traditional Arabic" w:eastAsia="Traditional Arabic" w:hAnsi="Traditional Arabic" w:cs="Traditional Arabic"/>
                <w:color w:val="1A1A1A"/>
                <w:sz w:val="22"/>
                <w:szCs w:val="22"/>
              </w:rPr>
              <w:t>الهدف النهائي</w:t>
            </w:r>
          </w:p>
        </w:tc>
        <w:tc>
          <w:tcPr>
            <w:tcW w:w="1806" w:type="dxa"/>
            <w:tcBorders>
              <w:top w:val="single" w:sz="4" w:space="0" w:color="B0C4DE"/>
              <w:left w:val="single" w:sz="4" w:space="0" w:color="B0C4DE"/>
              <w:bottom w:val="single" w:sz="4" w:space="0" w:color="B0C4DE"/>
              <w:right w:val="single" w:sz="4" w:space="0" w:color="B0C4DE"/>
            </w:tcBorders>
            <w:shd w:val="clear" w:color="auto" w:fill="E8EFF7"/>
            <w:tcMar>
              <w:top w:w="80" w:type="dxa"/>
              <w:left w:w="140" w:type="dxa"/>
              <w:bottom w:w="80" w:type="dxa"/>
              <w:right w:w="140" w:type="dxa"/>
            </w:tcMar>
            <w:vAlign w:val="center"/>
          </w:tcPr>
          <w:p w14:paraId="45EC25BA" w14:textId="77777777" w:rsidR="00744904" w:rsidRDefault="00000000" w:rsidP="0009397F">
            <w:r>
              <w:rPr>
                <w:rFonts w:ascii="Traditional Arabic" w:eastAsia="Traditional Arabic" w:hAnsi="Traditional Arabic" w:cs="Traditional Arabic"/>
                <w:color w:val="1A1A1A"/>
                <w:sz w:val="22"/>
                <w:szCs w:val="22"/>
              </w:rPr>
              <w:t>تعديل السلوك وتخفيف الأعراض</w:t>
            </w:r>
          </w:p>
        </w:tc>
        <w:tc>
          <w:tcPr>
            <w:tcW w:w="1806" w:type="dxa"/>
            <w:tcBorders>
              <w:top w:val="single" w:sz="4" w:space="0" w:color="B0C4DE"/>
              <w:left w:val="single" w:sz="4" w:space="0" w:color="B0C4DE"/>
              <w:bottom w:val="single" w:sz="4" w:space="0" w:color="B0C4DE"/>
              <w:right w:val="single" w:sz="4" w:space="0" w:color="B0C4DE"/>
            </w:tcBorders>
            <w:shd w:val="clear" w:color="auto" w:fill="E8EFF7"/>
            <w:tcMar>
              <w:top w:w="80" w:type="dxa"/>
              <w:left w:w="140" w:type="dxa"/>
              <w:bottom w:w="80" w:type="dxa"/>
              <w:right w:w="140" w:type="dxa"/>
            </w:tcMar>
            <w:vAlign w:val="center"/>
          </w:tcPr>
          <w:p w14:paraId="0F702F35" w14:textId="77777777" w:rsidR="00744904" w:rsidRDefault="00000000" w:rsidP="0009397F">
            <w:r>
              <w:rPr>
                <w:rFonts w:ascii="Traditional Arabic" w:eastAsia="Traditional Arabic" w:hAnsi="Traditional Arabic" w:cs="Traditional Arabic"/>
                <w:color w:val="1A1A1A"/>
                <w:sz w:val="22"/>
                <w:szCs w:val="22"/>
              </w:rPr>
              <w:t>بصيرة وتحقيق التوازن النفسي</w:t>
            </w:r>
          </w:p>
        </w:tc>
        <w:tc>
          <w:tcPr>
            <w:tcW w:w="1807" w:type="dxa"/>
            <w:tcBorders>
              <w:top w:val="single" w:sz="4" w:space="0" w:color="B0C4DE"/>
              <w:left w:val="single" w:sz="4" w:space="0" w:color="B0C4DE"/>
              <w:bottom w:val="single" w:sz="4" w:space="0" w:color="B0C4DE"/>
              <w:right w:val="single" w:sz="4" w:space="0" w:color="B0C4DE"/>
            </w:tcBorders>
            <w:shd w:val="clear" w:color="auto" w:fill="E8EFF7"/>
            <w:tcMar>
              <w:top w:w="80" w:type="dxa"/>
              <w:left w:w="140" w:type="dxa"/>
              <w:bottom w:w="80" w:type="dxa"/>
              <w:right w:w="140" w:type="dxa"/>
            </w:tcMar>
            <w:vAlign w:val="center"/>
          </w:tcPr>
          <w:p w14:paraId="5DCFC78A" w14:textId="77777777" w:rsidR="00744904" w:rsidRDefault="00000000" w:rsidP="0009397F">
            <w:r>
              <w:rPr>
                <w:rFonts w:ascii="Traditional Arabic" w:eastAsia="Traditional Arabic" w:hAnsi="Traditional Arabic" w:cs="Traditional Arabic"/>
                <w:color w:val="1A1A1A"/>
                <w:sz w:val="22"/>
                <w:szCs w:val="22"/>
              </w:rPr>
              <w:t>معنى وجودي وتحقيق الذات</w:t>
            </w:r>
          </w:p>
        </w:tc>
        <w:tc>
          <w:tcPr>
            <w:tcW w:w="1807" w:type="dxa"/>
            <w:tcBorders>
              <w:top w:val="single" w:sz="4" w:space="0" w:color="B0C4DE"/>
              <w:left w:val="single" w:sz="4" w:space="0" w:color="B0C4DE"/>
              <w:bottom w:val="single" w:sz="4" w:space="0" w:color="B0C4DE"/>
              <w:right w:val="single" w:sz="4" w:space="0" w:color="B0C4DE"/>
            </w:tcBorders>
            <w:shd w:val="clear" w:color="auto" w:fill="E8EFF7"/>
            <w:tcMar>
              <w:top w:w="80" w:type="dxa"/>
              <w:left w:w="140" w:type="dxa"/>
              <w:bottom w:w="80" w:type="dxa"/>
              <w:right w:w="140" w:type="dxa"/>
            </w:tcMar>
            <w:vAlign w:val="center"/>
          </w:tcPr>
          <w:p w14:paraId="0726D752" w14:textId="77777777" w:rsidR="00744904" w:rsidRDefault="00000000" w:rsidP="0009397F">
            <w:r>
              <w:rPr>
                <w:rFonts w:ascii="Traditional Arabic" w:eastAsia="Traditional Arabic" w:hAnsi="Traditional Arabic" w:cs="Traditional Arabic"/>
                <w:color w:val="1A1A1A"/>
                <w:sz w:val="22"/>
                <w:szCs w:val="22"/>
              </w:rPr>
              <w:t>تحويل الذنب إلى عطاء (الاستخلاف)</w:t>
            </w:r>
          </w:p>
        </w:tc>
      </w:tr>
      <w:tr w:rsidR="00744904" w14:paraId="50E857BD" w14:textId="77777777">
        <w:tblPrEx>
          <w:tblCellMar>
            <w:top w:w="0" w:type="dxa"/>
            <w:bottom w:w="0" w:type="dxa"/>
          </w:tblCellMar>
        </w:tblPrEx>
        <w:tc>
          <w:tcPr>
            <w:tcW w:w="1800" w:type="dxa"/>
            <w:tcBorders>
              <w:top w:val="single" w:sz="4" w:space="0" w:color="B0C4DE"/>
              <w:left w:val="single" w:sz="4" w:space="0" w:color="B0C4DE"/>
              <w:bottom w:val="single" w:sz="4" w:space="0" w:color="B0C4DE"/>
              <w:right w:val="single" w:sz="4" w:space="0" w:color="B0C4DE"/>
            </w:tcBorders>
            <w:shd w:val="clear" w:color="auto" w:fill="FFFFFF"/>
            <w:tcMar>
              <w:top w:w="80" w:type="dxa"/>
              <w:left w:w="140" w:type="dxa"/>
              <w:bottom w:w="80" w:type="dxa"/>
              <w:right w:w="140" w:type="dxa"/>
            </w:tcMar>
            <w:vAlign w:val="center"/>
          </w:tcPr>
          <w:p w14:paraId="5DCD0509" w14:textId="77777777" w:rsidR="00744904" w:rsidRDefault="00000000" w:rsidP="0009397F">
            <w:r>
              <w:rPr>
                <w:rFonts w:ascii="Traditional Arabic" w:eastAsia="Traditional Arabic" w:hAnsi="Traditional Arabic" w:cs="Traditional Arabic"/>
                <w:color w:val="1A1A1A"/>
                <w:sz w:val="22"/>
                <w:szCs w:val="22"/>
              </w:rPr>
              <w:t>الاستدامة</w:t>
            </w:r>
          </w:p>
        </w:tc>
        <w:tc>
          <w:tcPr>
            <w:tcW w:w="180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40" w:type="dxa"/>
              <w:bottom w:w="80" w:type="dxa"/>
              <w:right w:w="140" w:type="dxa"/>
            </w:tcMar>
            <w:vAlign w:val="center"/>
          </w:tcPr>
          <w:p w14:paraId="1D470E4D" w14:textId="77777777" w:rsidR="00744904" w:rsidRDefault="00000000" w:rsidP="0009397F">
            <w:r>
              <w:rPr>
                <w:rFonts w:ascii="Traditional Arabic" w:eastAsia="Traditional Arabic" w:hAnsi="Traditional Arabic" w:cs="Traditional Arabic"/>
                <w:color w:val="1A1A1A"/>
                <w:sz w:val="22"/>
                <w:szCs w:val="22"/>
              </w:rPr>
              <w:t>مهارات معرفية وسلوكية</w:t>
            </w:r>
          </w:p>
        </w:tc>
        <w:tc>
          <w:tcPr>
            <w:tcW w:w="1806" w:type="dxa"/>
            <w:tcBorders>
              <w:top w:val="single" w:sz="4" w:space="0" w:color="B0C4DE"/>
              <w:left w:val="single" w:sz="4" w:space="0" w:color="B0C4DE"/>
              <w:bottom w:val="single" w:sz="4" w:space="0" w:color="B0C4DE"/>
              <w:right w:val="single" w:sz="4" w:space="0" w:color="B0C4DE"/>
            </w:tcBorders>
            <w:shd w:val="clear" w:color="auto" w:fill="FFFFFF"/>
            <w:tcMar>
              <w:top w:w="80" w:type="dxa"/>
              <w:left w:w="140" w:type="dxa"/>
              <w:bottom w:w="80" w:type="dxa"/>
              <w:right w:w="140" w:type="dxa"/>
            </w:tcMar>
            <w:vAlign w:val="center"/>
          </w:tcPr>
          <w:p w14:paraId="49FC6641" w14:textId="77777777" w:rsidR="00744904" w:rsidRDefault="00000000" w:rsidP="0009397F">
            <w:r>
              <w:rPr>
                <w:rFonts w:ascii="Traditional Arabic" w:eastAsia="Traditional Arabic" w:hAnsi="Traditional Arabic" w:cs="Traditional Arabic"/>
                <w:color w:val="1A1A1A"/>
                <w:sz w:val="22"/>
                <w:szCs w:val="22"/>
              </w:rPr>
              <w:t>استبصار (لا يتضمن بالضرورة استدامة سلوكية)</w:t>
            </w:r>
          </w:p>
        </w:tc>
        <w:tc>
          <w:tcPr>
            <w:tcW w:w="1807" w:type="dxa"/>
            <w:tcBorders>
              <w:top w:val="single" w:sz="4" w:space="0" w:color="B0C4DE"/>
              <w:left w:val="single" w:sz="4" w:space="0" w:color="B0C4DE"/>
              <w:bottom w:val="single" w:sz="4" w:space="0" w:color="B0C4DE"/>
              <w:right w:val="single" w:sz="4" w:space="0" w:color="B0C4DE"/>
            </w:tcBorders>
            <w:shd w:val="clear" w:color="auto" w:fill="FFFFFF"/>
            <w:tcMar>
              <w:top w:w="80" w:type="dxa"/>
              <w:left w:w="140" w:type="dxa"/>
              <w:bottom w:w="80" w:type="dxa"/>
              <w:right w:w="140" w:type="dxa"/>
            </w:tcMar>
            <w:vAlign w:val="center"/>
          </w:tcPr>
          <w:p w14:paraId="72EBB3FC" w14:textId="77777777" w:rsidR="00744904" w:rsidRDefault="00000000" w:rsidP="0009397F">
            <w:r>
              <w:rPr>
                <w:rFonts w:ascii="Traditional Arabic" w:eastAsia="Traditional Arabic" w:hAnsi="Traditional Arabic" w:cs="Traditional Arabic"/>
                <w:color w:val="1A1A1A"/>
                <w:sz w:val="22"/>
                <w:szCs w:val="22"/>
              </w:rPr>
              <w:t>التزام وجودي شخصي</w:t>
            </w:r>
          </w:p>
        </w:tc>
        <w:tc>
          <w:tcPr>
            <w:tcW w:w="1807" w:type="dxa"/>
            <w:tcBorders>
              <w:top w:val="single" w:sz="4" w:space="0" w:color="B0C4DE"/>
              <w:left w:val="single" w:sz="4" w:space="0" w:color="B0C4DE"/>
              <w:bottom w:val="single" w:sz="4" w:space="0" w:color="B0C4DE"/>
              <w:right w:val="single" w:sz="4" w:space="0" w:color="B0C4DE"/>
            </w:tcBorders>
            <w:shd w:val="clear" w:color="auto" w:fill="FFFFFF"/>
            <w:tcMar>
              <w:top w:w="80" w:type="dxa"/>
              <w:left w:w="140" w:type="dxa"/>
              <w:bottom w:w="80" w:type="dxa"/>
              <w:right w:w="140" w:type="dxa"/>
            </w:tcMar>
            <w:vAlign w:val="center"/>
          </w:tcPr>
          <w:p w14:paraId="5764CBB9" w14:textId="77777777" w:rsidR="00744904" w:rsidRDefault="00000000" w:rsidP="0009397F">
            <w:r>
              <w:rPr>
                <w:rFonts w:ascii="Traditional Arabic" w:eastAsia="Traditional Arabic" w:hAnsi="Traditional Arabic" w:cs="Traditional Arabic"/>
                <w:color w:val="1A1A1A"/>
                <w:sz w:val="22"/>
                <w:szCs w:val="22"/>
              </w:rPr>
              <w:t>نظام حياة متكامل (تزكية + إحسان)</w:t>
            </w:r>
          </w:p>
        </w:tc>
      </w:tr>
    </w:tbl>
    <w:p w14:paraId="7C7ADE33" w14:textId="77777777" w:rsidR="00744904" w:rsidRDefault="00000000" w:rsidP="0009397F">
      <w:pPr>
        <w:spacing w:before="20" w:after="80"/>
        <w:ind w:left="200" w:right="200"/>
      </w:pPr>
      <w:r>
        <w:rPr>
          <w:rFonts w:ascii="Traditional Arabic" w:eastAsia="Traditional Arabic" w:hAnsi="Traditional Arabic" w:cs="Traditional Arabic"/>
          <w:i/>
          <w:iCs/>
          <w:color w:val="1A7A6E"/>
          <w:sz w:val="22"/>
          <w:szCs w:val="22"/>
        </w:rPr>
        <w:t>(TLRT، 2026، الدليل النظري، ص 145-150)</w:t>
      </w:r>
    </w:p>
    <w:p w14:paraId="10AB43FD" w14:textId="77777777" w:rsidR="00744904" w:rsidRDefault="00000000" w:rsidP="0009397F">
      <w:pPr>
        <w:pageBreakBefore/>
        <w:pBdr>
          <w:bottom w:val="single" w:sz="12" w:space="4" w:color="B8860B"/>
        </w:pBdr>
        <w:spacing w:before="240" w:after="160"/>
      </w:pPr>
      <w:r>
        <w:rPr>
          <w:rFonts w:ascii="Traditional Arabic" w:eastAsia="Traditional Arabic" w:hAnsi="Traditional Arabic" w:cs="Traditional Arabic"/>
          <w:b/>
          <w:bCs/>
          <w:color w:val="1B3A5C"/>
          <w:sz w:val="36"/>
          <w:szCs w:val="36"/>
        </w:rPr>
        <w:t>1.7  توصيات بحثية عامة</w:t>
      </w:r>
    </w:p>
    <w:p w14:paraId="155C0553" w14:textId="77777777" w:rsidR="00744904" w:rsidRDefault="00000000" w:rsidP="0009397F">
      <w:pPr>
        <w:spacing w:before="40" w:after="80"/>
      </w:pPr>
      <w:r>
        <w:rPr>
          <w:rFonts w:ascii="Traditional Arabic" w:eastAsia="Traditional Arabic" w:hAnsi="Traditional Arabic" w:cs="Traditional Arabic"/>
          <w:color w:val="1A1A1A"/>
          <w:sz w:val="24"/>
          <w:szCs w:val="24"/>
        </w:rPr>
        <w:t>بناءً على الإطار النظري المقدم، يوصي هذا النموذج بإجراء بحوث تجريبية مستقبلية في المجالات التالية:</w:t>
      </w:r>
    </w:p>
    <w:p w14:paraId="0644EE6A" w14:textId="77777777" w:rsidR="00744904" w:rsidRDefault="00000000" w:rsidP="0009397F">
      <w:pPr>
        <w:pStyle w:val="a4"/>
        <w:numPr>
          <w:ilvl w:val="0"/>
          <w:numId w:val="2"/>
        </w:numPr>
        <w:spacing w:before="40" w:after="60"/>
      </w:pPr>
      <w:r>
        <w:rPr>
          <w:rFonts w:ascii="Traditional Arabic" w:eastAsia="Traditional Arabic" w:hAnsi="Traditional Arabic" w:cs="Traditional Arabic"/>
          <w:color w:val="1A1A1A"/>
          <w:sz w:val="24"/>
          <w:szCs w:val="24"/>
        </w:rPr>
        <w:t>بناء مقاييس سيكومترية: تطوير أدوات كمية لقياس مفاهيم النموذج الأساسية مثل: "النفس اللوامة"، "النفس المطمئنة"، "فاعلية الإحسان"، و"التحول السردي". (الزراع، 2023، ص 1125)</w:t>
      </w:r>
    </w:p>
    <w:p w14:paraId="1D7B00E6" w14:textId="77777777" w:rsidR="00744904" w:rsidRDefault="00000000" w:rsidP="0009397F">
      <w:pPr>
        <w:pStyle w:val="a4"/>
        <w:numPr>
          <w:ilvl w:val="0"/>
          <w:numId w:val="2"/>
        </w:numPr>
        <w:spacing w:before="40" w:after="60"/>
      </w:pPr>
      <w:r>
        <w:rPr>
          <w:rFonts w:ascii="Traditional Arabic" w:eastAsia="Traditional Arabic" w:hAnsi="Traditional Arabic" w:cs="Traditional Arabic"/>
          <w:color w:val="1A1A1A"/>
          <w:sz w:val="24"/>
          <w:szCs w:val="24"/>
        </w:rPr>
        <w:t>دراسات فعالية سريرية: إجراء تجارب سريرية عشوائية محكمة (RCTs) تقارن فعالية بروتوكول TLRT مع العلاج المعرفي-السلوكي (CBT) في علاج اضطرابات الذنب المرضي والاكتئاب المرتبط بالذنب. (TLRT، 2026، الدليل النظري، ص 170)</w:t>
      </w:r>
    </w:p>
    <w:p w14:paraId="12DE275D" w14:textId="77777777" w:rsidR="00744904" w:rsidRDefault="00000000" w:rsidP="0009397F">
      <w:pPr>
        <w:pStyle w:val="a4"/>
        <w:numPr>
          <w:ilvl w:val="0"/>
          <w:numId w:val="2"/>
        </w:numPr>
        <w:spacing w:before="40" w:after="60"/>
      </w:pPr>
      <w:r>
        <w:rPr>
          <w:rFonts w:ascii="Traditional Arabic" w:eastAsia="Traditional Arabic" w:hAnsi="Traditional Arabic" w:cs="Traditional Arabic"/>
          <w:color w:val="1A1A1A"/>
          <w:sz w:val="24"/>
          <w:szCs w:val="24"/>
        </w:rPr>
        <w:t>دراسات نوعية معمقة: تحليل متعمق لتجارب المرضى في كل مرحلة من المراحل الخمس، باستخدام منهجية الظاهريات (Phenomenology) وتحليل السرد (Narrative Analysis).</w:t>
      </w:r>
    </w:p>
    <w:p w14:paraId="6F98C9EA" w14:textId="77777777" w:rsidR="00744904" w:rsidRDefault="00000000" w:rsidP="0009397F">
      <w:pPr>
        <w:pStyle w:val="a4"/>
        <w:numPr>
          <w:ilvl w:val="0"/>
          <w:numId w:val="2"/>
        </w:numPr>
        <w:spacing w:before="40" w:after="60"/>
      </w:pPr>
      <w:r>
        <w:rPr>
          <w:rFonts w:ascii="Traditional Arabic" w:eastAsia="Traditional Arabic" w:hAnsi="Traditional Arabic" w:cs="Traditional Arabic"/>
          <w:color w:val="1A1A1A"/>
          <w:sz w:val="24"/>
          <w:szCs w:val="24"/>
        </w:rPr>
        <w:t>تكييف ثقافي: دراسة إمكانية تطبيق النموذج في سياقات دينية وثقافية مختلفة (غير الإسلامية)، واختبار قابلية تعميم مفاهيمه (مثل "خريطة الدين النفسي" و"الكينتسوغي النفسي").</w:t>
      </w:r>
    </w:p>
    <w:p w14:paraId="5386F983" w14:textId="77777777" w:rsidR="00744904" w:rsidRDefault="00000000" w:rsidP="0009397F">
      <w:pPr>
        <w:pageBreakBefore/>
        <w:pBdr>
          <w:bottom w:val="single" w:sz="12" w:space="4" w:color="B8860B"/>
        </w:pBdr>
        <w:spacing w:before="240" w:after="160"/>
      </w:pPr>
      <w:r>
        <w:rPr>
          <w:rFonts w:ascii="Traditional Arabic" w:eastAsia="Traditional Arabic" w:hAnsi="Traditional Arabic" w:cs="Traditional Arabic"/>
          <w:b/>
          <w:bCs/>
          <w:color w:val="1B3A5C"/>
          <w:sz w:val="36"/>
          <w:szCs w:val="36"/>
        </w:rPr>
        <w:t>1.8  خلاصة الفصل</w:t>
      </w:r>
    </w:p>
    <w:p w14:paraId="7C1EF8D1" w14:textId="77777777" w:rsidR="00744904" w:rsidRDefault="00000000" w:rsidP="0009397F">
      <w:pPr>
        <w:spacing w:before="40" w:after="80"/>
      </w:pPr>
      <w:r>
        <w:rPr>
          <w:rFonts w:ascii="Traditional Arabic" w:eastAsia="Traditional Arabic" w:hAnsi="Traditional Arabic" w:cs="Traditional Arabic"/>
          <w:color w:val="1A1A1A"/>
          <w:sz w:val="24"/>
          <w:szCs w:val="24"/>
        </w:rPr>
        <w:t>يمثل هذا الفصل الإطار النظري العام الذي ستنبثق منه الفصول التفصيلية للمراحل الخمس. تتلخص أبرز ملامحه في:</w:t>
      </w:r>
    </w:p>
    <w:p w14:paraId="4B3C6F26" w14:textId="77777777" w:rsidR="00744904" w:rsidRDefault="00000000" w:rsidP="0009397F">
      <w:pPr>
        <w:pStyle w:val="a4"/>
        <w:numPr>
          <w:ilvl w:val="0"/>
          <w:numId w:val="2"/>
        </w:numPr>
        <w:spacing w:before="40" w:after="60"/>
      </w:pPr>
      <w:r>
        <w:rPr>
          <w:rFonts w:ascii="Traditional Arabic" w:eastAsia="Traditional Arabic" w:hAnsi="Traditional Arabic" w:cs="Traditional Arabic"/>
          <w:color w:val="1A1A1A"/>
          <w:sz w:val="24"/>
          <w:szCs w:val="24"/>
        </w:rPr>
        <w:t>النموذج الخماسي الحلزوني: خمس مراحل متداخلة (التشخيص الوجودي، إعادة بناء صورة الله، التحويل الطاقي، إعادة كتابة السردية، الاستدامة) تشكل معاً ديناميكية تحولية غير خطية.</w:t>
      </w:r>
    </w:p>
    <w:p w14:paraId="6880DCFE" w14:textId="77777777" w:rsidR="00744904" w:rsidRDefault="00000000" w:rsidP="0009397F">
      <w:pPr>
        <w:pStyle w:val="a4"/>
        <w:numPr>
          <w:ilvl w:val="0"/>
          <w:numId w:val="2"/>
        </w:numPr>
        <w:spacing w:before="40" w:after="60"/>
      </w:pPr>
      <w:r>
        <w:rPr>
          <w:rFonts w:ascii="Traditional Arabic" w:eastAsia="Traditional Arabic" w:hAnsi="Traditional Arabic" w:cs="Traditional Arabic"/>
          <w:color w:val="1A1A1A"/>
          <w:sz w:val="24"/>
          <w:szCs w:val="24"/>
        </w:rPr>
        <w:t>مبادئ ديناميكية حاكمة: الثلاثية العلاجية (معرفي-وجداني-سلوكي)، مبدأ التحويل الطاقي، مبدأ التدرج التكاملي، ومبدأ التعويض الحي.</w:t>
      </w:r>
    </w:p>
    <w:p w14:paraId="32AAF476" w14:textId="77777777" w:rsidR="00744904" w:rsidRDefault="00000000" w:rsidP="0009397F">
      <w:pPr>
        <w:pStyle w:val="a4"/>
        <w:numPr>
          <w:ilvl w:val="0"/>
          <w:numId w:val="2"/>
        </w:numPr>
        <w:spacing w:before="40" w:after="60"/>
      </w:pPr>
      <w:r>
        <w:rPr>
          <w:rFonts w:ascii="Traditional Arabic" w:eastAsia="Traditional Arabic" w:hAnsi="Traditional Arabic" w:cs="Traditional Arabic"/>
          <w:color w:val="1A1A1A"/>
          <w:sz w:val="24"/>
          <w:szCs w:val="24"/>
        </w:rPr>
        <w:t>ثلاث ركائز نظرية: تحليلية (تفكيك الأنا الأعلى القاسي)، وجودية (المعنى في المعاناة)، وإسلامية (التزكية ومراتب النفس والإحسان).</w:t>
      </w:r>
    </w:p>
    <w:p w14:paraId="637113D4" w14:textId="77777777" w:rsidR="00744904" w:rsidRDefault="00000000" w:rsidP="0009397F">
      <w:pPr>
        <w:pStyle w:val="a4"/>
        <w:numPr>
          <w:ilvl w:val="0"/>
          <w:numId w:val="2"/>
        </w:numPr>
        <w:spacing w:before="40" w:after="60"/>
      </w:pPr>
      <w:r>
        <w:rPr>
          <w:rFonts w:ascii="Traditional Arabic" w:eastAsia="Traditional Arabic" w:hAnsi="Traditional Arabic" w:cs="Traditional Arabic"/>
          <w:color w:val="1A1A1A"/>
          <w:sz w:val="24"/>
          <w:szCs w:val="24"/>
        </w:rPr>
        <w:t>مصطلحات مركزية: خريطة الدين النفسي، الجسر السلوكي، الكينتسوغي النفسي، مشروع الكفارة الإبداعية.</w:t>
      </w:r>
    </w:p>
    <w:p w14:paraId="0412985E" w14:textId="77777777" w:rsidR="00744904" w:rsidRDefault="00000000" w:rsidP="0009397F">
      <w:pPr>
        <w:pStyle w:val="a4"/>
        <w:numPr>
          <w:ilvl w:val="0"/>
          <w:numId w:val="2"/>
        </w:numPr>
        <w:spacing w:before="40" w:after="60"/>
      </w:pPr>
      <w:r>
        <w:rPr>
          <w:rFonts w:ascii="Traditional Arabic" w:eastAsia="Traditional Arabic" w:hAnsi="Traditional Arabic" w:cs="Traditional Arabic"/>
          <w:color w:val="1A1A1A"/>
          <w:sz w:val="24"/>
          <w:szCs w:val="24"/>
        </w:rPr>
        <w:t>تمييز واضح: الفروق الجوهرية بين TLRT والنماذج النفسية الغربية الكبرى، خاصة في نظرة الذنب وآلية التحول ودور الروحانيات.</w:t>
      </w:r>
    </w:p>
    <w:p w14:paraId="586BF449" w14:textId="77777777" w:rsidR="00744904" w:rsidRDefault="00744904" w:rsidP="0009397F">
      <w:pPr>
        <w:spacing w:before="100" w:after="100"/>
      </w:pPr>
    </w:p>
    <w:p w14:paraId="40877FD1" w14:textId="77777777" w:rsidR="00744904" w:rsidRDefault="00000000" w:rsidP="0009397F">
      <w:pPr>
        <w:spacing w:before="40" w:after="80"/>
      </w:pPr>
      <w:r>
        <w:rPr>
          <w:rFonts w:ascii="Traditional Arabic" w:eastAsia="Traditional Arabic" w:hAnsi="Traditional Arabic" w:cs="Traditional Arabic"/>
          <w:color w:val="1A1A1A"/>
          <w:sz w:val="24"/>
          <w:szCs w:val="24"/>
        </w:rPr>
        <w:t>إن ما يميز هذا النموذج ليس فقط تحليله لطبيعة عقدة الذنب، بل تقديمه لآليات عملية ومحددة لتحويل هذه الطاقة المحتجزة إلى فاعلية إحسانية، مستنداً في ذلك إلى تكامل فريد بين علم النفس الحديث (التحليل النفسي، العلاج المعرفي، العلاج الوجودي) والتراث الروحي الإسلامي (التزكية، مراتب النفس، الإحسان، الأسماء الحسنى).</w:t>
      </w:r>
    </w:p>
    <w:p w14:paraId="293F52F6" w14:textId="77777777" w:rsidR="00744904" w:rsidRDefault="00744904" w:rsidP="0009397F">
      <w:pPr>
        <w:spacing w:before="80" w:after="80"/>
      </w:pPr>
    </w:p>
    <w:p w14:paraId="7D5E7FA1" w14:textId="77777777" w:rsidR="00744904" w:rsidRDefault="00744904" w:rsidP="0009397F">
      <w:pPr>
        <w:pBdr>
          <w:bottom w:val="single" w:sz="4" w:space="4" w:color="CCCCCC"/>
        </w:pBdr>
        <w:spacing w:before="120" w:after="120"/>
      </w:pPr>
    </w:p>
    <w:p w14:paraId="2D5342A5" w14:textId="77777777" w:rsidR="00744904" w:rsidRDefault="00000000" w:rsidP="0009397F">
      <w:pPr>
        <w:spacing w:before="100" w:after="100"/>
      </w:pPr>
      <w:r>
        <w:rPr>
          <w:rFonts w:ascii="Traditional Arabic" w:eastAsia="Traditional Arabic" w:hAnsi="Traditional Arabic" w:cs="Traditional Arabic"/>
          <w:b/>
          <w:bCs/>
          <w:i/>
          <w:iCs/>
          <w:color w:val="1B3A5C"/>
          <w:sz w:val="24"/>
          <w:szCs w:val="24"/>
        </w:rPr>
        <w:t>نهاية الجزء الثاني: الفصل الأول – البنية النظرية العامة للنموذج</w:t>
      </w:r>
    </w:p>
    <w:p w14:paraId="6E3070DB" w14:textId="77777777" w:rsidR="00744904" w:rsidRDefault="00744904" w:rsidP="0009397F">
      <w:pPr>
        <w:pBdr>
          <w:bottom w:val="single" w:sz="4" w:space="4" w:color="CCCCCC"/>
        </w:pBdr>
        <w:spacing w:before="120" w:after="120"/>
      </w:pPr>
    </w:p>
    <w:p w14:paraId="5366753F" w14:textId="77777777" w:rsidR="00744904" w:rsidRDefault="00000000" w:rsidP="0009397F">
      <w:pPr>
        <w:pageBreakBefore/>
        <w:pBdr>
          <w:bottom w:val="single" w:sz="12" w:space="4" w:color="B8860B"/>
        </w:pBdr>
        <w:spacing w:before="240" w:after="160"/>
      </w:pPr>
      <w:r>
        <w:rPr>
          <w:rFonts w:ascii="Traditional Arabic" w:eastAsia="Traditional Arabic" w:hAnsi="Traditional Arabic" w:cs="Traditional Arabic"/>
          <w:b/>
          <w:bCs/>
          <w:color w:val="1B3A5C"/>
          <w:sz w:val="36"/>
          <w:szCs w:val="36"/>
        </w:rPr>
        <w:t>المراجع</w:t>
      </w:r>
    </w:p>
    <w:p w14:paraId="1CACDD1D" w14:textId="77777777" w:rsidR="00744904" w:rsidRDefault="00000000" w:rsidP="0009397F">
      <w:pPr>
        <w:pStyle w:val="a4"/>
        <w:numPr>
          <w:ilvl w:val="0"/>
          <w:numId w:val="3"/>
        </w:numPr>
        <w:spacing w:before="40" w:after="60"/>
      </w:pPr>
      <w:r>
        <w:rPr>
          <w:rFonts w:ascii="Traditional Arabic" w:eastAsia="Traditional Arabic" w:hAnsi="Traditional Arabic" w:cs="Traditional Arabic"/>
          <w:color w:val="1A1A1A"/>
          <w:sz w:val="24"/>
          <w:szCs w:val="24"/>
        </w:rPr>
        <w:t>الزراع، عبد السلام. (2023). علم النفس الاستخلافي: نموذج الأضلاع الثمانية (الأطروحة الاستخلافية). الصفحات: 205-207، 905-906، 1062-1064، 1102، 1125.</w:t>
      </w:r>
    </w:p>
    <w:p w14:paraId="2EAB523D" w14:textId="77777777" w:rsidR="00744904" w:rsidRDefault="00000000" w:rsidP="0009397F">
      <w:pPr>
        <w:pStyle w:val="a4"/>
        <w:numPr>
          <w:ilvl w:val="0"/>
          <w:numId w:val="3"/>
        </w:numPr>
        <w:spacing w:before="40" w:after="60"/>
      </w:pPr>
      <w:r>
        <w:rPr>
          <w:rFonts w:ascii="Traditional Arabic" w:eastAsia="Traditional Arabic" w:hAnsi="Traditional Arabic" w:cs="Traditional Arabic"/>
          <w:color w:val="1A1A1A"/>
          <w:sz w:val="24"/>
          <w:szCs w:val="24"/>
        </w:rPr>
        <w:t>TLRT (العلاج بحرث المصالحة التحويلية). (2026). الدليل النظري والإكلينيكي: نحو نموذج تكاملي لتحويل عقدة الذنب المرضية (الطبعة التجريبية الأولى). الصفحات: 34، 45، 57، 67-95، 89، 98، 131، 145-150، 170.</w:t>
      </w:r>
    </w:p>
    <w:p w14:paraId="7D7ECA8B" w14:textId="77777777" w:rsidR="00744904" w:rsidRDefault="00000000" w:rsidP="0009397F">
      <w:pPr>
        <w:pStyle w:val="a4"/>
        <w:numPr>
          <w:ilvl w:val="0"/>
          <w:numId w:val="3"/>
        </w:numPr>
        <w:spacing w:before="40" w:after="60"/>
      </w:pPr>
      <w:r>
        <w:rPr>
          <w:rFonts w:ascii="Traditional Arabic" w:eastAsia="Traditional Arabic" w:hAnsi="Traditional Arabic" w:cs="Traditional Arabic"/>
          <w:color w:val="1A1A1A"/>
          <w:sz w:val="24"/>
          <w:szCs w:val="24"/>
        </w:rPr>
        <w:t>Frankl, V. (1946). Man's Search for Meaning. Beacon Press. pp. 98-102.</w:t>
      </w:r>
    </w:p>
    <w:p w14:paraId="042D3547" w14:textId="77777777" w:rsidR="00744904" w:rsidRDefault="00000000" w:rsidP="0009397F">
      <w:pPr>
        <w:pStyle w:val="a4"/>
        <w:numPr>
          <w:ilvl w:val="0"/>
          <w:numId w:val="3"/>
        </w:numPr>
        <w:spacing w:before="40" w:after="60"/>
      </w:pPr>
      <w:r>
        <w:rPr>
          <w:rFonts w:ascii="Traditional Arabic" w:eastAsia="Traditional Arabic" w:hAnsi="Traditional Arabic" w:cs="Traditional Arabic"/>
          <w:color w:val="1A1A1A"/>
          <w:sz w:val="24"/>
          <w:szCs w:val="24"/>
        </w:rPr>
        <w:t>Freud, S. (1923). The Ego and the Id. W. W. Norton &amp; Company.</w:t>
      </w:r>
    </w:p>
    <w:sectPr w:rsidR="00744904">
      <w:headerReference w:type="default" r:id="rId7"/>
      <w:footerReference w:type="default" r:id="rId8"/>
      <w:pgSz w:w="11906" w:h="16838"/>
      <w:pgMar w:top="1440" w:right="1700" w:bottom="1440" w:left="17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EE7A6" w14:textId="77777777" w:rsidR="00FB41AD" w:rsidRDefault="00FB41AD">
      <w:r>
        <w:separator/>
      </w:r>
    </w:p>
  </w:endnote>
  <w:endnote w:type="continuationSeparator" w:id="0">
    <w:p w14:paraId="02A4D5E0" w14:textId="77777777" w:rsidR="00FB41AD" w:rsidRDefault="00FB4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B2"/>
    <w:family w:val="roman"/>
    <w:pitch w:val="variable"/>
    <w:sig w:usb0="00002003" w:usb1="80000000" w:usb2="00000008" w:usb3="00000000" w:csb0="00000041"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646E5" w14:textId="77777777" w:rsidR="00744904" w:rsidRDefault="00000000">
    <w:pPr>
      <w:pBdr>
        <w:top w:val="single" w:sz="4" w:space="4" w:color="2E6DA4"/>
      </w:pBdr>
      <w:spacing w:before="120"/>
      <w:jc w:val="center"/>
    </w:pPr>
    <w:r>
      <w:rPr>
        <w:rFonts w:ascii="Traditional Arabic" w:eastAsia="Traditional Arabic" w:hAnsi="Traditional Arabic" w:cs="Traditional Arabic"/>
        <w:color w:val="888888"/>
      </w:rPr>
      <w:t xml:space="preserve">- </w:t>
    </w:r>
    <w:r>
      <w:rPr>
        <w:rFonts w:ascii="Traditional Arabic" w:eastAsia="Traditional Arabic" w:hAnsi="Traditional Arabic" w:cs="Traditional Arabic"/>
        <w:color w:val="888888"/>
      </w:rPr>
      <w:pgNum/>
    </w:r>
    <w:r>
      <w:rPr>
        <w:rFonts w:ascii="Traditional Arabic" w:eastAsia="Traditional Arabic" w:hAnsi="Traditional Arabic" w:cs="Traditional Arabic"/>
        <w:color w:val="88888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478D5" w14:textId="77777777" w:rsidR="00FB41AD" w:rsidRDefault="00FB41AD">
      <w:r>
        <w:separator/>
      </w:r>
    </w:p>
  </w:footnote>
  <w:footnote w:type="continuationSeparator" w:id="0">
    <w:p w14:paraId="0E00EE77" w14:textId="77777777" w:rsidR="00FB41AD" w:rsidRDefault="00FB4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30824" w14:textId="77777777" w:rsidR="00744904" w:rsidRDefault="00000000">
    <w:pPr>
      <w:pBdr>
        <w:bottom w:val="single" w:sz="4" w:space="4" w:color="B8860B"/>
      </w:pBdr>
      <w:spacing w:after="120"/>
      <w:jc w:val="center"/>
    </w:pPr>
    <w:r>
      <w:rPr>
        <w:rFonts w:ascii="Traditional Arabic" w:eastAsia="Traditional Arabic" w:hAnsi="Traditional Arabic" w:cs="Traditional Arabic"/>
        <w:color w:val="888888"/>
      </w:rPr>
      <w:t>علم النفس الاستخلافي  |  TLRT  |  الجزء الثاني: الفصل الأول</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F6943"/>
    <w:multiLevelType w:val="hybridMultilevel"/>
    <w:tmpl w:val="FFFFFFFF"/>
    <w:lvl w:ilvl="0" w:tplc="205E2B78">
      <w:start w:val="1"/>
      <w:numFmt w:val="decimal"/>
      <w:lvlText w:val="%1."/>
      <w:lvlJc w:val="right"/>
      <w:pPr>
        <w:bidi/>
        <w:ind w:right="720" w:hanging="360"/>
      </w:pPr>
    </w:lvl>
    <w:lvl w:ilvl="1" w:tplc="F3C6B49E">
      <w:numFmt w:val="decimal"/>
      <w:lvlText w:val=""/>
      <w:lvlJc w:val="left"/>
    </w:lvl>
    <w:lvl w:ilvl="2" w:tplc="9E1872B6">
      <w:numFmt w:val="decimal"/>
      <w:lvlText w:val=""/>
      <w:lvlJc w:val="left"/>
    </w:lvl>
    <w:lvl w:ilvl="3" w:tplc="49105508">
      <w:numFmt w:val="decimal"/>
      <w:lvlText w:val=""/>
      <w:lvlJc w:val="left"/>
    </w:lvl>
    <w:lvl w:ilvl="4" w:tplc="8EDE7652">
      <w:numFmt w:val="decimal"/>
      <w:lvlText w:val=""/>
      <w:lvlJc w:val="left"/>
    </w:lvl>
    <w:lvl w:ilvl="5" w:tplc="A3547782">
      <w:numFmt w:val="decimal"/>
      <w:lvlText w:val=""/>
      <w:lvlJc w:val="left"/>
    </w:lvl>
    <w:lvl w:ilvl="6" w:tplc="1B1452BE">
      <w:numFmt w:val="decimal"/>
      <w:lvlText w:val=""/>
      <w:lvlJc w:val="left"/>
    </w:lvl>
    <w:lvl w:ilvl="7" w:tplc="9F005538">
      <w:numFmt w:val="decimal"/>
      <w:lvlText w:val=""/>
      <w:lvlJc w:val="left"/>
    </w:lvl>
    <w:lvl w:ilvl="8" w:tplc="AE7A3164">
      <w:numFmt w:val="decimal"/>
      <w:lvlText w:val=""/>
      <w:lvlJc w:val="left"/>
    </w:lvl>
  </w:abstractNum>
  <w:abstractNum w:abstractNumId="1" w15:restartNumberingAfterBreak="0">
    <w:nsid w:val="1532538F"/>
    <w:multiLevelType w:val="hybridMultilevel"/>
    <w:tmpl w:val="FFFFFFFF"/>
    <w:lvl w:ilvl="0" w:tplc="A976A63A">
      <w:start w:val="1"/>
      <w:numFmt w:val="bullet"/>
      <w:lvlText w:val="●"/>
      <w:lvlJc w:val="left"/>
      <w:pPr>
        <w:ind w:left="720" w:hanging="360"/>
      </w:pPr>
    </w:lvl>
    <w:lvl w:ilvl="1" w:tplc="8BBE5EF8">
      <w:start w:val="1"/>
      <w:numFmt w:val="bullet"/>
      <w:lvlText w:val="○"/>
      <w:lvlJc w:val="left"/>
      <w:pPr>
        <w:ind w:left="1440" w:hanging="360"/>
      </w:pPr>
    </w:lvl>
    <w:lvl w:ilvl="2" w:tplc="B6E645FA">
      <w:start w:val="1"/>
      <w:numFmt w:val="bullet"/>
      <w:lvlText w:val="■"/>
      <w:lvlJc w:val="left"/>
      <w:pPr>
        <w:ind w:left="2160" w:hanging="360"/>
      </w:pPr>
    </w:lvl>
    <w:lvl w:ilvl="3" w:tplc="EE5A917C">
      <w:start w:val="1"/>
      <w:numFmt w:val="bullet"/>
      <w:lvlText w:val="●"/>
      <w:lvlJc w:val="left"/>
      <w:pPr>
        <w:ind w:left="2880" w:hanging="360"/>
      </w:pPr>
    </w:lvl>
    <w:lvl w:ilvl="4" w:tplc="D3449238">
      <w:start w:val="1"/>
      <w:numFmt w:val="bullet"/>
      <w:lvlText w:val="○"/>
      <w:lvlJc w:val="left"/>
      <w:pPr>
        <w:ind w:left="3600" w:hanging="360"/>
      </w:pPr>
    </w:lvl>
    <w:lvl w:ilvl="5" w:tplc="0C104592">
      <w:start w:val="1"/>
      <w:numFmt w:val="bullet"/>
      <w:lvlText w:val="■"/>
      <w:lvlJc w:val="left"/>
      <w:pPr>
        <w:ind w:left="4320" w:hanging="360"/>
      </w:pPr>
    </w:lvl>
    <w:lvl w:ilvl="6" w:tplc="60E83F72">
      <w:start w:val="1"/>
      <w:numFmt w:val="bullet"/>
      <w:lvlText w:val="●"/>
      <w:lvlJc w:val="left"/>
      <w:pPr>
        <w:ind w:left="5040" w:hanging="360"/>
      </w:pPr>
    </w:lvl>
    <w:lvl w:ilvl="7" w:tplc="689EF4CA">
      <w:start w:val="1"/>
      <w:numFmt w:val="bullet"/>
      <w:lvlText w:val="●"/>
      <w:lvlJc w:val="left"/>
      <w:pPr>
        <w:ind w:left="5760" w:hanging="360"/>
      </w:pPr>
    </w:lvl>
    <w:lvl w:ilvl="8" w:tplc="6B32F10C">
      <w:start w:val="1"/>
      <w:numFmt w:val="bullet"/>
      <w:lvlText w:val="●"/>
      <w:lvlJc w:val="left"/>
      <w:pPr>
        <w:ind w:left="6480" w:hanging="360"/>
      </w:pPr>
    </w:lvl>
  </w:abstractNum>
  <w:abstractNum w:abstractNumId="2" w15:restartNumberingAfterBreak="0">
    <w:nsid w:val="39581B2A"/>
    <w:multiLevelType w:val="hybridMultilevel"/>
    <w:tmpl w:val="FFFFFFFF"/>
    <w:lvl w:ilvl="0" w:tplc="B0787614">
      <w:start w:val="1"/>
      <w:numFmt w:val="bullet"/>
      <w:lvlText w:val="◆"/>
      <w:lvlJc w:val="right"/>
      <w:pPr>
        <w:bidi/>
        <w:ind w:right="720" w:hanging="360"/>
      </w:pPr>
    </w:lvl>
    <w:lvl w:ilvl="1" w:tplc="709C835E">
      <w:numFmt w:val="decimal"/>
      <w:lvlText w:val=""/>
      <w:lvlJc w:val="left"/>
    </w:lvl>
    <w:lvl w:ilvl="2" w:tplc="260AC064">
      <w:numFmt w:val="decimal"/>
      <w:lvlText w:val=""/>
      <w:lvlJc w:val="left"/>
    </w:lvl>
    <w:lvl w:ilvl="3" w:tplc="32D214BE">
      <w:numFmt w:val="decimal"/>
      <w:lvlText w:val=""/>
      <w:lvlJc w:val="left"/>
    </w:lvl>
    <w:lvl w:ilvl="4" w:tplc="17B4AF04">
      <w:numFmt w:val="decimal"/>
      <w:lvlText w:val=""/>
      <w:lvlJc w:val="left"/>
    </w:lvl>
    <w:lvl w:ilvl="5" w:tplc="C6C03CC2">
      <w:numFmt w:val="decimal"/>
      <w:lvlText w:val=""/>
      <w:lvlJc w:val="left"/>
    </w:lvl>
    <w:lvl w:ilvl="6" w:tplc="73283318">
      <w:numFmt w:val="decimal"/>
      <w:lvlText w:val=""/>
      <w:lvlJc w:val="left"/>
    </w:lvl>
    <w:lvl w:ilvl="7" w:tplc="8326CBCC">
      <w:numFmt w:val="decimal"/>
      <w:lvlText w:val=""/>
      <w:lvlJc w:val="left"/>
    </w:lvl>
    <w:lvl w:ilvl="8" w:tplc="FCD40B26">
      <w:numFmt w:val="decimal"/>
      <w:lvlText w:val=""/>
      <w:lvlJc w:val="left"/>
    </w:lvl>
  </w:abstractNum>
  <w:abstractNum w:abstractNumId="3" w15:restartNumberingAfterBreak="0">
    <w:nsid w:val="418543CE"/>
    <w:multiLevelType w:val="hybridMultilevel"/>
    <w:tmpl w:val="FFFFFFFF"/>
    <w:lvl w:ilvl="0" w:tplc="FA402746">
      <w:start w:val="1"/>
      <w:numFmt w:val="decimal"/>
      <w:lvlText w:val="%1."/>
      <w:lvlJc w:val="right"/>
      <w:pPr>
        <w:bidi/>
        <w:ind w:right="720" w:hanging="360"/>
      </w:pPr>
    </w:lvl>
    <w:lvl w:ilvl="1" w:tplc="0770C92E">
      <w:numFmt w:val="decimal"/>
      <w:lvlText w:val=""/>
      <w:lvlJc w:val="left"/>
    </w:lvl>
    <w:lvl w:ilvl="2" w:tplc="895275DC">
      <w:numFmt w:val="decimal"/>
      <w:lvlText w:val=""/>
      <w:lvlJc w:val="left"/>
    </w:lvl>
    <w:lvl w:ilvl="3" w:tplc="0AA8493E">
      <w:numFmt w:val="decimal"/>
      <w:lvlText w:val=""/>
      <w:lvlJc w:val="left"/>
    </w:lvl>
    <w:lvl w:ilvl="4" w:tplc="4942C49A">
      <w:numFmt w:val="decimal"/>
      <w:lvlText w:val=""/>
      <w:lvlJc w:val="left"/>
    </w:lvl>
    <w:lvl w:ilvl="5" w:tplc="F70AD544">
      <w:numFmt w:val="decimal"/>
      <w:lvlText w:val=""/>
      <w:lvlJc w:val="left"/>
    </w:lvl>
    <w:lvl w:ilvl="6" w:tplc="304885BA">
      <w:numFmt w:val="decimal"/>
      <w:lvlText w:val=""/>
      <w:lvlJc w:val="left"/>
    </w:lvl>
    <w:lvl w:ilvl="7" w:tplc="981C071E">
      <w:numFmt w:val="decimal"/>
      <w:lvlText w:val=""/>
      <w:lvlJc w:val="left"/>
    </w:lvl>
    <w:lvl w:ilvl="8" w:tplc="4F6A0FCA">
      <w:numFmt w:val="decimal"/>
      <w:lvlText w:val=""/>
      <w:lvlJc w:val="left"/>
    </w:lvl>
  </w:abstractNum>
  <w:abstractNum w:abstractNumId="4" w15:restartNumberingAfterBreak="0">
    <w:nsid w:val="4EB71AC9"/>
    <w:multiLevelType w:val="hybridMultilevel"/>
    <w:tmpl w:val="FFFFFFFF"/>
    <w:lvl w:ilvl="0" w:tplc="6926482E">
      <w:start w:val="1"/>
      <w:numFmt w:val="decimal"/>
      <w:lvlText w:val="%1."/>
      <w:lvlJc w:val="right"/>
      <w:pPr>
        <w:bidi/>
        <w:ind w:right="720" w:hanging="360"/>
      </w:pPr>
    </w:lvl>
    <w:lvl w:ilvl="1" w:tplc="7F3C9098">
      <w:numFmt w:val="decimal"/>
      <w:lvlText w:val=""/>
      <w:lvlJc w:val="left"/>
    </w:lvl>
    <w:lvl w:ilvl="2" w:tplc="AAB0C45C">
      <w:numFmt w:val="decimal"/>
      <w:lvlText w:val=""/>
      <w:lvlJc w:val="left"/>
    </w:lvl>
    <w:lvl w:ilvl="3" w:tplc="97B6CED0">
      <w:numFmt w:val="decimal"/>
      <w:lvlText w:val=""/>
      <w:lvlJc w:val="left"/>
    </w:lvl>
    <w:lvl w:ilvl="4" w:tplc="850816EA">
      <w:numFmt w:val="decimal"/>
      <w:lvlText w:val=""/>
      <w:lvlJc w:val="left"/>
    </w:lvl>
    <w:lvl w:ilvl="5" w:tplc="9126E0EC">
      <w:numFmt w:val="decimal"/>
      <w:lvlText w:val=""/>
      <w:lvlJc w:val="left"/>
    </w:lvl>
    <w:lvl w:ilvl="6" w:tplc="6A002322">
      <w:numFmt w:val="decimal"/>
      <w:lvlText w:val=""/>
      <w:lvlJc w:val="left"/>
    </w:lvl>
    <w:lvl w:ilvl="7" w:tplc="542ED4F8">
      <w:numFmt w:val="decimal"/>
      <w:lvlText w:val=""/>
      <w:lvlJc w:val="left"/>
    </w:lvl>
    <w:lvl w:ilvl="8" w:tplc="BD8C13C0">
      <w:numFmt w:val="decimal"/>
      <w:lvlText w:val=""/>
      <w:lvlJc w:val="left"/>
    </w:lvl>
  </w:abstractNum>
  <w:num w:numId="1" w16cid:durableId="237910462">
    <w:abstractNumId w:val="1"/>
    <w:lvlOverride w:ilvl="0">
      <w:startOverride w:val="1"/>
    </w:lvlOverride>
  </w:num>
  <w:num w:numId="2" w16cid:durableId="99303774">
    <w:abstractNumId w:val="3"/>
    <w:lvlOverride w:ilvl="0">
      <w:startOverride w:val="1"/>
    </w:lvlOverride>
  </w:num>
  <w:num w:numId="3" w16cid:durableId="1528255427">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904"/>
    <w:rsid w:val="0009397F"/>
    <w:rsid w:val="00744904"/>
    <w:rsid w:val="00D87C53"/>
    <w:rsid w:val="00FB41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2F3DDD2E"/>
  <w15:docId w15:val="{CBDBC2EC-4ABE-ED44-B859-8E87212FC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1655</Words>
  <Characters>9434</Characters>
  <Application>Microsoft Office Word</Application>
  <DocSecurity>0</DocSecurity>
  <Lines>78</Lines>
  <Paragraphs>22</Paragraphs>
  <ScaleCrop>false</ScaleCrop>
  <Company/>
  <LinksUpToDate>false</LinksUpToDate>
  <CharactersWithSpaces>11067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zaraaabdesslem@gmail.com</cp:lastModifiedBy>
  <cp:revision>2</cp:revision>
  <dcterms:created xsi:type="dcterms:W3CDTF">2026-04-14T04:11:00Z</dcterms:created>
  <dcterms:modified xsi:type="dcterms:W3CDTF">2026-04-14T04:17:00Z</dcterms:modified>
</cp:coreProperties>
</file>