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0"/>
      </w:pPr>
    </w:p>
    <w:p>
      <w:pPr>
        <w:bidi/>
        <w:spacing w:before="0" w:after="3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34"/>
          <w:szCs w:val="34"/>
        </w:rPr>
        <w:t xml:space="preserve">بسم الله الرحمن الرحيم</w:t>
      </w:r>
    </w:p>
    <w:p>
      <w:pPr>
        <w:spacing w:before="50" w:after="0"/>
      </w:pPr>
    </w:p>
    <w:p>
      <w:pPr>
        <w:bidi/>
        <w:spacing w:before="0" w:after="2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العلاج بحرث المصالحة التحويلية</w:t>
      </w:r>
    </w:p>
    <w:p>
      <w:pPr>
        <w:bidi/>
        <w:spacing w:before="0" w:after="3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2"/>
          <w:szCs w:val="22"/>
        </w:rPr>
        <w:t xml:space="preserve">TLRT</w:t>
      </w:r>
    </w:p>
    <w:p>
      <w:pPr>
        <w:pBdr>
          <w:top w:val="double" w:color="1A3A6B" w:sz="8"/>
          <w:bottom w:val="double" w:color="1A3A6B" w:sz="8"/>
        </w:pBdr>
        <w:bidi/>
        <w:spacing w:before="0" w:after="4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44"/>
          <w:szCs w:val="44"/>
        </w:rPr>
        <w:t xml:space="preserve">نموذج قياس الشعور بالذنب</w:t>
      </w:r>
    </w:p>
    <w:p>
      <w:pPr>
        <w:bidi/>
        <w:spacing w:before="20" w:after="80"/>
        <w:jc w:val="center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0A5E5E"/>
          <w:sz w:val="26"/>
          <w:szCs w:val="26"/>
        </w:rPr>
        <w:t xml:space="preserve">مقاربة تكاملية متعددة الأبعاد</w:t>
      </w:r>
    </w:p>
    <w:p>
      <w:pPr>
        <w:pBdr>
          <w:bottom w:val="single" w:color="9A7B1A" w:sz="6" w:space="1"/>
        </w:pBdr>
        <w:spacing w:before="160" w:after="160"/>
      </w:pPr>
    </w:p>
    <w:p>
      <w:pPr>
        <w:spacing w:before="60" w:after="0"/>
      </w:pPr>
    </w:p>
    <w:p>
      <w:pPr>
        <w:pBdr>
          <w:bottom w:val="single" w:color="9A7B1A" w:sz="6" w:space="4"/>
        </w:pBdr>
        <w:bidi/>
        <w:spacing w:before="60" w:after="5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تمهيد: لماذا نموذج جديد لقياس الشعور بالذنب؟</w:t>
      </w:r>
    </w:p>
    <w:p>
      <w:pPr>
        <w:spacing w:before="30" w:after="0"/>
      </w:pP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تتوقف فعالية أي نموذج علاجي على دقته في التشخيص، ودقة التشخيص تتوقف بدورها على أدوات القياس المستخدمة. في نموذج «العلاج بحرث المصالحة التحويلية (TLRT)»، يُنظر إلى الشعور بالذنب — وخاصة عقدة الذنب المرضية — ليس كعَرَضٍ يجب إزالته، بل كطاقة وجودية محتجزة تنتظر من يوجهها نحو البناء. هذا التصور المختلف يتطلب أدوات قياس مختلفة: أدوات لا تكتفي بقياس «شدة» الشعور بالذنب، بل تقيس أيضاً «اتجاهه» و«قابليته للتحويل».</w:t>
      </w:r>
    </w:p>
    <w:p>
      <w:pPr>
        <w:spacing w:before="30" w:after="0"/>
      </w:pP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من هنا، يأتي هذا النموذج المقترح لقياس الشعور بالذنب، وهو نموذج يجمع بين ثلاثة محاور متكاملة: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العمق النظري: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المستمد من مفاهيم النموذج الاستخلافي (النفس الأمارة، اللوامة، المطمئنة، الدين النفسي).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التعدد المنهجي: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يجمع بين المقاييس الذاتية والسلوكية والفسيولوجية والسردية.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التوجه العلاجي: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ليس مجرد أداة تشخيص، بل أداة ترشد العملية العلاجية وتقيس تقدمها.</w:t>
      </w:r>
    </w:p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أولاً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الإطار النظري للنموذج</w:t>
      </w: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1.1 التمييز بين أنواع الذنب: الأساس التشخيصي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قبل بناء أي أداة قياس، لا بد من التمييز بين ثلاثة أنواع من الذنب وفق رؤية النموذج الاستخلافي. هذا التمييز ليس تصنيفاً أكاديمياً محايداً، بل هو المحدد الأول للتوجه العلاجي: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2340"/>
        <w:gridCol w:w="2620"/>
        <w:gridCol w:w="2527"/>
      </w:tblGrid>
      <w:tr>
        <w:trPr>
          <w:tblHeader/>
        </w:trPr>
        <w:tc>
          <w:tcPr>
            <w:tcW w:type="dxa" w:w="1872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نوع الذنب</w:t>
            </w:r>
          </w:p>
        </w:tc>
        <w:tc>
          <w:tcPr>
            <w:tcW w:type="dxa" w:w="234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التعريف</w:t>
            </w:r>
          </w:p>
        </w:tc>
        <w:tc>
          <w:tcPr>
            <w:tcW w:type="dxa" w:w="262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المؤشرات</w:t>
            </w:r>
          </w:p>
        </w:tc>
        <w:tc>
          <w:tcPr>
            <w:tcW w:type="dxa" w:w="2527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الهدف العلاجي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1"/>
                <w:szCs w:val="21"/>
              </w:rPr>
              <w:t xml:space="preserve">الذنب الفطري
(الصحي)</w:t>
            </w:r>
          </w:p>
        </w:tc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شعور طبيعي بالندم بعد الخطأ يدفع للتوبة والإصلاح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محدد بفعل معين، مؤقت، يتبعه سلوك تعويضي</w:t>
            </w:r>
          </w:p>
        </w:tc>
        <w:tc>
          <w:tcPr>
            <w:tcW w:type="dxa" w:w="252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1"/>
                <w:szCs w:val="21"/>
              </w:rPr>
              <w:t xml:space="preserve">تعزيزه وتوجيهه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E8E8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الذنب المرضي
(عقدة الذنب)</w:t>
            </w:r>
          </w:p>
        </w:tc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E8E8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شعور مزمن مستمر غير متناسب مع الفعل، لا يتبعه إصلاح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E8E8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منتشر، دائم، مصحوب بجلد الذات، يؤدي للشلل</w:t>
            </w:r>
          </w:p>
        </w:tc>
        <w:tc>
          <w:tcPr>
            <w:tcW w:type="dxa" w:w="252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E8E8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تحويل طاقته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3B1760"/>
                <w:sz w:val="21"/>
                <w:szCs w:val="21"/>
              </w:rPr>
              <w:t xml:space="preserve">الذنب الوجودي</w:t>
            </w:r>
          </w:p>
        </w:tc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شعور بالتقصير عن تحقيق الغاية الوجودية (الاستخلاف)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شعور بالفراغ، عدم الإنجاز، هدر الإمكانات</w:t>
            </w:r>
          </w:p>
        </w:tc>
        <w:tc>
          <w:tcPr>
            <w:tcW w:type="dxa" w:w="252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3B1760"/>
                <w:sz w:val="21"/>
                <w:szCs w:val="21"/>
              </w:rPr>
              <w:t xml:space="preserve">إعادة توجيه البوصلة</w:t>
            </w:r>
          </w:p>
        </w:tc>
      </w:tr>
    </w:tbl>
    <w:p>
      <w:pPr>
        <w:spacing w:before="80" w:after="0"/>
      </w:pP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1.2 مفهوم «النفس اللوامة» كأداة قياس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في النموذج الاستخلافي، تمثل النفس اللوامة الوعي الأخلاقي والمحاسبة الذاتية — وهي البوابة الحاسمة للتحول من الأمارة إلى المطمئنة. قياسها يتطلب النظر إلى أربعة أبعاد متكاملة:</w:t>
      </w:r>
    </w:p>
    <w:p>
      <w:pPr>
        <w:pStyle w:val="ListParagraph"/>
        <w:numPr>
          <w:ilvl w:val="0"/>
          <w:numId w:val="3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الوعي بالخطأ: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مدى إدراك الفرد للأخطاء التي ارتكبها وقدرته على تحديدها.</w:t>
      </w:r>
    </w:p>
    <w:p>
      <w:pPr>
        <w:pStyle w:val="ListParagraph"/>
        <w:numPr>
          <w:ilvl w:val="0"/>
          <w:numId w:val="3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الندم والأسف: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عمق مشاعر الندم والرغبة الحقيقية في تصحيح الخطأ.</w:t>
      </w:r>
    </w:p>
    <w:p>
      <w:pPr>
        <w:pStyle w:val="ListParagraph"/>
        <w:numPr>
          <w:ilvl w:val="0"/>
          <w:numId w:val="3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الاستعداد للتوبة: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الرغبة الفعلية في التكفير والعودة إلى الصواب.</w:t>
      </w:r>
    </w:p>
    <w:p>
      <w:pPr>
        <w:pStyle w:val="ListParagraph"/>
        <w:numPr>
          <w:ilvl w:val="0"/>
          <w:numId w:val="3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التأثير على السلوك: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كيفية تأثير الشعور بالذنب على قرارات الفرد وسلوكياته المستقبلية.</w:t>
      </w:r>
    </w:p>
    <w:p>
      <w:pPr>
        <w:spacing w:before="30" w:after="0"/>
      </w:pP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1.3 مفهوم «الدين النفسي» كمفتاح للقياس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«الدين النفسي» مفهوم مركزي في النموذج، يعني مجموع الالتزامات الأخلاقية والانفعالية التي يراها الفرد في ذمته — سواء كانت حقيقية أو وهمية. قياسه يستلزم تحليل ثلاثة عناصر: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3B1760"/>
          <w:sz w:val="23"/>
          <w:szCs w:val="23"/>
        </w:rPr>
        <w:t xml:space="preserve">مصدر الدين: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دين حقيقي (خطأ ارتكبه) أم دين وهمي (نتيجة تربية قاسية أو توقعات غير واقعية).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3B1760"/>
          <w:sz w:val="23"/>
          <w:szCs w:val="23"/>
        </w:rPr>
        <w:t xml:space="preserve">حجم الدين: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مدى تضخمه أو انكماشه في وعي الفرد.</w:t>
      </w:r>
    </w:p>
    <w:p>
      <w:pPr>
        <w:pStyle w:val="ListParagraph"/>
        <w:numPr>
          <w:ilvl w:val="0"/>
          <w:numId w:val="2"/>
        </w:numPr>
        <w:bidi/>
        <w:spacing w:before="75" w:after="75" w:line="3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3B1760"/>
          <w:sz w:val="23"/>
          <w:szCs w:val="23"/>
        </w:rPr>
        <w:t xml:space="preserve">قابلية السداد: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مدى قدرة الفرد على التوبة أو التعويض أو الإصلاح الفعلي.</w:t>
      </w:r>
    </w:p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ثانياً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بناء أداة القياس — المقياس الذاتي متعدد الأبعاد</w:t>
      </w:r>
    </w:p>
    <w:p>
      <w:pPr>
        <w:pBdr>
          <w:top w:val="single" w:color="0A5E5E" w:sz="12"/>
          <w:bottom w:val="single" w:color="0A5E5E" w:sz="12"/>
        </w:pBdr>
        <w:bidi/>
        <w:spacing w:before="150" w:after="150" w:line="39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5"/>
          <w:szCs w:val="25"/>
        </w:rPr>
        <w:t xml:space="preserve">المقياس مكون من خمسة أبعاد رئيسة ✦ كل بعد يحتوي على 5 عبارات ✦ مقياس ليكرت من 1 (لا أبداً) إلى 5 (دائماً)</w:t>
      </w:r>
    </w:p>
    <w:p>
      <w:pPr>
        <w:spacing w:before="40" w:after="0"/>
      </w:pPr>
    </w:p>
    <w:p>
      <w:pPr>
        <w:pBdr>
          <w:top w:val="single" w:color="1A3A6B" w:sz="6"/>
          <w:right w:val="single" w:color="1A3A6B" w:sz="24"/>
        </w:pBdr>
        <w:bidi/>
        <w:spacing w:before="18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4"/>
          <w:szCs w:val="24"/>
        </w:rPr>
        <w:t xml:space="preserve">البعد الأول: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4"/>
          <w:szCs w:val="24"/>
        </w:rPr>
        <w:t xml:space="preserve">الوعي بالخطأ</w:t>
      </w:r>
    </w:p>
    <w:p>
      <w:pPr>
        <w:pBdr>
          <w:bottom w:val="single" w:color="1A3A6B" w:sz="6"/>
          <w:right w:val="single" w:color="1A3A6B" w:sz="24"/>
        </w:pBdr>
        <w:bidi/>
        <w:spacing w:before="0" w:after="100" w:line="330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111827"/>
          <w:sz w:val="22"/>
          <w:szCs w:val="22"/>
        </w:rPr>
        <w:t xml:space="preserve">يقيس مدى قدرة الفرد على التعرف على أخطائه وتحميل نفسه المسؤولية المناسبة — دون إفراط ولا تقصير.</w:t>
      </w:r>
    </w:p>
    <w:p>
      <w:pPr>
        <w:spacing w:before="2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786"/>
        <w:gridCol w:w="786"/>
        <w:gridCol w:w="786"/>
        <w:gridCol w:w="786"/>
        <w:gridCol w:w="788"/>
      </w:tblGrid>
      <w:tr>
        <w:trPr>
          <w:tblHeader/>
        </w:trPr>
        <w:tc>
          <w:tcPr>
            <w:tcW w:type="dxa" w:w="542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العبارة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لا أبداً
1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نادراً
2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A86A10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أحياناً
3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كثيراً
4</w:t>
            </w:r>
          </w:p>
        </w:tc>
        <w:tc>
          <w:tcPr>
            <w:tcW w:type="dxa" w:w="78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دائماً
5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أُلاحظ بسرعة حين أُخطئ في حق الآخرين.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أميل إلى تحميل نفسي مسؤولية أكبر مما ينبغي.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أجد صعوبة في الاعتراف بأخطائي للآخرين.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حين أُخطئ، أعرف بدقة ما الذي كان ينبغي أن أفعله.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أنني أتحمل مسؤولية أخطاء لا علاقة لي بها.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</w:tbl>
    <w:p>
      <w:pPr>
        <w:spacing w:before="80" w:after="0"/>
      </w:pPr>
    </w:p>
    <w:p>
      <w:pPr>
        <w:pBdr>
          <w:top w:val="single" w:color="0A5E5E" w:sz="6"/>
          <w:right w:val="single" w:color="0A5E5E" w:sz="24"/>
        </w:pBdr>
        <w:bidi/>
        <w:spacing w:before="18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البعد الثاني: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الندم والأسف</w:t>
      </w:r>
    </w:p>
    <w:p>
      <w:pPr>
        <w:pBdr>
          <w:bottom w:val="single" w:color="0A5E5E" w:sz="6"/>
          <w:right w:val="single" w:color="0A5E5E" w:sz="24"/>
        </w:pBdr>
        <w:bidi/>
        <w:spacing w:before="0" w:after="100" w:line="330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111827"/>
          <w:sz w:val="22"/>
          <w:szCs w:val="22"/>
        </w:rPr>
        <w:t xml:space="preserve">يقيس عمق المشاعر المرتبطة بالذنب وشدتها، ومدى توظيف هذه المشاعر للتحفيز لا للتقييد.</w:t>
      </w:r>
    </w:p>
    <w:p>
      <w:pPr>
        <w:spacing w:before="2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786"/>
        <w:gridCol w:w="786"/>
        <w:gridCol w:w="786"/>
        <w:gridCol w:w="786"/>
        <w:gridCol w:w="788"/>
      </w:tblGrid>
      <w:tr>
        <w:trPr>
          <w:tblHeader/>
        </w:trPr>
        <w:tc>
          <w:tcPr>
            <w:tcW w:type="dxa" w:w="542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العبارة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لا أبداً
1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نادراً
2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A86A10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أحياناً
3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كثيراً
4</w:t>
            </w:r>
          </w:p>
        </w:tc>
        <w:tc>
          <w:tcPr>
            <w:tcW w:type="dxa" w:w="78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دائماً
5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بندم شديد حين أُخطئ في حق الآخرين.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أتمنى لو أستطيع العودة بالزمن لأُصلح ما أفسدت.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يستمر شعوري بالندم فترة طويلة بعد وقوع الخطأ.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أجد صعوبة في مسامحة نفسي حين أُخطئ.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الندم الذي أشعر به يدفعني إلى تغيير سلوكي نحو الأفضل.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</w:tbl>
    <w:p>
      <w:pPr>
        <w:spacing w:before="80" w:after="0"/>
      </w:pPr>
    </w:p>
    <w:p>
      <w:pPr>
        <w:pBdr>
          <w:top w:val="single" w:color="1A5535" w:sz="6"/>
          <w:right w:val="single" w:color="1A5535" w:sz="24"/>
        </w:pBdr>
        <w:bidi/>
        <w:spacing w:before="18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5535"/>
          <w:sz w:val="24"/>
          <w:szCs w:val="24"/>
        </w:rPr>
        <w:t xml:space="preserve">البعد الثالث: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5535"/>
          <w:sz w:val="24"/>
          <w:szCs w:val="24"/>
        </w:rPr>
        <w:t xml:space="preserve">الاستعداد للتوبة والإصلاح</w:t>
      </w:r>
    </w:p>
    <w:p>
      <w:pPr>
        <w:pBdr>
          <w:bottom w:val="single" w:color="1A5535" w:sz="6"/>
          <w:right w:val="single" w:color="1A5535" w:sz="24"/>
        </w:pBdr>
        <w:bidi/>
        <w:spacing w:before="0" w:after="100" w:line="330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111827"/>
          <w:sz w:val="22"/>
          <w:szCs w:val="22"/>
        </w:rPr>
        <w:t xml:space="preserve">يقيس مدى استعداد الفرد للتحول من الندم السلبي إلى الفعل التعويضي البنّاء.</w:t>
      </w:r>
    </w:p>
    <w:p>
      <w:pPr>
        <w:spacing w:before="2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786"/>
        <w:gridCol w:w="786"/>
        <w:gridCol w:w="786"/>
        <w:gridCol w:w="786"/>
        <w:gridCol w:w="788"/>
      </w:tblGrid>
      <w:tr>
        <w:trPr>
          <w:tblHeader/>
        </w:trPr>
        <w:tc>
          <w:tcPr>
            <w:tcW w:type="dxa" w:w="542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العبارة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لا أبداً
1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نادراً
2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A86A10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أحياناً
3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كثيراً
4</w:t>
            </w:r>
          </w:p>
        </w:tc>
        <w:tc>
          <w:tcPr>
            <w:tcW w:type="dxa" w:w="78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دائماً
5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حين أُخطئ، أسعى فوراً لتعويض من أخطأت في حقه.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أؤمن بأن الخطأ يمكن أن يكون بداية لخير أكبر.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أجد صعوبة في اتخاذ خطوات عملية لإصلاح أخطائي.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 التوبة مفتوحة لكل من يرغب في العودة.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حين أُخطئ، أتخذ قراراً صادقاً بعدم تكرار الخطأ.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</w:tbl>
    <w:p>
      <w:pPr>
        <w:spacing w:before="80" w:after="0"/>
      </w:pPr>
    </w:p>
    <w:p>
      <w:pPr>
        <w:pBdr>
          <w:top w:val="single" w:color="3B1760" w:sz="6"/>
          <w:right w:val="single" w:color="3B1760" w:sz="24"/>
        </w:pBdr>
        <w:bidi/>
        <w:spacing w:before="18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3B1760"/>
          <w:sz w:val="24"/>
          <w:szCs w:val="24"/>
        </w:rPr>
        <w:t xml:space="preserve">البعد الرابع: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3B1760"/>
          <w:sz w:val="24"/>
          <w:szCs w:val="24"/>
        </w:rPr>
        <w:t xml:space="preserve">التأثير الوجودي</w:t>
      </w:r>
    </w:p>
    <w:p>
      <w:pPr>
        <w:pBdr>
          <w:bottom w:val="single" w:color="3B1760" w:sz="6"/>
          <w:right w:val="single" w:color="3B1760" w:sz="24"/>
        </w:pBdr>
        <w:bidi/>
        <w:spacing w:before="0" w:after="100" w:line="330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111827"/>
          <w:sz w:val="22"/>
          <w:szCs w:val="22"/>
        </w:rPr>
        <w:t xml:space="preserve">يقيس ارتباط الذنب بالقضايا الوجودية الكبرى: الغاية والمعنى والاستخلاف.</w:t>
      </w:r>
    </w:p>
    <w:p>
      <w:pPr>
        <w:spacing w:before="2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786"/>
        <w:gridCol w:w="786"/>
        <w:gridCol w:w="786"/>
        <w:gridCol w:w="786"/>
        <w:gridCol w:w="788"/>
      </w:tblGrid>
      <w:tr>
        <w:trPr>
          <w:tblHeader/>
        </w:trPr>
        <w:tc>
          <w:tcPr>
            <w:tcW w:type="dxa" w:w="542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العبارة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لا أبداً
1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نادراً
2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A86A10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أحياناً
3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كثيراً
4</w:t>
            </w:r>
          </w:p>
        </w:tc>
        <w:tc>
          <w:tcPr>
            <w:tcW w:type="dxa" w:w="78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دائماً
5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أنني لم أُحقق بعد ما خُلقت من أجله.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بالذنب لأنني لا أستغل إمكاناتي الكاملة.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فكرة أنني لم أُقدّم شيئاً ذا قيمة للعالم تُثقل علي.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 حياتي تمر دون أن أترك أثراً حقيقياً.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أسعى جاداً لأن يكون وجودي ذا معنى وغاية.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</w:tbl>
    <w:p>
      <w:pPr>
        <w:spacing w:before="80" w:after="0"/>
      </w:pPr>
    </w:p>
    <w:p>
      <w:pPr>
        <w:pBdr>
          <w:top w:val="single" w:color="A86A10" w:sz="6"/>
          <w:right w:val="single" w:color="A86A10" w:sz="24"/>
        </w:pBdr>
        <w:bidi/>
        <w:spacing w:before="18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A86A10"/>
          <w:sz w:val="24"/>
          <w:szCs w:val="24"/>
        </w:rPr>
        <w:t xml:space="preserve">البعد الخامس: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A86A10"/>
          <w:sz w:val="24"/>
          <w:szCs w:val="24"/>
        </w:rPr>
        <w:t xml:space="preserve">الدين النفسي</w:t>
      </w:r>
    </w:p>
    <w:p>
      <w:pPr>
        <w:pBdr>
          <w:bottom w:val="single" w:color="A86A10" w:sz="6"/>
          <w:right w:val="single" w:color="A86A10" w:sz="24"/>
        </w:pBdr>
        <w:bidi/>
        <w:spacing w:before="0" w:after="100" w:line="330"/>
      </w:pPr>
      <w:r>
        <w:rPr>
          <w:rFonts w:ascii="Traditional Arabic" w:cs="Traditional Arabic" w:eastAsia="Traditional Arabic" w:hAnsi="Traditional Arabic"/>
          <w:b w:val="false"/>
          <w:bCs w:val="false"/>
          <w:i/>
          <w:iCs/>
          <w:color w:val="111827"/>
          <w:sz w:val="22"/>
          <w:szCs w:val="22"/>
        </w:rPr>
        <w:t xml:space="preserve">يقيس مقدار الالتزامات والديون الأخلاقية — الحقيقية والوهمية — التي يحملها الفرد في داخله.</w:t>
      </w:r>
    </w:p>
    <w:p>
      <w:pPr>
        <w:spacing w:before="2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786"/>
        <w:gridCol w:w="786"/>
        <w:gridCol w:w="786"/>
        <w:gridCol w:w="786"/>
        <w:gridCol w:w="788"/>
      </w:tblGrid>
      <w:tr>
        <w:trPr>
          <w:tblHeader/>
        </w:trPr>
        <w:tc>
          <w:tcPr>
            <w:tcW w:type="dxa" w:w="542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العبارة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D1B33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لا أبداً
1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نادراً
2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A86A10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أحياناً
3</w:t>
            </w:r>
          </w:p>
        </w:tc>
        <w:tc>
          <w:tcPr>
            <w:tcW w:type="dxa" w:w="78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كثيراً
4</w:t>
            </w:r>
          </w:p>
        </w:tc>
        <w:tc>
          <w:tcPr>
            <w:tcW w:type="dxa" w:w="78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دائماً
5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 علي ديوناً كثيرة لم أُسدّدها بعد.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بعض الأخطاء التي ارتكبتها تطاردني منذ سنوات.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أنني مدين للكثيرين بحب أو عرفان لم أُعبّر عنه.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أشعر بالذنب تجاه أشياء لم أكن مسؤولاً عنها حقاً.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  <w:tr>
        <w:tc>
          <w:tcPr>
            <w:tcW w:type="dxa" w:w="542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أحتاج إلى تصفية حساباتي مع الماضي.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  <w:tc>
          <w:tcPr>
            <w:tcW w:type="dxa" w:w="78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C0C0C0"/>
                <w:sz w:val="28"/>
                <w:szCs w:val="28"/>
              </w:rPr>
              <w:t xml:space="preserve">○</w:t>
            </w:r>
          </w:p>
        </w:tc>
      </w:tr>
    </w:tbl>
    <w:p>
      <w:pPr>
        <w:spacing w:before="60" w:after="0"/>
      </w:pPr>
    </w:p>
    <w:p>
      <w:r>
        <w:br w:type="page"/>
      </w: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2.2 طريقة التصحيح والتفسير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لكل بعد، يُجمع مجموع الدرجات (5 عبارات × 5 = 35 درجة قصوى). يُفسَّر المجموع وفق ثلاثة مستويات: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2433"/>
        <w:gridCol w:w="2433"/>
        <w:gridCol w:w="2620"/>
      </w:tblGrid>
      <w:tr>
        <w:trPr>
          <w:tblHeader/>
        </w:trPr>
        <w:tc>
          <w:tcPr>
            <w:tcW w:type="dxa" w:w="1872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البعد</w:t>
            </w:r>
          </w:p>
        </w:tc>
        <w:tc>
          <w:tcPr>
            <w:tcW w:type="dxa" w:w="2433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0A5E5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منخفض (5–15)
إشارة تحذيرية</w:t>
            </w:r>
          </w:p>
        </w:tc>
        <w:tc>
          <w:tcPr>
            <w:tcW w:type="dxa" w:w="2433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5535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متوسط (16–25)
منطقة الصحة</w:t>
            </w:r>
          </w:p>
        </w:tc>
        <w:tc>
          <w:tcPr>
            <w:tcW w:type="dxa" w:w="262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7A1A1A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مرتفع (26–35)
يحتاج تدخلاً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الوعي بالخطأ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إنكار أو تجنب المسؤولية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0"/>
                <w:szCs w:val="20"/>
              </w:rPr>
              <w:t xml:space="preserve">وعي متوازن بالمسؤولية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0"/>
                <w:szCs w:val="20"/>
              </w:rPr>
              <w:t xml:space="preserve">حساسية مفرطة، تحميل ذات زائد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الندم والأسف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لا مبالاة أخلاقية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0"/>
                <w:szCs w:val="20"/>
              </w:rPr>
              <w:t xml:space="preserve">ندم صحي ومحفِّز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0"/>
                <w:szCs w:val="20"/>
              </w:rPr>
              <w:t xml:space="preserve">ندم مرضي، جلد ذات مزمن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الاستعداد للتوبة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جمود وعجز عن التحول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0"/>
                <w:szCs w:val="20"/>
              </w:rPr>
              <w:t xml:space="preserve">استعداد حقيقي للتغيير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0"/>
                <w:szCs w:val="20"/>
              </w:rPr>
              <w:t xml:space="preserve">حاجة ماسة تحتاج دعماً عاجلاً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التأثير الوجودي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غياب المعنى والبصيرة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0"/>
                <w:szCs w:val="20"/>
              </w:rPr>
              <w:t xml:space="preserve">بحث فاعل عن المعنى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0"/>
                <w:szCs w:val="20"/>
              </w:rPr>
              <w:t xml:space="preserve">أزمة وجودية حادة</w:t>
            </w:r>
          </w:p>
        </w:tc>
      </w:tr>
      <w:tr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الدين النفسي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ضئيل لا يُعيق الحركة</w:t>
            </w:r>
          </w:p>
        </w:tc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5535"/>
                <w:sz w:val="20"/>
                <w:szCs w:val="20"/>
              </w:rPr>
              <w:t xml:space="preserve">قابل للإدارة والتنظيم</w:t>
            </w:r>
          </w:p>
        </w:tc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0"/>
                <w:szCs w:val="20"/>
              </w:rPr>
              <w:t xml:space="preserve">مُرهق، يحتاج إلى تفكيك منهجي</w:t>
            </w:r>
          </w:p>
        </w:tc>
      </w:tr>
    </w:tbl>
    <w:p>
      <w:pPr>
        <w:spacing w:before="80" w:after="0"/>
      </w:pPr>
    </w:p>
    <w:p>
      <w:pPr>
        <w:pBdr>
          <w:top w:val="single" w:color="0A5E5E" w:sz="6"/>
          <w:bottom w:val="single" w:color="0A5E5E" w:sz="6"/>
          <w:right w:val="single" w:color="9A7B1A" w:sz="24"/>
        </w:pBdr>
        <w:bidi/>
        <w:spacing w:before="120" w:after="120" w:line="350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3"/>
          <w:szCs w:val="23"/>
        </w:rPr>
        <w:t xml:space="preserve">ملاحظة منهجية: 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الدرجات لا تُقرأ بمعزل عن بعضها. الأهم هو النمط الكلي عبر الأبعاد الخمسة، لا الدرجة المنفردة في كل بعد. التشخيص الصحيح يتطلب دمج نتائج المقياس مع المقابلة السريرية والمقاييس التكميلية.</w:t>
      </w:r>
    </w:p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ثالثاً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المقاييس التكميلية — التكامل المنهجي</w:t>
      </w: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3.1 المقاييس السلوكية والملاحظة الإكلينيكية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يُضاف إلى المقياس الذاتي بعد سلوكي يُلاحَظ مباشرة أو يُستكشف عبر التقارير: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3"/>
        <w:gridCol w:w="3556"/>
        <w:gridCol w:w="3369"/>
      </w:tblGrid>
      <w:tr>
        <w:trPr>
          <w:tblHeader/>
        </w:trPr>
        <w:tc>
          <w:tcPr>
            <w:tcW w:type="dxa" w:w="2433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السلوك المرصود</w:t>
            </w:r>
          </w:p>
        </w:tc>
        <w:tc>
          <w:tcPr>
            <w:tcW w:type="dxa" w:w="355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المؤشر السريري</w:t>
            </w:r>
          </w:p>
        </w:tc>
        <w:tc>
          <w:tcPr>
            <w:tcW w:type="dxa" w:w="3369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طريقة القياس</w:t>
            </w:r>
          </w:p>
        </w:tc>
      </w:tr>
      <w:tr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السلوكيات التعويضية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هل يسعى الفرد لتعويض من أخطأ في حقهم فعلياً؟</w:t>
            </w:r>
          </w:p>
        </w:tc>
        <w:tc>
          <w:tcPr>
            <w:tcW w:type="dxa" w:w="336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تقارير ذاتية + تقارير من الآخرين</w:t>
            </w:r>
          </w:p>
        </w:tc>
      </w:tr>
      <w:tr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تجنب المواقف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هل يتجنب الفرد مواقف تُذكّره بخطئه؟</w:t>
            </w:r>
          </w:p>
        </w:tc>
        <w:tc>
          <w:tcPr>
            <w:tcW w:type="dxa" w:w="336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ملاحظة إكلينيكية + تقارير ذاتية</w:t>
            </w:r>
          </w:p>
        </w:tc>
      </w:tr>
      <w:tr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الانسحاب الاجتماعي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هل ينعزل الفرد بعد الخطأ؟</w:t>
            </w:r>
          </w:p>
        </w:tc>
        <w:tc>
          <w:tcPr>
            <w:tcW w:type="dxa" w:w="336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ملاحظة + تقارير من العائلة</w:t>
            </w:r>
          </w:p>
        </w:tc>
      </w:tr>
      <w:tr>
        <w:tc>
          <w:tcPr>
            <w:tcW w:type="dxa" w:w="243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طلب الصفح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هل يبادر الفرد بطلب الصفح أم ينتظر؟</w:t>
            </w:r>
          </w:p>
        </w:tc>
        <w:tc>
          <w:tcPr>
            <w:tcW w:type="dxa" w:w="336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تقارير ذاتية + تقارير من الآخرين</w:t>
            </w:r>
          </w:p>
        </w:tc>
      </w:tr>
    </w:tbl>
    <w:p>
      <w:pPr>
        <w:spacing w:before="80" w:after="0"/>
      </w:pP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3.2 المقاييس السردية — تحليل القصص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البُعد السردي هو الأغنى معلوماتياً: الطريقة التي يروي بها الفرد قصص أخطائه تكشف بنية ذنبه وقابليته للتحول أكثر من أي مقياس كمي. عناصر التحليل: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556"/>
        <w:gridCol w:w="3463"/>
      </w:tblGrid>
      <w:tr>
        <w:trPr>
          <w:tblHeader/>
        </w:trPr>
        <w:tc>
          <w:tcPr>
            <w:tcW w:type="dxa" w:w="234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عنصر التحليل</w:t>
            </w:r>
          </w:p>
        </w:tc>
        <w:tc>
          <w:tcPr>
            <w:tcW w:type="dxa" w:w="355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المؤشر الإيجابي</w:t>
            </w:r>
          </w:p>
        </w:tc>
        <w:tc>
          <w:tcPr>
            <w:tcW w:type="dxa" w:w="3463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المؤشر السلبي</w:t>
            </w:r>
          </w:p>
        </w:tc>
      </w:tr>
      <w:tr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نهاية القصة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توبة، تعويض، بداية جديدة</w:t>
            </w:r>
          </w:p>
        </w:tc>
        <w:tc>
          <w:tcPr>
            <w:tcW w:type="dxa" w:w="346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استمرار الندم، شلل، تكرار الخطأ</w:t>
            </w:r>
          </w:p>
        </w:tc>
      </w:tr>
      <w:tr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موقع الذات في القصة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فاعل يتحمل ويُصلح</w:t>
            </w:r>
          </w:p>
        </w:tc>
        <w:tc>
          <w:tcPr>
            <w:tcW w:type="dxa" w:w="346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ضحية للظروف أو للذنب</w:t>
            </w:r>
          </w:p>
        </w:tc>
      </w:tr>
      <w:tr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الآخرون في القصة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مغفور لهم، علاقة مصالحة</w:t>
            </w:r>
          </w:p>
        </w:tc>
        <w:tc>
          <w:tcPr>
            <w:tcW w:type="dxa" w:w="346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متهمون، رفضوا المسامحة</w:t>
            </w:r>
          </w:p>
        </w:tc>
      </w:tr>
      <w:tr>
        <w:tc>
          <w:tcPr>
            <w:tcW w:type="dxa" w:w="234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المعنى المستخلص</w:t>
            </w:r>
          </w:p>
        </w:tc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جرح تحوّل إلى حكمة ورسالة</w:t>
            </w:r>
          </w:p>
        </w:tc>
        <w:tc>
          <w:tcPr>
            <w:tcW w:type="dxa" w:w="346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DE6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جرح بلا معنى ولا أفق</w:t>
            </w:r>
          </w:p>
        </w:tc>
      </w:tr>
    </w:tbl>
    <w:p>
      <w:pPr>
        <w:spacing w:before="80" w:after="0"/>
      </w:pP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3.3 المقاييس الفسيولوجية — للدراسات البحثية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يمكن ربط المقياس بمؤشرات فسيولوجية قابلة للقياس في الدراسات البحثية المتخصصة: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56"/>
        <w:gridCol w:w="5803"/>
      </w:tblGrid>
      <w:tr>
        <w:trPr>
          <w:tblHeader/>
        </w:trPr>
        <w:tc>
          <w:tcPr>
            <w:tcW w:type="dxa" w:w="3556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المؤشر الفسيولوجي</w:t>
            </w:r>
          </w:p>
        </w:tc>
        <w:tc>
          <w:tcPr>
            <w:tcW w:type="dxa" w:w="5803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العلاقة بعقدة الذنب</w:t>
            </w:r>
          </w:p>
        </w:tc>
      </w:tr>
      <w:tr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مستوى الكورتيزول</w:t>
            </w:r>
          </w:p>
        </w:tc>
        <w:tc>
          <w:tcPr>
            <w:tcW w:type="dxa" w:w="580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يرتفع في حالات الذنب المرضي المزمن ويُعدّ مؤشراً موضوعياً موثوقاً</w:t>
            </w:r>
          </w:p>
        </w:tc>
      </w:tr>
      <w:tr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F3E0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تغير معدل ضربات القلب</w:t>
            </w:r>
          </w:p>
        </w:tc>
        <w:tc>
          <w:tcPr>
            <w:tcW w:type="dxa" w:w="580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F3E0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يعكس الاستجابة العاطفية الآنية عند استحضار ذكريات الذنب</w:t>
            </w:r>
          </w:p>
        </w:tc>
      </w:tr>
      <w:tr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نشاط قشرة الفص الجبهي</w:t>
            </w:r>
          </w:p>
        </w:tc>
        <w:tc>
          <w:tcPr>
            <w:tcW w:type="dxa" w:w="580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يمثل المعالجة المعرفية للمسؤولية الأخلاقية وضبط الاندفاع</w:t>
            </w:r>
          </w:p>
        </w:tc>
      </w:tr>
      <w:tr>
        <w:tc>
          <w:tcPr>
            <w:tcW w:type="dxa" w:w="3556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F3E0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نشاط اللوزة الدماغية</w:t>
            </w:r>
          </w:p>
        </w:tc>
        <w:tc>
          <w:tcPr>
            <w:tcW w:type="dxa" w:w="5803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AF3E0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يعكس الاستجابة الانفعالية الأولية لمحفزات الذنب</w:t>
            </w:r>
          </w:p>
        </w:tc>
      </w:tr>
    </w:tbl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رابعاً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دليل الاستخدام الإكلينيكي</w:t>
      </w: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4.1 متى يُستخدم المقياس؟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6552"/>
      </w:tblGrid>
      <w:tr>
        <w:trPr>
          <w:tblHeader/>
        </w:trPr>
        <w:tc>
          <w:tcPr>
            <w:tcW w:type="dxa" w:w="280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مرحلة الاستخدام</w:t>
            </w:r>
          </w:p>
        </w:tc>
        <w:tc>
          <w:tcPr>
            <w:tcW w:type="dxa" w:w="6552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الغرض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في بداية العلاج</w:t>
            </w:r>
          </w:p>
        </w:tc>
        <w:tc>
          <w:tcPr>
            <w:tcW w:type="dxa" w:w="655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تشخيص نوع الذنب (فطري/مرضي/وجودي) وشدته، وتحديد نقطة الانطلاق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0F0E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أثناء العلاج</w:t>
            </w:r>
          </w:p>
        </w:tc>
        <w:tc>
          <w:tcPr>
            <w:tcW w:type="dxa" w:w="655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0F0E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قياس التقدم في تفعيل النفس اللوامة وانتقالها من الشلل إلى الفاعلية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في نهاية العلاج</w:t>
            </w:r>
          </w:p>
        </w:tc>
        <w:tc>
          <w:tcPr>
            <w:tcW w:type="dxa" w:w="655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قياس مدى تحول عقدة الذنب إلى طاقة إحسانية ورأسمال قيمي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0F0E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في المتابعة البعدية</w:t>
            </w:r>
          </w:p>
        </w:tc>
        <w:tc>
          <w:tcPr>
            <w:tcW w:type="dxa" w:w="655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0F0E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قياس استدامة التحول ومنع الانتكاس</w:t>
            </w:r>
          </w:p>
        </w:tc>
      </w:tr>
    </w:tbl>
    <w:p>
      <w:pPr>
        <w:spacing w:before="80" w:after="0"/>
      </w:pPr>
    </w:p>
    <w:p>
      <w:pPr>
        <w:pBdr>
          <w:right w:val="single" w:color="9A7B1A" w:sz="18" w:space="5"/>
        </w:pBdr>
        <w:bidi/>
        <w:spacing w:before="200" w:after="9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4"/>
          <w:szCs w:val="24"/>
        </w:rPr>
        <w:t xml:space="preserve">4.2 كيف يوجّه المقياس العلاج؟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كل نمط من أنماط النتائج يُحدد مسار العلاج المناسب: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92"/>
        <w:gridCol w:w="4867"/>
      </w:tblGrid>
      <w:tr>
        <w:trPr>
          <w:tblHeader/>
        </w:trPr>
        <w:tc>
          <w:tcPr>
            <w:tcW w:type="dxa" w:w="4492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نمط النتائج</w:t>
            </w:r>
          </w:p>
        </w:tc>
        <w:tc>
          <w:tcPr>
            <w:tcW w:type="dxa" w:w="4867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التوجيه العلاجي المقابل</w:t>
            </w:r>
          </w:p>
        </w:tc>
      </w:tr>
      <w:tr>
        <w:tc>
          <w:tcPr>
            <w:tcW w:type="dxa" w:w="449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↑ الوعي بالخطأ مع ↓ الاستعداد للتوبة</w:t>
            </w:r>
          </w:p>
        </w:tc>
        <w:tc>
          <w:tcPr>
            <w:tcW w:type="dxa" w:w="486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تفعيل الجسر السلوكي: تحويل الندم المحتجز إلى إجراء إصلاحي محدد</w:t>
            </w:r>
          </w:p>
        </w:tc>
      </w:tr>
      <w:tr>
        <w:tc>
          <w:tcPr>
            <w:tcW w:type="dxa" w:w="449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↑ الندم مع ↓ التأثير الوجودي</w:t>
            </w:r>
          </w:p>
        </w:tc>
        <w:tc>
          <w:tcPr>
            <w:tcW w:type="dxa" w:w="486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ربط الخطأ بالغاية الوجودية الكبرى، إحياء معنى الاستخلاف</w:t>
            </w:r>
          </w:p>
        </w:tc>
      </w:tr>
      <w:tr>
        <w:tc>
          <w:tcPr>
            <w:tcW w:type="dxa" w:w="449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↑ الدين النفسي</w:t>
            </w:r>
          </w:p>
        </w:tc>
        <w:tc>
          <w:tcPr>
            <w:tcW w:type="dxa" w:w="486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التشخيص الوجودي أولاً: تفكيك الديون الوهمية وتحديد الحقيقية</w:t>
            </w:r>
          </w:p>
        </w:tc>
      </w:tr>
      <w:tr>
        <w:tc>
          <w:tcPr>
            <w:tcW w:type="dxa" w:w="449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↑ التأثير الوجودي مع ↓ الاستعداد</w:t>
            </w:r>
          </w:p>
        </w:tc>
        <w:tc>
          <w:tcPr>
            <w:tcW w:type="dxa" w:w="486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إعادة بناء صورة الله من الإله المعاقب إلى الرب الرحيم الشاهد</w:t>
            </w:r>
          </w:p>
        </w:tc>
      </w:tr>
      <w:tr>
        <w:tc>
          <w:tcPr>
            <w:tcW w:type="dxa" w:w="449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1"/>
                <w:szCs w:val="21"/>
              </w:rPr>
              <w:t xml:space="preserve">↓ الوعي في كل الأبعاد</w:t>
            </w:r>
          </w:p>
        </w:tc>
        <w:tc>
          <w:tcPr>
            <w:tcW w:type="dxa" w:w="4867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1"/>
                <w:szCs w:val="21"/>
              </w:rPr>
              <w:t xml:space="preserve">العمل على استيقاظ النفس اللوامة قبل الشروع في أي تحويل</w:t>
            </w:r>
          </w:p>
        </w:tc>
      </w:tr>
    </w:tbl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خامساً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مثال تطبيقي — حالة افتراضية</w:t>
      </w:r>
    </w:p>
    <w:p>
      <w:pPr>
        <w:pBdr>
          <w:top w:val="single" w:color="0A5E5E" w:sz="6"/>
          <w:bottom w:val="single" w:color="0A5E5E" w:sz="6"/>
          <w:right w:val="single" w:color="9A7B1A" w:sz="24"/>
        </w:pBdr>
        <w:bidi/>
        <w:spacing w:before="120" w:after="120" w:line="350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3"/>
          <w:szCs w:val="23"/>
        </w:rPr>
        <w:t xml:space="preserve">المريضة: 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سارة، 32 عاماً. تعاني من اكتئاب مزمن مرتبط بشعور دائم بالذنب تجاه والدتها المتوفاة. تُحكّم صورة إله قاسٍ في لاوعيها، وتؤمن بأنها كانت السبب الرئيسي في شقاء والدتها.</w:t>
      </w:r>
    </w:p>
    <w:p>
      <w:pPr>
        <w:spacing w:before="30" w:after="0"/>
      </w:pPr>
    </w:p>
    <w:p>
      <w:pPr>
        <w:bidi/>
        <w:spacing w:before="60" w:after="4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نتائج المقياس: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872"/>
        <w:gridCol w:w="4680"/>
      </w:tblGrid>
      <w:tr>
        <w:trPr>
          <w:tblHeader/>
        </w:trPr>
        <w:tc>
          <w:tcPr>
            <w:tcW w:type="dxa" w:w="2808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البعد</w:t>
            </w:r>
          </w:p>
        </w:tc>
        <w:tc>
          <w:tcPr>
            <w:tcW w:type="dxa" w:w="1872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الدرجة</w:t>
            </w:r>
          </w:p>
        </w:tc>
        <w:tc>
          <w:tcPr>
            <w:tcW w:type="dxa" w:w="468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التفسير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الوعي بالخطأ</w:t>
            </w:r>
          </w:p>
        </w:tc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2"/>
                <w:szCs w:val="22"/>
              </w:rPr>
              <w:t xml:space="preserve">28 / 35</w:t>
            </w:r>
          </w:p>
        </w:tc>
        <w:tc>
          <w:tcPr>
            <w:tcW w:type="dxa" w:w="468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حساسية مفرطة، تحميل ذات زائد على مدى سنوات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الندم والأسف</w:t>
            </w:r>
          </w:p>
        </w:tc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2"/>
                <w:szCs w:val="22"/>
              </w:rPr>
              <w:t xml:space="preserve">32 / 35</w:t>
            </w:r>
          </w:p>
        </w:tc>
        <w:tc>
          <w:tcPr>
            <w:tcW w:type="dxa" w:w="468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ندم مرضي شديد، جلد ذات لا يتوقف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الاستعداد للتوبة</w:t>
            </w:r>
          </w:p>
        </w:tc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2"/>
                <w:szCs w:val="22"/>
              </w:rPr>
              <w:t xml:space="preserve">12 / 35</w:t>
            </w:r>
          </w:p>
        </w:tc>
        <w:tc>
          <w:tcPr>
            <w:tcW w:type="dxa" w:w="468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جمود تام، عجز كامل عن الإصلاح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التأثير الوجودي</w:t>
            </w:r>
          </w:p>
        </w:tc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2"/>
                <w:szCs w:val="22"/>
              </w:rPr>
              <w:t xml:space="preserve">30 / 35</w:t>
            </w:r>
          </w:p>
        </w:tc>
        <w:tc>
          <w:tcPr>
            <w:tcW w:type="dxa" w:w="468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6F0F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أزمة وجودية حادة، شعور بانعدام الغاية</w:t>
            </w:r>
          </w:p>
        </w:tc>
      </w:tr>
      <w:tr>
        <w:tc>
          <w:tcPr>
            <w:tcW w:type="dxa" w:w="2808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A3A6B"/>
                <w:sz w:val="21"/>
                <w:szCs w:val="21"/>
              </w:rPr>
              <w:t xml:space="preserve">الدين النفسي</w:t>
            </w:r>
          </w:p>
        </w:tc>
        <w:tc>
          <w:tcPr>
            <w:tcW w:type="dxa" w:w="1872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center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7A1A1A"/>
                <w:sz w:val="22"/>
                <w:szCs w:val="22"/>
              </w:rPr>
              <w:t xml:space="preserve">33 / 35</w:t>
            </w:r>
          </w:p>
        </w:tc>
        <w:tc>
          <w:tcPr>
            <w:tcW w:type="dxa" w:w="468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0"/>
                <w:szCs w:val="20"/>
              </w:rPr>
              <w:t xml:space="preserve">ديون نفسية مُرهقة، تطاردها منذ سنوات</w:t>
            </w:r>
          </w:p>
        </w:tc>
      </w:tr>
    </w:tbl>
    <w:p>
      <w:pPr>
        <w:spacing w:before="50" w:after="0"/>
      </w:pPr>
    </w:p>
    <w:p>
      <w:pPr>
        <w:pBdr>
          <w:top w:val="single" w:color="7A1A1A" w:sz="6"/>
          <w:bottom w:val="single" w:color="7A1A1A" w:sz="6"/>
          <w:right w:val="single" w:color="9A7B1A" w:sz="24"/>
        </w:pBdr>
        <w:bidi/>
        <w:spacing w:before="120" w:after="120" w:line="350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7A1A1A"/>
          <w:sz w:val="23"/>
          <w:szCs w:val="23"/>
        </w:rPr>
        <w:t xml:space="preserve">التشخيص الاستخلافي:  </w:t>
      </w: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3"/>
          <w:szCs w:val="23"/>
        </w:rPr>
        <w:t xml:space="preserve">ذنب مرضي من نوع «الدين الوهمي»، مصدره تربية قاسية جعلتها تُحمّل نفسها مسؤولية سعادة والدتها. الدين حقيقي من حيث المشاعر، لكنه وهمي من حيث المسؤولية الفعلية.</w:t>
      </w:r>
    </w:p>
    <w:p>
      <w:pPr>
        <w:spacing w:before="40" w:after="0"/>
      </w:pPr>
    </w:p>
    <w:p>
      <w:pPr>
        <w:bidi/>
        <w:spacing w:before="60" w:after="3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3"/>
          <w:szCs w:val="23"/>
        </w:rPr>
        <w:t xml:space="preserve">خطة العلاج المقترحة:</w:t>
      </w:r>
    </w:p>
    <w:p>
      <w:pPr>
        <w:pBdr>
          <w:top w:val="single" w:color="0A5E5E" w:sz="6"/>
          <w:right w:val="single" w:color="0A5E5E" w:sz="20"/>
        </w:pBdr>
        <w:bidi/>
        <w:spacing w:before="12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2"/>
          <w:szCs w:val="22"/>
        </w:rPr>
        <w:t xml:space="preserve">المرحلة الأولى — التشخيص الوجودي</w:t>
      </w:r>
    </w:p>
    <w:p>
      <w:pPr>
        <w:pBdr>
          <w:bottom w:val="single" w:color="0A5E5E" w:sz="6"/>
          <w:right w:val="single" w:color="0A5E5E" w:sz="20"/>
        </w:pBdr>
        <w:bidi/>
        <w:spacing w:before="0" w:after="120" w:line="34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2"/>
          <w:szCs w:val="22"/>
        </w:rPr>
        <w:t xml:space="preserve">تفكيك الفكرة المحورية «أنا سبب تعاسة أمي» — خريطة الدين النفسي — التمييز بين الديون الحقيقية والوهمية.</w:t>
      </w:r>
    </w:p>
    <w:p>
      <w:pPr>
        <w:spacing w:before="10" w:after="0"/>
      </w:pPr>
    </w:p>
    <w:p>
      <w:pPr>
        <w:pBdr>
          <w:top w:val="single" w:color="1A3A6B" w:sz="6"/>
          <w:right w:val="single" w:color="1A3A6B" w:sz="20"/>
        </w:pBdr>
        <w:bidi/>
        <w:spacing w:before="12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2"/>
          <w:szCs w:val="22"/>
        </w:rPr>
        <w:t xml:space="preserve">المرحلة الثانية — تطهير صورة الله</w:t>
      </w:r>
    </w:p>
    <w:p>
      <w:pPr>
        <w:pBdr>
          <w:bottom w:val="single" w:color="1A3A6B" w:sz="6"/>
          <w:right w:val="single" w:color="1A3A6B" w:sz="20"/>
        </w:pBdr>
        <w:bidi/>
        <w:spacing w:before="0" w:after="120" w:line="34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2"/>
          <w:szCs w:val="22"/>
        </w:rPr>
        <w:t xml:space="preserve">الانتقال من صورة «الإله المعاقب» إلى «الرحيم الغفور» — عمل على الأسماء الحسنى والآيات الرحيمية.</w:t>
      </w:r>
    </w:p>
    <w:p>
      <w:pPr>
        <w:spacing w:before="10" w:after="0"/>
      </w:pPr>
    </w:p>
    <w:p>
      <w:pPr>
        <w:pBdr>
          <w:top w:val="single" w:color="1A5535" w:sz="6"/>
          <w:right w:val="single" w:color="1A5535" w:sz="20"/>
        </w:pBdr>
        <w:bidi/>
        <w:spacing w:before="12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5535"/>
          <w:sz w:val="22"/>
          <w:szCs w:val="22"/>
        </w:rPr>
        <w:t xml:space="preserve">المرحلة الثالثة — الجسر السلوكي</w:t>
      </w:r>
    </w:p>
    <w:p>
      <w:pPr>
        <w:pBdr>
          <w:bottom w:val="single" w:color="1A5535" w:sz="6"/>
          <w:right w:val="single" w:color="1A5535" w:sz="20"/>
        </w:pBdr>
        <w:bidi/>
        <w:spacing w:before="0" w:after="120" w:line="34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2"/>
          <w:szCs w:val="22"/>
        </w:rPr>
        <w:t xml:space="preserve">تحويل الندم إلى أعمال إحسانية باسم الأم: صدقة جارية، دعاء مستمر، تبني قضية قريبة من قلب الأم.</w:t>
      </w:r>
    </w:p>
    <w:p>
      <w:pPr>
        <w:spacing w:before="10" w:after="0"/>
      </w:pPr>
    </w:p>
    <w:p>
      <w:pPr>
        <w:pBdr>
          <w:top w:val="single" w:color="9A7B1A" w:sz="6"/>
          <w:right w:val="single" w:color="9A7B1A" w:sz="20"/>
        </w:pBdr>
        <w:bidi/>
        <w:spacing w:before="120" w:after="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2"/>
          <w:szCs w:val="22"/>
        </w:rPr>
        <w:t xml:space="preserve">المرحلة الرابعة — إعادة كتابة السردية</w:t>
      </w:r>
    </w:p>
    <w:p>
      <w:pPr>
        <w:pBdr>
          <w:bottom w:val="single" w:color="9A7B1A" w:sz="6"/>
          <w:right w:val="single" w:color="9A7B1A" w:sz="20"/>
        </w:pBdr>
        <w:bidi/>
        <w:spacing w:before="0" w:after="120" w:line="34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2"/>
          <w:szCs w:val="22"/>
        </w:rPr>
        <w:t xml:space="preserve">من «ابنة مقصرة تحمل ذنباً» إلى «ابنة حوّلت حبها لوالدتها إلى عطاء مستمر ومشروع تكريم». الكينتسوغي النفسي.</w:t>
      </w:r>
    </w:p>
    <w:p>
      <w:pPr>
        <w:spacing w:before="60" w:after="0"/>
      </w:pPr>
    </w:p>
    <w:p>
      <w:r>
        <w:br w:type="page"/>
      </w:r>
    </w:p>
    <w:p>
      <w:pPr>
        <w:pBdr>
          <w:bottom w:val="single" w:color="0A5E5E" w:sz="8" w:space="4"/>
        </w:pBdr>
        <w:bidi/>
        <w:spacing w:before="260" w:after="110"/>
        <w:jc w:val="right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9A7B1A"/>
          <w:sz w:val="28"/>
          <w:szCs w:val="28"/>
        </w:rPr>
        <w:t xml:space="preserve">  </w:t>
      </w: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1A3A6B"/>
          <w:sz w:val="28"/>
          <w:szCs w:val="28"/>
        </w:rPr>
        <w:t xml:space="preserve">خلاصة: خصائص النموذج وآفاقه</w:t>
      </w:r>
    </w:p>
    <w:p>
      <w:pPr>
        <w:bidi/>
        <w:spacing w:before="90" w:after="110" w:line="360"/>
      </w:pPr>
      <w:r>
        <w:rPr>
          <w:rFonts w:ascii="Traditional Arabic" w:cs="Traditional Arabic" w:eastAsia="Traditional Arabic" w:hAnsi="Traditional Arabic"/>
          <w:b w:val="false"/>
          <w:bCs w:val="false"/>
          <w:i w:val="false"/>
          <w:iCs w:val="false"/>
          <w:color w:val="111827"/>
          <w:sz w:val="24"/>
          <w:szCs w:val="24"/>
        </w:rPr>
        <w:t xml:space="preserve">يتميز هذا النموذج المقترح لقياس الشعور بالذنب بخمس خصائص تجعله متفرداً في الأدوات النفسية المعاصرة: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20"/>
        <w:gridCol w:w="6739"/>
      </w:tblGrid>
      <w:tr>
        <w:trPr>
          <w:tblHeader/>
        </w:trPr>
        <w:tc>
          <w:tcPr>
            <w:tcW w:type="dxa" w:w="2620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الخاصية</w:t>
            </w:r>
          </w:p>
        </w:tc>
        <w:tc>
          <w:tcPr>
            <w:tcW w:type="dxa" w:w="6739"/>
            <w:tcBorders>
              <w:top w:val="single" w:color="0D1B33" w:sz="4"/>
              <w:left w:val="single" w:color="0D1B33" w:sz="4"/>
              <w:bottom w:val="single" w:color="0D1B33" w:sz="4"/>
              <w:right w:val="single" w:color="0D1B33" w:sz="4"/>
            </w:tcBorders>
            <w:shd w:fill="1A3A6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bidi/>
              <w:jc w:val="center"/>
            </w:pPr>
            <w:r>
              <w:rPr>
                <w:rFonts w:ascii="Traditional Arabic" w:cs="Traditional Arabic" w:eastAsia="Traditional Arabic" w:hAnsi="Traditional Arabic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ما تعنيه في الممارسة</w:t>
            </w:r>
          </w:p>
        </w:tc>
      </w:tr>
      <w:tr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العمق النظري</w:t>
            </w:r>
          </w:p>
        </w:tc>
        <w:tc>
          <w:tcPr>
            <w:tcW w:type="dxa" w:w="673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مستند إلى مفاهيم النموذج الاستخلافي (النفس اللوامة، الدين النفسي، الأضلاع الثمانية)</w:t>
            </w:r>
          </w:p>
        </w:tc>
      </w:tr>
      <w:tr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التعدد المنهجي</w:t>
            </w:r>
          </w:p>
        </w:tc>
        <w:tc>
          <w:tcPr>
            <w:tcW w:type="dxa" w:w="673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يجمع الذاتي والسلوكي والسردي والفسيولوجي في منظومة واحدة متكاملة</w:t>
            </w:r>
          </w:p>
        </w:tc>
      </w:tr>
      <w:tr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التوجه العلاجي</w:t>
            </w:r>
          </w:p>
        </w:tc>
        <w:tc>
          <w:tcPr>
            <w:tcW w:type="dxa" w:w="673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ليس مجرد أداة تشخيص، بل خريطة طريق ترشد كل مرحلة من مراحل العلاج</w:t>
            </w:r>
          </w:p>
        </w:tc>
      </w:tr>
      <w:tr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المرونة التطبيقية</w:t>
            </w:r>
          </w:p>
        </w:tc>
        <w:tc>
          <w:tcPr>
            <w:tcW w:type="dxa" w:w="673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E5F5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يُستخدم في العيادة (الصيغة الذاتية) وفي البحث العلمي (الصيغة المتكاملة)</w:t>
            </w:r>
          </w:p>
        </w:tc>
      </w:tr>
      <w:tr>
        <w:tc>
          <w:tcPr>
            <w:tcW w:type="dxa" w:w="2620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الملاءمة الثقافية</w:t>
            </w:r>
          </w:p>
        </w:tc>
        <w:tc>
          <w:tcPr>
            <w:tcW w:type="dxa" w:w="6739"/>
            <w:tcBorders>
              <w:top w:val="single" w:color="C0C0C0" w:sz="3"/>
              <w:left w:val="single" w:color="C0C0C0" w:sz="3"/>
              <w:bottom w:val="single" w:color="C0C0C0" w:sz="3"/>
              <w:right w:val="single" w:color="C0C0C0" w:sz="3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bidi/>
              <w:spacing w:line="305"/>
              <w:jc w:val="right"/>
            </w:pPr>
            <w:r>
              <w:rPr>
                <w:rFonts w:ascii="Traditional Arabic" w:cs="Traditional Arabic" w:eastAsia="Traditional Arabic" w:hAnsi="Traditional Arabic"/>
                <w:b w:val="false"/>
                <w:bCs w:val="false"/>
                <w:i w:val="false"/>
                <w:iCs w:val="false"/>
                <w:color w:val="111827"/>
                <w:sz w:val="22"/>
                <w:szCs w:val="22"/>
              </w:rPr>
              <w:t xml:space="preserve">يُراعي خصوصية السياق الثقافي والديني في التمييز بين أنواع الذنب الثلاثة</w:t>
            </w:r>
          </w:p>
        </w:tc>
      </w:tr>
    </w:tbl>
    <w:p>
      <w:pPr>
        <w:spacing w:before="60" w:after="0"/>
      </w:pPr>
    </w:p>
    <w:p>
      <w:pPr>
        <w:pBdr>
          <w:top w:val="single" w:color="0A5E5E" w:sz="12"/>
          <w:bottom w:val="single" w:color="0A5E5E" w:sz="12"/>
        </w:pBdr>
        <w:bidi/>
        <w:spacing w:before="150" w:after="150" w:line="39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0A5E5E"/>
          <w:sz w:val="25"/>
          <w:szCs w:val="25"/>
        </w:rPr>
        <w:t xml:space="preserve">تطوير هذا النموذج واختباره تجريبياً على عينات متنوعة هو الخطوة التالية الأساسية في مشروع TLRT لإثبات فعاليته وتعزيز مصداقيته العلمية عالمياً</w:t>
      </w:r>
    </w:p>
    <w:p>
      <w:pPr>
        <w:spacing w:before="80" w:after="0"/>
      </w:pPr>
    </w:p>
    <w:p>
      <w:pPr>
        <w:pBdr>
          <w:bottom w:val="single" w:color="9A7B1A" w:sz="4" w:space="1"/>
        </w:pBdr>
        <w:spacing w:before="160" w:after="160"/>
      </w:pPr>
    </w:p>
    <w:p>
      <w:pPr>
        <w:spacing w:before="40" w:after="0"/>
      </w:pPr>
    </w:p>
    <w:p>
      <w:pPr>
        <w:bidi/>
        <w:spacing w:before="30" w:after="30"/>
        <w:jc w:val="center"/>
      </w:pPr>
      <w:r>
        <w:rPr>
          <w:rFonts w:ascii="Traditional Arabic" w:cs="Traditional Arabic" w:eastAsia="Traditional Arabic" w:hAnsi="Traditional Arabic"/>
          <w:b/>
          <w:bCs/>
          <w:i w:val="false"/>
          <w:iCs w:val="false"/>
          <w:color w:val="6B4800"/>
          <w:sz w:val="26"/>
          <w:szCs w:val="26"/>
        </w:rPr>
        <w:t xml:space="preserve">وما توفيقي إلا بالله، عليه توكلت وإليه أنيب</w:t>
      </w:r>
    </w:p>
    <w:p>
      <w:pPr>
        <w:pBdr>
          <w:bottom w:val="single" w:color="9A7B1A" w:sz="4" w:space="1"/>
        </w:pBdr>
        <w:spacing w:before="160" w:after="160"/>
      </w:pPr>
    </w:p>
    <w:p>
      <w:pPr>
        <w:spacing w:before="120" w:after="0"/>
      </w:pP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A7B1A" w:sz="4" w:space="4"/>
      </w:pBdr>
      <w:bidi/>
      <w:spacing w:before="80"/>
      <w:jc w:val="center"/>
    </w:pPr>
    <w:r>
      <w:rPr>
        <w:rFonts w:ascii="Traditional Arabic" w:cs="Traditional Arabic" w:eastAsia="Traditional Arabic" w:hAnsi="Traditional Arabic"/>
        <w:b w:val="false"/>
        <w:bCs w:val="false"/>
        <w:i w:val="false"/>
        <w:iCs w:val="false"/>
        <w:color w:val="1A3A6B"/>
        <w:sz w:val="17"/>
        <w:szCs w:val="17"/>
      </w:rPr>
      <w:t xml:space="preserve">مقاربة تكاملية متعددة الأبعاد  |  صفحة </w:t>
    </w:r>
    <w:r>
      <w:rPr>
        <w:rFonts w:ascii="Traditional Arabic" w:cs="Traditional Arabic" w:eastAsia="Traditional Arabic" w:hAnsi="Traditional Arabic"/>
        <w:color w:val="1A3A6B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9A7B1A" w:sz="6" w:space="4"/>
      </w:pBdr>
      <w:bidi/>
      <w:spacing w:after="100"/>
      <w:jc w:val="center"/>
    </w:pPr>
    <w:r>
      <w:rPr>
        <w:rFonts w:ascii="Traditional Arabic" w:cs="Traditional Arabic" w:eastAsia="Traditional Arabic" w:hAnsi="Traditional Arabic"/>
        <w:b/>
        <w:bCs/>
        <w:i w:val="false"/>
        <w:iCs w:val="false"/>
        <w:color w:val="0A5E5E"/>
        <w:sz w:val="17"/>
        <w:szCs w:val="17"/>
      </w:rPr>
      <w:t xml:space="preserve">نموذج قياس الشعور بالذنب | العلاج بحرث المصالحة التحويلية (TLRT)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◆"/>
      <w:lvlJc w:val="right"/>
      <w:pPr>
        <w:bidi/>
        <w:ind w:right="500" w:hanging="280"/>
        <w:jc w:val="right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right"/>
      <w:pPr>
        <w:bidi/>
        <w:ind w:right="500" w:hanging="300"/>
        <w:jc w:val="right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cs="Traditional Arabic" w:eastAsia="Traditional Arabic" w:hAnsi="Traditional Arabic"/>
        <w:color w:val="111827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2026-03-28T20:33:10.854Z</dcterms:created>
  <dcterms:modified xsi:type="dcterms:W3CDTF">2026-03-28T20:33:10.855Z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