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bidi/>
        <w:spacing w:after="200"/>
        <w:jc w:val="center"/>
      </w:pPr>
      <w:r>
        <w:rPr>
          <w:b/>
          <w:bCs/>
          <w:color w:val="1F4E79"/>
          <w:sz w:val="40"/>
          <w:szCs w:val="40"/>
          <w:rtl/>
        </w:rPr>
        <w:t xml:space="preserve">الفصل السابع: التمثيل البياني للاستخلاف الرقمي</w:t>
      </w:r>
    </w:p>
    <w:p>
      <w:pPr>
        <w:bidi/>
        <w:spacing w:after="400"/>
        <w:jc w:val="center"/>
      </w:pPr>
      <w:r>
        <w:rPr>
          <w:i/>
          <w:iCs/>
          <w:color w:val="2E74B5"/>
          <w:sz w:val="28"/>
          <w:szCs w:val="28"/>
          <w:rtl/>
        </w:rPr>
        <w:t xml:space="preserve">تفعيل الأضلاع الثمانية في مواجهة التحدي الخوارزمي</w:t>
      </w:r>
    </w:p>
    <w:p>
      <w:pPr>
        <w:pBdr>
          <w:bottom w:val="single" w:color="1F4E79" w:sz="6" w:space="1"/>
        </w:pBdr>
      </w:pPr>
      <w:r>
        <w:t xml:space="preserve"/>
      </w:r>
    </w:p>
    <w:p>
      <w:r>
        <w:t xml:space="preserve"/>
      </w:r>
    </w:p>
    <w:p>
      <w:pPr>
        <w:pStyle w:val="Heading2"/>
        <w:bidi/>
        <w:jc w:val="right"/>
      </w:pPr>
      <w:r>
        <w:rPr>
          <w:b/>
          <w:bCs/>
          <w:color w:val="2E74B5"/>
          <w:sz w:val="28"/>
          <w:szCs w:val="28"/>
          <w:rtl/>
        </w:rPr>
        <w:t xml:space="preserve">تمهيد: من النموذج النظري إلى الخريطة التفاعلية</w:t>
      </w:r>
    </w:p>
    <w:p>
      <w:pPr>
        <w:bidi/>
        <w:spacing w:after="120"/>
        <w:jc w:val="right"/>
      </w:pPr>
      <w:r>
        <w:rPr>
          <w:sz w:val="24"/>
          <w:szCs w:val="24"/>
          <w:rtl/>
        </w:rPr>
        <w:t xml:space="preserve">بعد أن بنينا في الأطروحات السابقة النموذج الهرمي الرباعي الأبعاد (القاعدة الفطرية، المستويات الثلاثة، البعد الرابع، الأضلاع الثمانية)، ثم طبقناه على أزمة الإنسان المعاصر في الأطروحة الثالثة، وصولاً إلى نموذج الاستخلاف الرقمي الواعي في الفصل السادس، يأتي هذا الفصل ليقدّم التمثيل البياني التفاعلي لهذا النموذج.</w:t>
      </w:r>
    </w:p>
    <w:p>
      <w:pPr>
        <w:bidi/>
        <w:spacing w:after="120"/>
        <w:jc w:val="right"/>
      </w:pPr>
      <w:r>
        <w:rPr>
          <w:sz w:val="24"/>
          <w:szCs w:val="24"/>
          <w:rtl/>
        </w:rPr>
        <w:t xml:space="preserve">الهدف هنا ليس التكرار، بل تحويل الأضلاع الثمانية من مفاهيم نظرية إلى خريطة حركة يمكن للقارئ أن يرى من خلالها كيف تعمل هذه الأضلاع في مواجهة التحدي الرقمي تحديداً. سنعرض لكل ضلع:</w:t>
      </w:r>
    </w:p>
    <w:p>
      <w:pPr>
        <w:pStyle w:val="ListParagraph"/>
        <w:numPr>
          <w:ilvl w:val="0"/>
          <w:numId w:val="2"/>
        </w:numPr>
        <w:bidi/>
        <w:jc w:val="right"/>
      </w:pPr>
      <w:r>
        <w:rPr>
          <w:sz w:val="24"/>
          <w:szCs w:val="24"/>
          <w:rtl/>
        </w:rPr>
        <w:t xml:space="preserve">تعريفه الموجز (كما ورد في الفصل الرابع).</w:t>
      </w:r>
    </w:p>
    <w:p>
      <w:pPr>
        <w:pStyle w:val="ListParagraph"/>
        <w:numPr>
          <w:ilvl w:val="0"/>
          <w:numId w:val="2"/>
        </w:numPr>
        <w:bidi/>
        <w:jc w:val="right"/>
      </w:pPr>
      <w:r>
        <w:rPr>
          <w:sz w:val="24"/>
          <w:szCs w:val="24"/>
          <w:rtl/>
        </w:rPr>
        <w:t xml:space="preserve">تأثير الخوارزمية الرقمية عليه (كيف تُضعفه أو تُعطّله).</w:t>
      </w:r>
    </w:p>
    <w:p>
      <w:pPr>
        <w:pStyle w:val="ListParagraph"/>
        <w:numPr>
          <w:ilvl w:val="0"/>
          <w:numId w:val="2"/>
        </w:numPr>
        <w:bidi/>
        <w:jc w:val="right"/>
      </w:pPr>
      <w:r>
        <w:rPr>
          <w:sz w:val="24"/>
          <w:szCs w:val="24"/>
          <w:rtl/>
        </w:rPr>
        <w:t xml:space="preserve">كيف يُفعّله الخليفة الرقمي الواعي (الممارسات العملية).</w:t>
      </w:r>
    </w:p>
    <w:p>
      <w:pPr>
        <w:pStyle w:val="ListParagraph"/>
        <w:numPr>
          <w:ilvl w:val="0"/>
          <w:numId w:val="2"/>
        </w:numPr>
        <w:bidi/>
        <w:jc w:val="right"/>
      </w:pPr>
      <w:r>
        <w:rPr>
          <w:sz w:val="24"/>
          <w:szCs w:val="24"/>
          <w:rtl/>
        </w:rPr>
        <w:t xml:space="preserve">النتيجة على مستوى النفس (أي مستوى من الهرم يُعزز).</w:t>
      </w:r>
    </w:p>
    <w:p>
      <w:r>
        <w:t xml:space="preserve"/>
      </w:r>
    </w:p>
    <w:p>
      <w:pPr>
        <w:bidi/>
        <w:spacing w:after="120"/>
        <w:jc w:val="right"/>
      </w:pPr>
      <w:r>
        <w:rPr>
          <w:sz w:val="24"/>
          <w:szCs w:val="24"/>
          <w:rtl/>
        </w:rPr>
        <w:t xml:space="preserve">ثم نقدّم شكلاً بيانياً نصياً يجمع هذه العناصر في لوحة متكاملة، تبيّن أن الخليفة الرقمي هو من ينجح في إبقاء الأضلاع الثمانية كلها فاعلة، بينما الخوارزمية تسعى لتعطيلها.</w:t>
      </w:r>
    </w:p>
    <w:p>
      <w:r>
        <w:t xml:space="preserve"/>
      </w:r>
    </w:p>
    <w:p>
      <w:pPr>
        <w:pStyle w:val="Heading1"/>
        <w:bidi/>
        <w:jc w:val="right"/>
      </w:pPr>
      <w:r>
        <w:rPr>
          <w:b/>
          <w:bCs/>
          <w:color w:val="1F4E79"/>
          <w:sz w:val="36"/>
          <w:szCs w:val="36"/>
          <w:rtl/>
        </w:rPr>
        <w:t xml:space="preserve">أولاً: عرض الأضلاع الثمانية في مواجهة التحدي الرقمي</w:t>
      </w:r>
    </w:p>
    <w:p>
      <w:r>
        <w:t xml:space="preserve"/>
      </w:r>
    </w:p>
    <w:p>
      <w:pPr>
        <w:pStyle w:val="Heading2"/>
        <w:bidi/>
        <w:jc w:val="right"/>
      </w:pPr>
      <w:r>
        <w:rPr>
          <w:b/>
          <w:bCs/>
          <w:color w:val="2E74B5"/>
          <w:sz w:val="28"/>
          <w:szCs w:val="28"/>
          <w:rtl/>
        </w:rPr>
        <w:t xml:space="preserve">الضلع الأول: الفجور ← النفس الأمارة</w:t>
      </w:r>
    </w:p>
    <w:tbl>
      <w:tblPr>
        <w:tblW w:type="dxa" w:w="9360"/>
        <w:tblBorders>
          <w:top w:val="single" w:color="auto" w:sz="4"/>
          <w:start w:val="single" w:color="auto" w:sz="4"/>
          <w:bottom w:val="single" w:color="auto" w:sz="4"/>
          <w:end w:val="single" w:color="auto" w:sz="4"/>
          <w:insideH w:val="single" w:color="auto" w:sz="4"/>
          <w:insideV w:val="single" w:color="auto" w:sz="4"/>
        </w:tblBorders>
      </w:tblPr>
      <w:tblGrid>
        <w:gridCol w:w="2200"/>
        <w:gridCol w:w="7160"/>
      </w:tblGrid>
      <w:tr>
        <w:tc>
          <w:tcPr>
            <w:tcW w:type="dxa" w:w="2200"/>
            <w:tcBorders>
              <w:top w:val="single" w:color="CCCCCC" w:sz="1"/>
              <w:left w:val="single" w:color="CCCCCC" w:sz="1"/>
              <w:bottom w:val="single" w:color="CCCCCC" w:sz="1"/>
              <w:right w:val="single" w:color="CCCCCC" w:sz="1"/>
            </w:tcBorders>
            <w:shd w:fill="1F4E79" w:val="clear"/>
            <w:tcMar>
              <w:top w:type="dxa" w:w="80"/>
              <w:left w:type="dxa" w:w="120"/>
              <w:bottom w:type="dxa" w:w="80"/>
              <w:right w:type="dxa" w:w="120"/>
            </w:tcMar>
          </w:tcPr>
          <w:p>
            <w:pPr>
              <w:bidi/>
              <w:jc w:val="center"/>
            </w:pPr>
            <w:r>
              <w:rPr>
                <w:b/>
                <w:bCs/>
                <w:color w:val="FFFFFF"/>
                <w:sz w:val="22"/>
                <w:szCs w:val="22"/>
                <w:rtl/>
              </w:rPr>
              <w:t xml:space="preserve">العنصر</w:t>
            </w:r>
          </w:p>
        </w:tc>
        <w:tc>
          <w:tcPr>
            <w:tcW w:type="dxa" w:w="7160"/>
            <w:tcBorders>
              <w:top w:val="single" w:color="CCCCCC" w:sz="1"/>
              <w:left w:val="single" w:color="CCCCCC" w:sz="1"/>
              <w:bottom w:val="single" w:color="CCCCCC" w:sz="1"/>
              <w:right w:val="single" w:color="CCCCCC" w:sz="1"/>
            </w:tcBorders>
            <w:shd w:fill="1F4E79" w:val="clear"/>
            <w:tcMar>
              <w:top w:type="dxa" w:w="80"/>
              <w:left w:type="dxa" w:w="120"/>
              <w:bottom w:type="dxa" w:w="80"/>
              <w:right w:type="dxa" w:w="120"/>
            </w:tcMar>
          </w:tcPr>
          <w:p>
            <w:pPr>
              <w:bidi/>
              <w:jc w:val="center"/>
            </w:pPr>
            <w:r>
              <w:rPr>
                <w:b/>
                <w:bCs/>
                <w:color w:val="FFFFFF"/>
                <w:sz w:val="22"/>
                <w:szCs w:val="22"/>
                <w:rtl/>
              </w:rPr>
              <w:t xml:space="preserve">التفصيل</w:t>
            </w:r>
          </w:p>
        </w:tc>
      </w:tr>
      <w:tr>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bidi/>
              <w:jc w:val="right"/>
            </w:pPr>
            <w:r>
              <w:rPr>
                <w:sz w:val="21"/>
                <w:szCs w:val="21"/>
                <w:rtl/>
              </w:rPr>
              <w:t xml:space="preserve">تعريف الضلع</w:t>
            </w:r>
          </w:p>
        </w:tc>
        <w:tc>
          <w:tcPr>
            <w:tcW w:type="dxa" w:w="71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bidi/>
              <w:jc w:val="right"/>
            </w:pPr>
            <w:r>
              <w:rPr>
                <w:sz w:val="21"/>
                <w:szCs w:val="21"/>
                <w:rtl/>
              </w:rPr>
              <w:t xml:space="preserve">الفجور (الانفتاح على الشر) يغذي النفس الأمارة ويدفعها للاستسلام للهوى.</w:t>
            </w:r>
          </w:p>
        </w:tc>
      </w:tr>
      <w:tr>
        <w:tc>
          <w:tcPr>
            <w:tcW w:type="dxa" w:w="2200"/>
            <w:tcBorders>
              <w:top w:val="single" w:color="CCCCCC" w:sz="1"/>
              <w:left w:val="single" w:color="CCCCCC" w:sz="1"/>
              <w:bottom w:val="single" w:color="CCCCCC" w:sz="1"/>
              <w:right w:val="single" w:color="CCCCCC" w:sz="1"/>
            </w:tcBorders>
            <w:shd w:fill="E8F0F7" w:val="clear"/>
            <w:tcMar>
              <w:top w:type="dxa" w:w="80"/>
              <w:left w:type="dxa" w:w="120"/>
              <w:bottom w:type="dxa" w:w="80"/>
              <w:right w:type="dxa" w:w="120"/>
            </w:tcMar>
          </w:tcPr>
          <w:p>
            <w:pPr>
              <w:bidi/>
              <w:jc w:val="right"/>
            </w:pPr>
            <w:r>
              <w:rPr>
                <w:sz w:val="21"/>
                <w:szCs w:val="21"/>
                <w:rtl/>
              </w:rPr>
              <w:t xml:space="preserve">تأثير الخوارزمية</w:t>
            </w:r>
          </w:p>
        </w:tc>
        <w:tc>
          <w:tcPr>
            <w:tcW w:type="dxa" w:w="7160"/>
            <w:tcBorders>
              <w:top w:val="single" w:color="CCCCCC" w:sz="1"/>
              <w:left w:val="single" w:color="CCCCCC" w:sz="1"/>
              <w:bottom w:val="single" w:color="CCCCCC" w:sz="1"/>
              <w:right w:val="single" w:color="CCCCCC" w:sz="1"/>
            </w:tcBorders>
            <w:shd w:fill="E8F0F7" w:val="clear"/>
            <w:tcMar>
              <w:top w:type="dxa" w:w="80"/>
              <w:left w:type="dxa" w:w="120"/>
              <w:bottom w:type="dxa" w:w="80"/>
              <w:right w:type="dxa" w:w="120"/>
            </w:tcMar>
          </w:tcPr>
          <w:p>
            <w:pPr>
              <w:bidi/>
              <w:jc w:val="right"/>
            </w:pPr>
            <w:r>
              <w:rPr>
                <w:sz w:val="21"/>
                <w:szCs w:val="21"/>
                <w:rtl/>
              </w:rPr>
              <w:t xml:space="preserve">تستغل الخوارزمية نقاط الضعف البشرية (الشهوة، الغضب، حب الظهور) عبر اقتراح محتوى مثير، إدماني، أو مستفز، مما يقوّي الفجور ويسرّع الانزلاق نحو الأمارة.</w:t>
            </w:r>
          </w:p>
        </w:tc>
      </w:tr>
      <w:tr>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bidi/>
              <w:jc w:val="right"/>
            </w:pPr>
            <w:r>
              <w:rPr>
                <w:sz w:val="21"/>
                <w:szCs w:val="21"/>
                <w:rtl/>
              </w:rPr>
              <w:t xml:space="preserve">تفعيل الخليفة الرقمي</w:t>
            </w:r>
          </w:p>
        </w:tc>
        <w:tc>
          <w:tcPr>
            <w:tcW w:type="dxa" w:w="71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bidi/>
              <w:jc w:val="right"/>
            </w:pPr>
            <w:r>
              <w:rPr>
                <w:sz w:val="21"/>
                <w:szCs w:val="21"/>
                <w:rtl/>
              </w:rPr>
              <w:t xml:space="preserve">غلق منافذ الفجور: حظر المحتوى الضار، استخدام أدوات التصفية، عدم التفاعل مع الإثارة. تعويض الفجور بطاعة: استبدال التمرير بذكر أو قراءة نافعة. سد الذرائع الرقمية: إزالة التطبيقات المثيرة للشهوة.</w:t>
            </w:r>
          </w:p>
        </w:tc>
      </w:tr>
      <w:tr>
        <w:tc>
          <w:tcPr>
            <w:tcW w:type="dxa" w:w="2200"/>
            <w:tcBorders>
              <w:top w:val="single" w:color="CCCCCC" w:sz="1"/>
              <w:left w:val="single" w:color="CCCCCC" w:sz="1"/>
              <w:bottom w:val="single" w:color="CCCCCC" w:sz="1"/>
              <w:right w:val="single" w:color="CCCCCC" w:sz="1"/>
            </w:tcBorders>
            <w:shd w:fill="E8F0F7" w:val="clear"/>
            <w:tcMar>
              <w:top w:type="dxa" w:w="80"/>
              <w:left w:type="dxa" w:w="120"/>
              <w:bottom w:type="dxa" w:w="80"/>
              <w:right w:type="dxa" w:w="120"/>
            </w:tcMar>
          </w:tcPr>
          <w:p>
            <w:pPr>
              <w:bidi/>
              <w:jc w:val="right"/>
            </w:pPr>
            <w:r>
              <w:rPr>
                <w:sz w:val="21"/>
                <w:szCs w:val="21"/>
                <w:rtl/>
              </w:rPr>
              <w:t xml:space="preserve">النتيجة على النفس</w:t>
            </w:r>
          </w:p>
        </w:tc>
        <w:tc>
          <w:tcPr>
            <w:tcW w:type="dxa" w:w="7160"/>
            <w:tcBorders>
              <w:top w:val="single" w:color="CCCCCC" w:sz="1"/>
              <w:left w:val="single" w:color="CCCCCC" w:sz="1"/>
              <w:bottom w:val="single" w:color="CCCCCC" w:sz="1"/>
              <w:right w:val="single" w:color="CCCCCC" w:sz="1"/>
            </w:tcBorders>
            <w:shd w:fill="E8F0F7" w:val="clear"/>
            <w:tcMar>
              <w:top w:type="dxa" w:w="80"/>
              <w:left w:type="dxa" w:w="120"/>
              <w:bottom w:type="dxa" w:w="80"/>
              <w:right w:type="dxa" w:w="120"/>
            </w:tcMar>
          </w:tcPr>
          <w:p>
            <w:pPr>
              <w:bidi/>
              <w:jc w:val="right"/>
            </w:pPr>
            <w:r>
              <w:rPr>
                <w:sz w:val="21"/>
                <w:szCs w:val="21"/>
                <w:rtl/>
              </w:rPr>
              <w:t xml:space="preserve">إضعاف الأمارة، وإبقاء الفجور تحت السيطرة.</w:t>
            </w:r>
          </w:p>
        </w:tc>
      </w:tr>
    </w:tbl>
    <w:p>
      <w:r>
        <w:t xml:space="preserve"/>
      </w:r>
    </w:p>
    <w:p>
      <w:pPr>
        <w:pStyle w:val="Heading2"/>
        <w:bidi/>
        <w:jc w:val="right"/>
      </w:pPr>
      <w:r>
        <w:rPr>
          <w:b/>
          <w:bCs/>
          <w:color w:val="2E74B5"/>
          <w:sz w:val="28"/>
          <w:szCs w:val="28"/>
          <w:rtl/>
        </w:rPr>
        <w:t xml:space="preserve">الضلع الثاني: التقوى ← النفس المطمئنة</w:t>
      </w:r>
    </w:p>
    <w:tbl>
      <w:tblPr>
        <w:tblW w:type="dxa" w:w="9360"/>
        <w:tblBorders>
          <w:top w:val="single" w:color="auto" w:sz="4"/>
          <w:start w:val="single" w:color="auto" w:sz="4"/>
          <w:bottom w:val="single" w:color="auto" w:sz="4"/>
          <w:end w:val="single" w:color="auto" w:sz="4"/>
          <w:insideH w:val="single" w:color="auto" w:sz="4"/>
          <w:insideV w:val="single" w:color="auto" w:sz="4"/>
        </w:tblBorders>
      </w:tblPr>
      <w:tblGrid>
        <w:gridCol w:w="2200"/>
        <w:gridCol w:w="7160"/>
      </w:tblGrid>
      <w:tr>
        <w:tc>
          <w:tcPr>
            <w:tcW w:type="dxa" w:w="2200"/>
            <w:tcBorders>
              <w:top w:val="single" w:color="CCCCCC" w:sz="1"/>
              <w:left w:val="single" w:color="CCCCCC" w:sz="1"/>
              <w:bottom w:val="single" w:color="CCCCCC" w:sz="1"/>
              <w:right w:val="single" w:color="CCCCCC" w:sz="1"/>
            </w:tcBorders>
            <w:shd w:fill="1F4E79" w:val="clear"/>
            <w:tcMar>
              <w:top w:type="dxa" w:w="80"/>
              <w:left w:type="dxa" w:w="120"/>
              <w:bottom w:type="dxa" w:w="80"/>
              <w:right w:type="dxa" w:w="120"/>
            </w:tcMar>
          </w:tcPr>
          <w:p>
            <w:pPr>
              <w:bidi/>
              <w:jc w:val="center"/>
            </w:pPr>
            <w:r>
              <w:rPr>
                <w:b/>
                <w:bCs/>
                <w:color w:val="FFFFFF"/>
                <w:sz w:val="22"/>
                <w:szCs w:val="22"/>
                <w:rtl/>
              </w:rPr>
              <w:t xml:space="preserve">العنصر</w:t>
            </w:r>
          </w:p>
        </w:tc>
        <w:tc>
          <w:tcPr>
            <w:tcW w:type="dxa" w:w="7160"/>
            <w:tcBorders>
              <w:top w:val="single" w:color="CCCCCC" w:sz="1"/>
              <w:left w:val="single" w:color="CCCCCC" w:sz="1"/>
              <w:bottom w:val="single" w:color="CCCCCC" w:sz="1"/>
              <w:right w:val="single" w:color="CCCCCC" w:sz="1"/>
            </w:tcBorders>
            <w:shd w:fill="1F4E79" w:val="clear"/>
            <w:tcMar>
              <w:top w:type="dxa" w:w="80"/>
              <w:left w:type="dxa" w:w="120"/>
              <w:bottom w:type="dxa" w:w="80"/>
              <w:right w:type="dxa" w:w="120"/>
            </w:tcMar>
          </w:tcPr>
          <w:p>
            <w:pPr>
              <w:bidi/>
              <w:jc w:val="center"/>
            </w:pPr>
            <w:r>
              <w:rPr>
                <w:b/>
                <w:bCs/>
                <w:color w:val="FFFFFF"/>
                <w:sz w:val="22"/>
                <w:szCs w:val="22"/>
                <w:rtl/>
              </w:rPr>
              <w:t xml:space="preserve">التفصيل</w:t>
            </w:r>
          </w:p>
        </w:tc>
      </w:tr>
      <w:tr>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bidi/>
              <w:jc w:val="right"/>
            </w:pPr>
            <w:r>
              <w:rPr>
                <w:sz w:val="21"/>
                <w:szCs w:val="21"/>
                <w:rtl/>
              </w:rPr>
              <w:t xml:space="preserve">تعريف الضلع</w:t>
            </w:r>
          </w:p>
        </w:tc>
        <w:tc>
          <w:tcPr>
            <w:tcW w:type="dxa" w:w="71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bidi/>
              <w:jc w:val="right"/>
            </w:pPr>
            <w:r>
              <w:rPr>
                <w:sz w:val="21"/>
                <w:szCs w:val="21"/>
                <w:rtl/>
              </w:rPr>
              <w:t xml:space="preserve">التقوى (الوقاية والخير) تغذي النفس المطمئنة وتقودها إلى السكينة.</w:t>
            </w:r>
          </w:p>
        </w:tc>
      </w:tr>
      <w:tr>
        <w:tc>
          <w:tcPr>
            <w:tcW w:type="dxa" w:w="2200"/>
            <w:tcBorders>
              <w:top w:val="single" w:color="CCCCCC" w:sz="1"/>
              <w:left w:val="single" w:color="CCCCCC" w:sz="1"/>
              <w:bottom w:val="single" w:color="CCCCCC" w:sz="1"/>
              <w:right w:val="single" w:color="CCCCCC" w:sz="1"/>
            </w:tcBorders>
            <w:shd w:fill="E8F0F7" w:val="clear"/>
            <w:tcMar>
              <w:top w:type="dxa" w:w="80"/>
              <w:left w:type="dxa" w:w="120"/>
              <w:bottom w:type="dxa" w:w="80"/>
              <w:right w:type="dxa" w:w="120"/>
            </w:tcMar>
          </w:tcPr>
          <w:p>
            <w:pPr>
              <w:bidi/>
              <w:jc w:val="right"/>
            </w:pPr>
            <w:r>
              <w:rPr>
                <w:sz w:val="21"/>
                <w:szCs w:val="21"/>
                <w:rtl/>
              </w:rPr>
              <w:t xml:space="preserve">تأثير الخوارزمية</w:t>
            </w:r>
          </w:p>
        </w:tc>
        <w:tc>
          <w:tcPr>
            <w:tcW w:type="dxa" w:w="7160"/>
            <w:tcBorders>
              <w:top w:val="single" w:color="CCCCCC" w:sz="1"/>
              <w:left w:val="single" w:color="CCCCCC" w:sz="1"/>
              <w:bottom w:val="single" w:color="CCCCCC" w:sz="1"/>
              <w:right w:val="single" w:color="CCCCCC" w:sz="1"/>
            </w:tcBorders>
            <w:shd w:fill="E8F0F7" w:val="clear"/>
            <w:tcMar>
              <w:top w:type="dxa" w:w="80"/>
              <w:left w:type="dxa" w:w="120"/>
              <w:bottom w:type="dxa" w:w="80"/>
              <w:right w:type="dxa" w:w="120"/>
            </w:tcMar>
          </w:tcPr>
          <w:p>
            <w:pPr>
              <w:bidi/>
              <w:jc w:val="right"/>
            </w:pPr>
            <w:r>
              <w:rPr>
                <w:sz w:val="21"/>
                <w:szCs w:val="21"/>
                <w:rtl/>
              </w:rPr>
              <w:t xml:space="preserve">تُضعف الخوارزمية التقوى عبر تشتيت الانتباه عن الذكر والتفكر، واستبدال الخشوع بالسرعة والضجيج. كما تُروّج لقيم مادية تتعارض مع معاني التقوى.</w:t>
            </w:r>
          </w:p>
        </w:tc>
      </w:tr>
      <w:tr>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bidi/>
              <w:jc w:val="right"/>
            </w:pPr>
            <w:r>
              <w:rPr>
                <w:sz w:val="21"/>
                <w:szCs w:val="21"/>
                <w:rtl/>
              </w:rPr>
              <w:t xml:space="preserve">تفعيل الخليفة الرقمي</w:t>
            </w:r>
          </w:p>
        </w:tc>
        <w:tc>
          <w:tcPr>
            <w:tcW w:type="dxa" w:w="71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bidi/>
              <w:jc w:val="right"/>
            </w:pPr>
            <w:r>
              <w:rPr>
                <w:sz w:val="21"/>
                <w:szCs w:val="21"/>
                <w:rtl/>
              </w:rPr>
              <w:t xml:space="preserve">تخصيص أوقات للذكر قبل فتح التطبيقات. متابعة محتوى إيماني يعزز اليقين. استخدام التطبيقات الداعية (أذكار، قرآن، محاضرات). جعل النية في كل استخدام رقمية عبادة.</w:t>
            </w:r>
          </w:p>
        </w:tc>
      </w:tr>
      <w:tr>
        <w:tc>
          <w:tcPr>
            <w:tcW w:type="dxa" w:w="2200"/>
            <w:tcBorders>
              <w:top w:val="single" w:color="CCCCCC" w:sz="1"/>
              <w:left w:val="single" w:color="CCCCCC" w:sz="1"/>
              <w:bottom w:val="single" w:color="CCCCCC" w:sz="1"/>
              <w:right w:val="single" w:color="CCCCCC" w:sz="1"/>
            </w:tcBorders>
            <w:shd w:fill="E8F0F7" w:val="clear"/>
            <w:tcMar>
              <w:top w:type="dxa" w:w="80"/>
              <w:left w:type="dxa" w:w="120"/>
              <w:bottom w:type="dxa" w:w="80"/>
              <w:right w:type="dxa" w:w="120"/>
            </w:tcMar>
          </w:tcPr>
          <w:p>
            <w:pPr>
              <w:bidi/>
              <w:jc w:val="right"/>
            </w:pPr>
            <w:r>
              <w:rPr>
                <w:sz w:val="21"/>
                <w:szCs w:val="21"/>
                <w:rtl/>
              </w:rPr>
              <w:t xml:space="preserve">النتيجة على النفس</w:t>
            </w:r>
          </w:p>
        </w:tc>
        <w:tc>
          <w:tcPr>
            <w:tcW w:type="dxa" w:w="7160"/>
            <w:tcBorders>
              <w:top w:val="single" w:color="CCCCCC" w:sz="1"/>
              <w:left w:val="single" w:color="CCCCCC" w:sz="1"/>
              <w:bottom w:val="single" w:color="CCCCCC" w:sz="1"/>
              <w:right w:val="single" w:color="CCCCCC" w:sz="1"/>
            </w:tcBorders>
            <w:shd w:fill="E8F0F7" w:val="clear"/>
            <w:tcMar>
              <w:top w:type="dxa" w:w="80"/>
              <w:left w:type="dxa" w:w="120"/>
              <w:bottom w:type="dxa" w:w="80"/>
              <w:right w:type="dxa" w:w="120"/>
            </w:tcMar>
          </w:tcPr>
          <w:p>
            <w:pPr>
              <w:bidi/>
              <w:jc w:val="right"/>
            </w:pPr>
            <w:r>
              <w:rPr>
                <w:sz w:val="21"/>
                <w:szCs w:val="21"/>
                <w:rtl/>
              </w:rPr>
              <w:t xml:space="preserve">تعزيز المطمئنة، وزيادة السكينة حتى في أثناء الاستخدام الرقمي.</w:t>
            </w:r>
          </w:p>
        </w:tc>
      </w:tr>
    </w:tbl>
    <w:p>
      <w:r>
        <w:t xml:space="preserve"/>
      </w:r>
    </w:p>
    <w:p>
      <w:pPr>
        <w:pStyle w:val="Heading2"/>
        <w:bidi/>
        <w:jc w:val="right"/>
      </w:pPr>
      <w:r>
        <w:rPr>
          <w:b/>
          <w:bCs/>
          <w:color w:val="2E74B5"/>
          <w:sz w:val="28"/>
          <w:szCs w:val="28"/>
          <w:rtl/>
        </w:rPr>
        <w:t xml:space="preserve">الضلع الثالث: الفجور ← الشيطان</w:t>
      </w:r>
    </w:p>
    <w:tbl>
      <w:tblPr>
        <w:tblW w:type="dxa" w:w="9360"/>
        <w:tblBorders>
          <w:top w:val="single" w:color="auto" w:sz="4"/>
          <w:start w:val="single" w:color="auto" w:sz="4"/>
          <w:bottom w:val="single" w:color="auto" w:sz="4"/>
          <w:end w:val="single" w:color="auto" w:sz="4"/>
          <w:insideH w:val="single" w:color="auto" w:sz="4"/>
          <w:insideV w:val="single" w:color="auto" w:sz="4"/>
        </w:tblBorders>
      </w:tblPr>
      <w:tblGrid>
        <w:gridCol w:w="2200"/>
        <w:gridCol w:w="7160"/>
      </w:tblGrid>
      <w:tr>
        <w:tc>
          <w:tcPr>
            <w:tcW w:type="dxa" w:w="2200"/>
            <w:tcBorders>
              <w:top w:val="single" w:color="CCCCCC" w:sz="1"/>
              <w:left w:val="single" w:color="CCCCCC" w:sz="1"/>
              <w:bottom w:val="single" w:color="CCCCCC" w:sz="1"/>
              <w:right w:val="single" w:color="CCCCCC" w:sz="1"/>
            </w:tcBorders>
            <w:shd w:fill="1F4E79" w:val="clear"/>
            <w:tcMar>
              <w:top w:type="dxa" w:w="80"/>
              <w:left w:type="dxa" w:w="120"/>
              <w:bottom w:type="dxa" w:w="80"/>
              <w:right w:type="dxa" w:w="120"/>
            </w:tcMar>
          </w:tcPr>
          <w:p>
            <w:pPr>
              <w:bidi/>
              <w:jc w:val="center"/>
            </w:pPr>
            <w:r>
              <w:rPr>
                <w:b/>
                <w:bCs/>
                <w:color w:val="FFFFFF"/>
                <w:sz w:val="22"/>
                <w:szCs w:val="22"/>
                <w:rtl/>
              </w:rPr>
              <w:t xml:space="preserve">العنصر</w:t>
            </w:r>
          </w:p>
        </w:tc>
        <w:tc>
          <w:tcPr>
            <w:tcW w:type="dxa" w:w="7160"/>
            <w:tcBorders>
              <w:top w:val="single" w:color="CCCCCC" w:sz="1"/>
              <w:left w:val="single" w:color="CCCCCC" w:sz="1"/>
              <w:bottom w:val="single" w:color="CCCCCC" w:sz="1"/>
              <w:right w:val="single" w:color="CCCCCC" w:sz="1"/>
            </w:tcBorders>
            <w:shd w:fill="1F4E79" w:val="clear"/>
            <w:tcMar>
              <w:top w:type="dxa" w:w="80"/>
              <w:left w:type="dxa" w:w="120"/>
              <w:bottom w:type="dxa" w:w="80"/>
              <w:right w:type="dxa" w:w="120"/>
            </w:tcMar>
          </w:tcPr>
          <w:p>
            <w:pPr>
              <w:bidi/>
              <w:jc w:val="center"/>
            </w:pPr>
            <w:r>
              <w:rPr>
                <w:b/>
                <w:bCs/>
                <w:color w:val="FFFFFF"/>
                <w:sz w:val="22"/>
                <w:szCs w:val="22"/>
                <w:rtl/>
              </w:rPr>
              <w:t xml:space="preserve">التفصيل</w:t>
            </w:r>
          </w:p>
        </w:tc>
      </w:tr>
      <w:tr>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bidi/>
              <w:jc w:val="right"/>
            </w:pPr>
            <w:r>
              <w:rPr>
                <w:sz w:val="21"/>
                <w:szCs w:val="21"/>
                <w:rtl/>
              </w:rPr>
              <w:t xml:space="preserve">تعريف الضلع</w:t>
            </w:r>
          </w:p>
        </w:tc>
        <w:tc>
          <w:tcPr>
            <w:tcW w:type="dxa" w:w="71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bidi/>
              <w:jc w:val="right"/>
            </w:pPr>
            <w:r>
              <w:rPr>
                <w:sz w:val="21"/>
                <w:szCs w:val="21"/>
                <w:rtl/>
              </w:rPr>
              <w:t xml:space="preserve">الفجور يفتح الباب لتسلط الشيطان، فيجد مدخلاً للنفس.</w:t>
            </w:r>
          </w:p>
        </w:tc>
      </w:tr>
      <w:tr>
        <w:tc>
          <w:tcPr>
            <w:tcW w:type="dxa" w:w="2200"/>
            <w:tcBorders>
              <w:top w:val="single" w:color="CCCCCC" w:sz="1"/>
              <w:left w:val="single" w:color="CCCCCC" w:sz="1"/>
              <w:bottom w:val="single" w:color="CCCCCC" w:sz="1"/>
              <w:right w:val="single" w:color="CCCCCC" w:sz="1"/>
            </w:tcBorders>
            <w:shd w:fill="E8F0F7" w:val="clear"/>
            <w:tcMar>
              <w:top w:type="dxa" w:w="80"/>
              <w:left w:type="dxa" w:w="120"/>
              <w:bottom w:type="dxa" w:w="80"/>
              <w:right w:type="dxa" w:w="120"/>
            </w:tcMar>
          </w:tcPr>
          <w:p>
            <w:pPr>
              <w:bidi/>
              <w:jc w:val="right"/>
            </w:pPr>
            <w:r>
              <w:rPr>
                <w:sz w:val="21"/>
                <w:szCs w:val="21"/>
                <w:rtl/>
              </w:rPr>
              <w:t xml:space="preserve">تأثير الخوارزمية</w:t>
            </w:r>
          </w:p>
        </w:tc>
        <w:tc>
          <w:tcPr>
            <w:tcW w:type="dxa" w:w="7160"/>
            <w:tcBorders>
              <w:top w:val="single" w:color="CCCCCC" w:sz="1"/>
              <w:left w:val="single" w:color="CCCCCC" w:sz="1"/>
              <w:bottom w:val="single" w:color="CCCCCC" w:sz="1"/>
              <w:right w:val="single" w:color="CCCCCC" w:sz="1"/>
            </w:tcBorders>
            <w:shd w:fill="E8F0F7" w:val="clear"/>
            <w:tcMar>
              <w:top w:type="dxa" w:w="80"/>
              <w:left w:type="dxa" w:w="120"/>
              <w:bottom w:type="dxa" w:w="80"/>
              <w:right w:type="dxa" w:w="120"/>
            </w:tcMar>
          </w:tcPr>
          <w:p>
            <w:pPr>
              <w:bidi/>
              <w:jc w:val="right"/>
            </w:pPr>
            <w:r>
              <w:rPr>
                <w:sz w:val="21"/>
                <w:szCs w:val="21"/>
                <w:rtl/>
              </w:rPr>
              <w:t xml:space="preserve">تُصمم الخوارزمية لتوليد الإدمان والغفلة، وهما أكبر مداخل الشيطان. فكلما زاد التعلق الرقمي، زادت مساحة الوسوسة وضعف المقاومة.</w:t>
            </w:r>
          </w:p>
        </w:tc>
      </w:tr>
      <w:tr>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bidi/>
              <w:jc w:val="right"/>
            </w:pPr>
            <w:r>
              <w:rPr>
                <w:sz w:val="21"/>
                <w:szCs w:val="21"/>
                <w:rtl/>
              </w:rPr>
              <w:t xml:space="preserve">تفعيل الخليفة الرقمي</w:t>
            </w:r>
          </w:p>
        </w:tc>
        <w:tc>
          <w:tcPr>
            <w:tcW w:type="dxa" w:w="71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bidi/>
              <w:jc w:val="right"/>
            </w:pPr>
            <w:r>
              <w:rPr>
                <w:sz w:val="21"/>
                <w:szCs w:val="21"/>
                <w:rtl/>
              </w:rPr>
              <w:t xml:space="preserve">الاستعاذة قبل الدخول إلى الفضاء الرقمي. تذكر أن الشيطان يجرّ عبر الخطوات الصغيرة: تجنب الزلات الرقمية الأولى. كسر حلقة الإدمان بإنشاء فواصل إجبارية.</w:t>
            </w:r>
          </w:p>
        </w:tc>
      </w:tr>
      <w:tr>
        <w:tc>
          <w:tcPr>
            <w:tcW w:type="dxa" w:w="2200"/>
            <w:tcBorders>
              <w:top w:val="single" w:color="CCCCCC" w:sz="1"/>
              <w:left w:val="single" w:color="CCCCCC" w:sz="1"/>
              <w:bottom w:val="single" w:color="CCCCCC" w:sz="1"/>
              <w:right w:val="single" w:color="CCCCCC" w:sz="1"/>
            </w:tcBorders>
            <w:shd w:fill="E8F0F7" w:val="clear"/>
            <w:tcMar>
              <w:top w:type="dxa" w:w="80"/>
              <w:left w:type="dxa" w:w="120"/>
              <w:bottom w:type="dxa" w:w="80"/>
              <w:right w:type="dxa" w:w="120"/>
            </w:tcMar>
          </w:tcPr>
          <w:p>
            <w:pPr>
              <w:bidi/>
              <w:jc w:val="right"/>
            </w:pPr>
            <w:r>
              <w:rPr>
                <w:sz w:val="21"/>
                <w:szCs w:val="21"/>
                <w:rtl/>
              </w:rPr>
              <w:t xml:space="preserve">النتيجة على النفس</w:t>
            </w:r>
          </w:p>
        </w:tc>
        <w:tc>
          <w:tcPr>
            <w:tcW w:type="dxa" w:w="7160"/>
            <w:tcBorders>
              <w:top w:val="single" w:color="CCCCCC" w:sz="1"/>
              <w:left w:val="single" w:color="CCCCCC" w:sz="1"/>
              <w:bottom w:val="single" w:color="CCCCCC" w:sz="1"/>
              <w:right w:val="single" w:color="CCCCCC" w:sz="1"/>
            </w:tcBorders>
            <w:shd w:fill="E8F0F7" w:val="clear"/>
            <w:tcMar>
              <w:top w:type="dxa" w:w="80"/>
              <w:left w:type="dxa" w:w="120"/>
              <w:bottom w:type="dxa" w:w="80"/>
              <w:right w:type="dxa" w:w="120"/>
            </w:tcMar>
          </w:tcPr>
          <w:p>
            <w:pPr>
              <w:bidi/>
              <w:jc w:val="right"/>
            </w:pPr>
            <w:r>
              <w:rPr>
                <w:sz w:val="21"/>
                <w:szCs w:val="21"/>
                <w:rtl/>
              </w:rPr>
              <w:t xml:space="preserve">إغلاق مداخل الشيطان، وإضعاف قرينته على النفس.</w:t>
            </w:r>
          </w:p>
        </w:tc>
      </w:tr>
    </w:tbl>
    <w:p>
      <w:r>
        <w:t xml:space="preserve"/>
      </w:r>
    </w:p>
    <w:p>
      <w:pPr>
        <w:pStyle w:val="Heading2"/>
        <w:bidi/>
        <w:jc w:val="right"/>
      </w:pPr>
      <w:r>
        <w:rPr>
          <w:b/>
          <w:bCs/>
          <w:color w:val="2E74B5"/>
          <w:sz w:val="28"/>
          <w:szCs w:val="28"/>
          <w:rtl/>
        </w:rPr>
        <w:t xml:space="preserve">الضلع الرابع: التقوى ← الرحمة الإلهية</w:t>
      </w:r>
    </w:p>
    <w:tbl>
      <w:tblPr>
        <w:tblW w:type="dxa" w:w="9360"/>
        <w:tblBorders>
          <w:top w:val="single" w:color="auto" w:sz="4"/>
          <w:start w:val="single" w:color="auto" w:sz="4"/>
          <w:bottom w:val="single" w:color="auto" w:sz="4"/>
          <w:end w:val="single" w:color="auto" w:sz="4"/>
          <w:insideH w:val="single" w:color="auto" w:sz="4"/>
          <w:insideV w:val="single" w:color="auto" w:sz="4"/>
        </w:tblBorders>
      </w:tblPr>
      <w:tblGrid>
        <w:gridCol w:w="2200"/>
        <w:gridCol w:w="7160"/>
      </w:tblGrid>
      <w:tr>
        <w:tc>
          <w:tcPr>
            <w:tcW w:type="dxa" w:w="2200"/>
            <w:tcBorders>
              <w:top w:val="single" w:color="CCCCCC" w:sz="1"/>
              <w:left w:val="single" w:color="CCCCCC" w:sz="1"/>
              <w:bottom w:val="single" w:color="CCCCCC" w:sz="1"/>
              <w:right w:val="single" w:color="CCCCCC" w:sz="1"/>
            </w:tcBorders>
            <w:shd w:fill="1F4E79" w:val="clear"/>
            <w:tcMar>
              <w:top w:type="dxa" w:w="80"/>
              <w:left w:type="dxa" w:w="120"/>
              <w:bottom w:type="dxa" w:w="80"/>
              <w:right w:type="dxa" w:w="120"/>
            </w:tcMar>
          </w:tcPr>
          <w:p>
            <w:pPr>
              <w:bidi/>
              <w:jc w:val="center"/>
            </w:pPr>
            <w:r>
              <w:rPr>
                <w:b/>
                <w:bCs/>
                <w:color w:val="FFFFFF"/>
                <w:sz w:val="22"/>
                <w:szCs w:val="22"/>
                <w:rtl/>
              </w:rPr>
              <w:t xml:space="preserve">العنصر</w:t>
            </w:r>
          </w:p>
        </w:tc>
        <w:tc>
          <w:tcPr>
            <w:tcW w:type="dxa" w:w="7160"/>
            <w:tcBorders>
              <w:top w:val="single" w:color="CCCCCC" w:sz="1"/>
              <w:left w:val="single" w:color="CCCCCC" w:sz="1"/>
              <w:bottom w:val="single" w:color="CCCCCC" w:sz="1"/>
              <w:right w:val="single" w:color="CCCCCC" w:sz="1"/>
            </w:tcBorders>
            <w:shd w:fill="1F4E79" w:val="clear"/>
            <w:tcMar>
              <w:top w:type="dxa" w:w="80"/>
              <w:left w:type="dxa" w:w="120"/>
              <w:bottom w:type="dxa" w:w="80"/>
              <w:right w:type="dxa" w:w="120"/>
            </w:tcMar>
          </w:tcPr>
          <w:p>
            <w:pPr>
              <w:bidi/>
              <w:jc w:val="center"/>
            </w:pPr>
            <w:r>
              <w:rPr>
                <w:b/>
                <w:bCs/>
                <w:color w:val="FFFFFF"/>
                <w:sz w:val="22"/>
                <w:szCs w:val="22"/>
                <w:rtl/>
              </w:rPr>
              <w:t xml:space="preserve">التفصيل</w:t>
            </w:r>
          </w:p>
        </w:tc>
      </w:tr>
      <w:tr>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bidi/>
              <w:jc w:val="right"/>
            </w:pPr>
            <w:r>
              <w:rPr>
                <w:sz w:val="21"/>
                <w:szCs w:val="21"/>
                <w:rtl/>
              </w:rPr>
              <w:t xml:space="preserve">تعريف الضلع</w:t>
            </w:r>
          </w:p>
        </w:tc>
        <w:tc>
          <w:tcPr>
            <w:tcW w:type="dxa" w:w="71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bidi/>
              <w:jc w:val="right"/>
            </w:pPr>
            <w:r>
              <w:rPr>
                <w:sz w:val="21"/>
                <w:szCs w:val="21"/>
                <w:rtl/>
              </w:rPr>
              <w:t xml:space="preserve">التقوى تجلب رحمة الله وتوفيقه.</w:t>
            </w:r>
          </w:p>
        </w:tc>
      </w:tr>
      <w:tr>
        <w:tc>
          <w:tcPr>
            <w:tcW w:type="dxa" w:w="2200"/>
            <w:tcBorders>
              <w:top w:val="single" w:color="CCCCCC" w:sz="1"/>
              <w:left w:val="single" w:color="CCCCCC" w:sz="1"/>
              <w:bottom w:val="single" w:color="CCCCCC" w:sz="1"/>
              <w:right w:val="single" w:color="CCCCCC" w:sz="1"/>
            </w:tcBorders>
            <w:shd w:fill="E8F0F7" w:val="clear"/>
            <w:tcMar>
              <w:top w:type="dxa" w:w="80"/>
              <w:left w:type="dxa" w:w="120"/>
              <w:bottom w:type="dxa" w:w="80"/>
              <w:right w:type="dxa" w:w="120"/>
            </w:tcMar>
          </w:tcPr>
          <w:p>
            <w:pPr>
              <w:bidi/>
              <w:jc w:val="right"/>
            </w:pPr>
            <w:r>
              <w:rPr>
                <w:sz w:val="21"/>
                <w:szCs w:val="21"/>
                <w:rtl/>
              </w:rPr>
              <w:t xml:space="preserve">تأثير الخوارزمية</w:t>
            </w:r>
          </w:p>
        </w:tc>
        <w:tc>
          <w:tcPr>
            <w:tcW w:type="dxa" w:w="7160"/>
            <w:tcBorders>
              <w:top w:val="single" w:color="CCCCCC" w:sz="1"/>
              <w:left w:val="single" w:color="CCCCCC" w:sz="1"/>
              <w:bottom w:val="single" w:color="CCCCCC" w:sz="1"/>
              <w:right w:val="single" w:color="CCCCCC" w:sz="1"/>
            </w:tcBorders>
            <w:shd w:fill="E8F0F7" w:val="clear"/>
            <w:tcMar>
              <w:top w:type="dxa" w:w="80"/>
              <w:left w:type="dxa" w:w="120"/>
              <w:bottom w:type="dxa" w:w="80"/>
              <w:right w:type="dxa" w:w="120"/>
            </w:tcMar>
          </w:tcPr>
          <w:p>
            <w:pPr>
              <w:bidi/>
              <w:jc w:val="right"/>
            </w:pPr>
            <w:r>
              <w:rPr>
                <w:sz w:val="21"/>
                <w:szCs w:val="21"/>
                <w:rtl/>
              </w:rPr>
              <w:t xml:space="preserve">تُضعف الخوارزمية التقوى، وبالتالي تحرم النفس من فيض الرحمة والتوفيق. كما تشعر الإنسان بالاغتراب عن الله.</w:t>
            </w:r>
          </w:p>
        </w:tc>
      </w:tr>
      <w:tr>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bidi/>
              <w:jc w:val="right"/>
            </w:pPr>
            <w:r>
              <w:rPr>
                <w:sz w:val="21"/>
                <w:szCs w:val="21"/>
                <w:rtl/>
              </w:rPr>
              <w:t xml:space="preserve">تفعيل الخليفة الرقمي</w:t>
            </w:r>
          </w:p>
        </w:tc>
        <w:tc>
          <w:tcPr>
            <w:tcW w:type="dxa" w:w="71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bidi/>
              <w:jc w:val="right"/>
            </w:pPr>
            <w:r>
              <w:rPr>
                <w:sz w:val="21"/>
                <w:szCs w:val="21"/>
                <w:rtl/>
              </w:rPr>
              <w:t xml:space="preserve">الدعاء قبل وبعد الاستخدام. التفكر في آيات الله أثناء التصفح (ربط ما يراه بالله). الصدقة الرقمية: نشر علم نافع، مساعدة محتاج عبر الإنترنت.</w:t>
            </w:r>
          </w:p>
        </w:tc>
      </w:tr>
      <w:tr>
        <w:tc>
          <w:tcPr>
            <w:tcW w:type="dxa" w:w="2200"/>
            <w:tcBorders>
              <w:top w:val="single" w:color="CCCCCC" w:sz="1"/>
              <w:left w:val="single" w:color="CCCCCC" w:sz="1"/>
              <w:bottom w:val="single" w:color="CCCCCC" w:sz="1"/>
              <w:right w:val="single" w:color="CCCCCC" w:sz="1"/>
            </w:tcBorders>
            <w:shd w:fill="E8F0F7" w:val="clear"/>
            <w:tcMar>
              <w:top w:type="dxa" w:w="80"/>
              <w:left w:type="dxa" w:w="120"/>
              <w:bottom w:type="dxa" w:w="80"/>
              <w:right w:type="dxa" w:w="120"/>
            </w:tcMar>
          </w:tcPr>
          <w:p>
            <w:pPr>
              <w:bidi/>
              <w:jc w:val="right"/>
            </w:pPr>
            <w:r>
              <w:rPr>
                <w:sz w:val="21"/>
                <w:szCs w:val="21"/>
                <w:rtl/>
              </w:rPr>
              <w:t xml:space="preserve">النتيجة على النفس</w:t>
            </w:r>
          </w:p>
        </w:tc>
        <w:tc>
          <w:tcPr>
            <w:tcW w:type="dxa" w:w="7160"/>
            <w:tcBorders>
              <w:top w:val="single" w:color="CCCCCC" w:sz="1"/>
              <w:left w:val="single" w:color="CCCCCC" w:sz="1"/>
              <w:bottom w:val="single" w:color="CCCCCC" w:sz="1"/>
              <w:right w:val="single" w:color="CCCCCC" w:sz="1"/>
            </w:tcBorders>
            <w:shd w:fill="E8F0F7" w:val="clear"/>
            <w:tcMar>
              <w:top w:type="dxa" w:w="80"/>
              <w:left w:type="dxa" w:w="120"/>
              <w:bottom w:type="dxa" w:w="80"/>
              <w:right w:type="dxa" w:w="120"/>
            </w:tcMar>
          </w:tcPr>
          <w:p>
            <w:pPr>
              <w:bidi/>
              <w:jc w:val="right"/>
            </w:pPr>
            <w:r>
              <w:rPr>
                <w:sz w:val="21"/>
                <w:szCs w:val="21"/>
                <w:rtl/>
              </w:rPr>
              <w:t xml:space="preserve">نزول السكينة والتوفيق، حتى في الميدان الرقمي.</w:t>
            </w:r>
          </w:p>
        </w:tc>
      </w:tr>
    </w:tbl>
    <w:p>
      <w:r>
        <w:t xml:space="preserve"/>
      </w:r>
    </w:p>
    <w:p>
      <w:pPr>
        <w:pStyle w:val="Heading2"/>
        <w:bidi/>
        <w:jc w:val="right"/>
      </w:pPr>
      <w:r>
        <w:rPr>
          <w:b/>
          <w:bCs/>
          <w:color w:val="2E74B5"/>
          <w:sz w:val="28"/>
          <w:szCs w:val="28"/>
          <w:rtl/>
        </w:rPr>
        <w:t xml:space="preserve">الضلع الخامس: الأمارة ← اللوامة (التوبة والمحاسبة)</w:t>
      </w:r>
    </w:p>
    <w:tbl>
      <w:tblPr>
        <w:tblW w:type="dxa" w:w="9360"/>
        <w:tblBorders>
          <w:top w:val="single" w:color="auto" w:sz="4"/>
          <w:start w:val="single" w:color="auto" w:sz="4"/>
          <w:bottom w:val="single" w:color="auto" w:sz="4"/>
          <w:end w:val="single" w:color="auto" w:sz="4"/>
          <w:insideH w:val="single" w:color="auto" w:sz="4"/>
          <w:insideV w:val="single" w:color="auto" w:sz="4"/>
        </w:tblBorders>
      </w:tblPr>
      <w:tblGrid>
        <w:gridCol w:w="2200"/>
        <w:gridCol w:w="7160"/>
      </w:tblGrid>
      <w:tr>
        <w:tc>
          <w:tcPr>
            <w:tcW w:type="dxa" w:w="2200"/>
            <w:tcBorders>
              <w:top w:val="single" w:color="CCCCCC" w:sz="1"/>
              <w:left w:val="single" w:color="CCCCCC" w:sz="1"/>
              <w:bottom w:val="single" w:color="CCCCCC" w:sz="1"/>
              <w:right w:val="single" w:color="CCCCCC" w:sz="1"/>
            </w:tcBorders>
            <w:shd w:fill="1F4E79" w:val="clear"/>
            <w:tcMar>
              <w:top w:type="dxa" w:w="80"/>
              <w:left w:type="dxa" w:w="120"/>
              <w:bottom w:type="dxa" w:w="80"/>
              <w:right w:type="dxa" w:w="120"/>
            </w:tcMar>
          </w:tcPr>
          <w:p>
            <w:pPr>
              <w:bidi/>
              <w:jc w:val="center"/>
            </w:pPr>
            <w:r>
              <w:rPr>
                <w:b/>
                <w:bCs/>
                <w:color w:val="FFFFFF"/>
                <w:sz w:val="22"/>
                <w:szCs w:val="22"/>
                <w:rtl/>
              </w:rPr>
              <w:t xml:space="preserve">العنصر</w:t>
            </w:r>
          </w:p>
        </w:tc>
        <w:tc>
          <w:tcPr>
            <w:tcW w:type="dxa" w:w="7160"/>
            <w:tcBorders>
              <w:top w:val="single" w:color="CCCCCC" w:sz="1"/>
              <w:left w:val="single" w:color="CCCCCC" w:sz="1"/>
              <w:bottom w:val="single" w:color="CCCCCC" w:sz="1"/>
              <w:right w:val="single" w:color="CCCCCC" w:sz="1"/>
            </w:tcBorders>
            <w:shd w:fill="1F4E79" w:val="clear"/>
            <w:tcMar>
              <w:top w:type="dxa" w:w="80"/>
              <w:left w:type="dxa" w:w="120"/>
              <w:bottom w:type="dxa" w:w="80"/>
              <w:right w:type="dxa" w:w="120"/>
            </w:tcMar>
          </w:tcPr>
          <w:p>
            <w:pPr>
              <w:bidi/>
              <w:jc w:val="center"/>
            </w:pPr>
            <w:r>
              <w:rPr>
                <w:b/>
                <w:bCs/>
                <w:color w:val="FFFFFF"/>
                <w:sz w:val="22"/>
                <w:szCs w:val="22"/>
                <w:rtl/>
              </w:rPr>
              <w:t xml:space="preserve">التفصيل</w:t>
            </w:r>
          </w:p>
        </w:tc>
      </w:tr>
      <w:tr>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bidi/>
              <w:jc w:val="right"/>
            </w:pPr>
            <w:r>
              <w:rPr>
                <w:sz w:val="21"/>
                <w:szCs w:val="21"/>
                <w:rtl/>
              </w:rPr>
              <w:t xml:space="preserve">تعريف الضلع</w:t>
            </w:r>
          </w:p>
        </w:tc>
        <w:tc>
          <w:tcPr>
            <w:tcW w:type="dxa" w:w="71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bidi/>
              <w:jc w:val="right"/>
            </w:pPr>
            <w:r>
              <w:rPr>
                <w:sz w:val="21"/>
                <w:szCs w:val="21"/>
                <w:rtl/>
              </w:rPr>
              <w:t xml:space="preserve">الانتقال من الأمارة إلى اللوامة عبر التوبة والمحاسبة الذاتية.</w:t>
            </w:r>
          </w:p>
        </w:tc>
      </w:tr>
      <w:tr>
        <w:tc>
          <w:tcPr>
            <w:tcW w:type="dxa" w:w="2200"/>
            <w:tcBorders>
              <w:top w:val="single" w:color="CCCCCC" w:sz="1"/>
              <w:left w:val="single" w:color="CCCCCC" w:sz="1"/>
              <w:bottom w:val="single" w:color="CCCCCC" w:sz="1"/>
              <w:right w:val="single" w:color="CCCCCC" w:sz="1"/>
            </w:tcBorders>
            <w:shd w:fill="E8F0F7" w:val="clear"/>
            <w:tcMar>
              <w:top w:type="dxa" w:w="80"/>
              <w:left w:type="dxa" w:w="120"/>
              <w:bottom w:type="dxa" w:w="80"/>
              <w:right w:type="dxa" w:w="120"/>
            </w:tcMar>
          </w:tcPr>
          <w:p>
            <w:pPr>
              <w:bidi/>
              <w:jc w:val="right"/>
            </w:pPr>
            <w:r>
              <w:rPr>
                <w:sz w:val="21"/>
                <w:szCs w:val="21"/>
                <w:rtl/>
              </w:rPr>
              <w:t xml:space="preserve">تأثير الخوارزمية</w:t>
            </w:r>
          </w:p>
        </w:tc>
        <w:tc>
          <w:tcPr>
            <w:tcW w:type="dxa" w:w="7160"/>
            <w:tcBorders>
              <w:top w:val="single" w:color="CCCCCC" w:sz="1"/>
              <w:left w:val="single" w:color="CCCCCC" w:sz="1"/>
              <w:bottom w:val="single" w:color="CCCCCC" w:sz="1"/>
              <w:right w:val="single" w:color="CCCCCC" w:sz="1"/>
            </w:tcBorders>
            <w:shd w:fill="E8F0F7" w:val="clear"/>
            <w:tcMar>
              <w:top w:type="dxa" w:w="80"/>
              <w:left w:type="dxa" w:w="120"/>
              <w:bottom w:type="dxa" w:w="80"/>
              <w:right w:type="dxa" w:w="120"/>
            </w:tcMar>
          </w:tcPr>
          <w:p>
            <w:pPr>
              <w:bidi/>
              <w:jc w:val="right"/>
            </w:pPr>
            <w:r>
              <w:rPr>
                <w:sz w:val="21"/>
                <w:szCs w:val="21"/>
                <w:rtl/>
              </w:rPr>
              <w:t xml:space="preserve">تُصمم الخوارزمية لإبقاء الإنسان في حالة انسياب مستمر (infinite scroll) تمنعه من التوقف والمحاسبة. كما تُسكت صوت الضمير عبر الإلهاء.</w:t>
            </w:r>
          </w:p>
        </w:tc>
      </w:tr>
      <w:tr>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bidi/>
              <w:jc w:val="right"/>
            </w:pPr>
            <w:r>
              <w:rPr>
                <w:sz w:val="21"/>
                <w:szCs w:val="21"/>
                <w:rtl/>
              </w:rPr>
              <w:t xml:space="preserve">تفعيل الخليفة الرقمي</w:t>
            </w:r>
          </w:p>
        </w:tc>
        <w:tc>
          <w:tcPr>
            <w:tcW w:type="dxa" w:w="71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bidi/>
              <w:jc w:val="right"/>
            </w:pPr>
            <w:r>
              <w:rPr>
                <w:sz w:val="21"/>
                <w:szCs w:val="21"/>
                <w:rtl/>
              </w:rPr>
              <w:t xml:space="preserve">مراجعة يومية للاستخدام الرقمي: كم ساعة؟ ماذا شاهدت؟ هل ندمت على شيء؟ تفعيل خاصيات المراقبة الذاتية (تطبيقات تتبع الوقت). العزم على التوبة من الزلات الرقمية.</w:t>
            </w:r>
          </w:p>
        </w:tc>
      </w:tr>
      <w:tr>
        <w:tc>
          <w:tcPr>
            <w:tcW w:type="dxa" w:w="2200"/>
            <w:tcBorders>
              <w:top w:val="single" w:color="CCCCCC" w:sz="1"/>
              <w:left w:val="single" w:color="CCCCCC" w:sz="1"/>
              <w:bottom w:val="single" w:color="CCCCCC" w:sz="1"/>
              <w:right w:val="single" w:color="CCCCCC" w:sz="1"/>
            </w:tcBorders>
            <w:shd w:fill="E8F0F7" w:val="clear"/>
            <w:tcMar>
              <w:top w:type="dxa" w:w="80"/>
              <w:left w:type="dxa" w:w="120"/>
              <w:bottom w:type="dxa" w:w="80"/>
              <w:right w:type="dxa" w:w="120"/>
            </w:tcMar>
          </w:tcPr>
          <w:p>
            <w:pPr>
              <w:bidi/>
              <w:jc w:val="right"/>
            </w:pPr>
            <w:r>
              <w:rPr>
                <w:sz w:val="21"/>
                <w:szCs w:val="21"/>
                <w:rtl/>
              </w:rPr>
              <w:t xml:space="preserve">النتيجة على النفس</w:t>
            </w:r>
          </w:p>
        </w:tc>
        <w:tc>
          <w:tcPr>
            <w:tcW w:type="dxa" w:w="7160"/>
            <w:tcBorders>
              <w:top w:val="single" w:color="CCCCCC" w:sz="1"/>
              <w:left w:val="single" w:color="CCCCCC" w:sz="1"/>
              <w:bottom w:val="single" w:color="CCCCCC" w:sz="1"/>
              <w:right w:val="single" w:color="CCCCCC" w:sz="1"/>
            </w:tcBorders>
            <w:shd w:fill="E8F0F7" w:val="clear"/>
            <w:tcMar>
              <w:top w:type="dxa" w:w="80"/>
              <w:left w:type="dxa" w:w="120"/>
              <w:bottom w:type="dxa" w:w="80"/>
              <w:right w:type="dxa" w:w="120"/>
            </w:tcMar>
          </w:tcPr>
          <w:p>
            <w:pPr>
              <w:bidi/>
              <w:jc w:val="right"/>
            </w:pPr>
            <w:r>
              <w:rPr>
                <w:sz w:val="21"/>
                <w:szCs w:val="21"/>
                <w:rtl/>
              </w:rPr>
              <w:t xml:space="preserve">استيقاظ اللوامة، وبداية التغيير الإيجابي.</w:t>
            </w:r>
          </w:p>
        </w:tc>
      </w:tr>
    </w:tbl>
    <w:p>
      <w:r>
        <w:t xml:space="preserve"/>
      </w:r>
    </w:p>
    <w:p>
      <w:pPr>
        <w:pStyle w:val="Heading2"/>
        <w:bidi/>
        <w:jc w:val="right"/>
      </w:pPr>
      <w:r>
        <w:rPr>
          <w:b/>
          <w:bCs/>
          <w:color w:val="2E74B5"/>
          <w:sz w:val="28"/>
          <w:szCs w:val="28"/>
          <w:rtl/>
        </w:rPr>
        <w:t xml:space="preserve">الضلع السادس: اللوامة ← المطمئنة (التزكية والمجاهدة)</w:t>
      </w:r>
    </w:p>
    <w:tbl>
      <w:tblPr>
        <w:tblW w:type="dxa" w:w="9360"/>
        <w:tblBorders>
          <w:top w:val="single" w:color="auto" w:sz="4"/>
          <w:start w:val="single" w:color="auto" w:sz="4"/>
          <w:bottom w:val="single" w:color="auto" w:sz="4"/>
          <w:end w:val="single" w:color="auto" w:sz="4"/>
          <w:insideH w:val="single" w:color="auto" w:sz="4"/>
          <w:insideV w:val="single" w:color="auto" w:sz="4"/>
        </w:tblBorders>
      </w:tblPr>
      <w:tblGrid>
        <w:gridCol w:w="2200"/>
        <w:gridCol w:w="7160"/>
      </w:tblGrid>
      <w:tr>
        <w:tc>
          <w:tcPr>
            <w:tcW w:type="dxa" w:w="2200"/>
            <w:tcBorders>
              <w:top w:val="single" w:color="CCCCCC" w:sz="1"/>
              <w:left w:val="single" w:color="CCCCCC" w:sz="1"/>
              <w:bottom w:val="single" w:color="CCCCCC" w:sz="1"/>
              <w:right w:val="single" w:color="CCCCCC" w:sz="1"/>
            </w:tcBorders>
            <w:shd w:fill="1F4E79" w:val="clear"/>
            <w:tcMar>
              <w:top w:type="dxa" w:w="80"/>
              <w:left w:type="dxa" w:w="120"/>
              <w:bottom w:type="dxa" w:w="80"/>
              <w:right w:type="dxa" w:w="120"/>
            </w:tcMar>
          </w:tcPr>
          <w:p>
            <w:pPr>
              <w:bidi/>
              <w:jc w:val="center"/>
            </w:pPr>
            <w:r>
              <w:rPr>
                <w:b/>
                <w:bCs/>
                <w:color w:val="FFFFFF"/>
                <w:sz w:val="22"/>
                <w:szCs w:val="22"/>
                <w:rtl/>
              </w:rPr>
              <w:t xml:space="preserve">العنصر</w:t>
            </w:r>
          </w:p>
        </w:tc>
        <w:tc>
          <w:tcPr>
            <w:tcW w:type="dxa" w:w="7160"/>
            <w:tcBorders>
              <w:top w:val="single" w:color="CCCCCC" w:sz="1"/>
              <w:left w:val="single" w:color="CCCCCC" w:sz="1"/>
              <w:bottom w:val="single" w:color="CCCCCC" w:sz="1"/>
              <w:right w:val="single" w:color="CCCCCC" w:sz="1"/>
            </w:tcBorders>
            <w:shd w:fill="1F4E79" w:val="clear"/>
            <w:tcMar>
              <w:top w:type="dxa" w:w="80"/>
              <w:left w:type="dxa" w:w="120"/>
              <w:bottom w:type="dxa" w:w="80"/>
              <w:right w:type="dxa" w:w="120"/>
            </w:tcMar>
          </w:tcPr>
          <w:p>
            <w:pPr>
              <w:bidi/>
              <w:jc w:val="center"/>
            </w:pPr>
            <w:r>
              <w:rPr>
                <w:b/>
                <w:bCs/>
                <w:color w:val="FFFFFF"/>
                <w:sz w:val="22"/>
                <w:szCs w:val="22"/>
                <w:rtl/>
              </w:rPr>
              <w:t xml:space="preserve">التفصيل</w:t>
            </w:r>
          </w:p>
        </w:tc>
      </w:tr>
      <w:tr>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bidi/>
              <w:jc w:val="right"/>
            </w:pPr>
            <w:r>
              <w:rPr>
                <w:sz w:val="21"/>
                <w:szCs w:val="21"/>
                <w:rtl/>
              </w:rPr>
              <w:t xml:space="preserve">تعريف الضلع</w:t>
            </w:r>
          </w:p>
        </w:tc>
        <w:tc>
          <w:tcPr>
            <w:tcW w:type="dxa" w:w="71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bidi/>
              <w:jc w:val="right"/>
            </w:pPr>
            <w:r>
              <w:rPr>
                <w:sz w:val="21"/>
                <w:szCs w:val="21"/>
                <w:rtl/>
              </w:rPr>
              <w:t xml:space="preserve">الارتقاء من اللوامة إلى المطمئنة بالتزكية والمجاهدة المستمرة.</w:t>
            </w:r>
          </w:p>
        </w:tc>
      </w:tr>
      <w:tr>
        <w:tc>
          <w:tcPr>
            <w:tcW w:type="dxa" w:w="2200"/>
            <w:tcBorders>
              <w:top w:val="single" w:color="CCCCCC" w:sz="1"/>
              <w:left w:val="single" w:color="CCCCCC" w:sz="1"/>
              <w:bottom w:val="single" w:color="CCCCCC" w:sz="1"/>
              <w:right w:val="single" w:color="CCCCCC" w:sz="1"/>
            </w:tcBorders>
            <w:shd w:fill="E8F0F7" w:val="clear"/>
            <w:tcMar>
              <w:top w:type="dxa" w:w="80"/>
              <w:left w:type="dxa" w:w="120"/>
              <w:bottom w:type="dxa" w:w="80"/>
              <w:right w:type="dxa" w:w="120"/>
            </w:tcMar>
          </w:tcPr>
          <w:p>
            <w:pPr>
              <w:bidi/>
              <w:jc w:val="right"/>
            </w:pPr>
            <w:r>
              <w:rPr>
                <w:sz w:val="21"/>
                <w:szCs w:val="21"/>
                <w:rtl/>
              </w:rPr>
              <w:t xml:space="preserve">تأثير الخوارزمية</w:t>
            </w:r>
          </w:p>
        </w:tc>
        <w:tc>
          <w:tcPr>
            <w:tcW w:type="dxa" w:w="7160"/>
            <w:tcBorders>
              <w:top w:val="single" w:color="CCCCCC" w:sz="1"/>
              <w:left w:val="single" w:color="CCCCCC" w:sz="1"/>
              <w:bottom w:val="single" w:color="CCCCCC" w:sz="1"/>
              <w:right w:val="single" w:color="CCCCCC" w:sz="1"/>
            </w:tcBorders>
            <w:shd w:fill="E8F0F7" w:val="clear"/>
            <w:tcMar>
              <w:top w:type="dxa" w:w="80"/>
              <w:left w:type="dxa" w:w="120"/>
              <w:bottom w:type="dxa" w:w="80"/>
              <w:right w:type="dxa" w:w="120"/>
            </w:tcMar>
          </w:tcPr>
          <w:p>
            <w:pPr>
              <w:bidi/>
              <w:jc w:val="right"/>
            </w:pPr>
            <w:r>
              <w:rPr>
                <w:sz w:val="21"/>
                <w:szCs w:val="21"/>
                <w:rtl/>
              </w:rPr>
              <w:t xml:space="preserve">تُضعف العزيمة وتُشتت الجهود، فتحول دون الاستمرار في المجاهدة. كما تدفع إلى اليأس من إمكانية التحسن.</w:t>
            </w:r>
          </w:p>
        </w:tc>
      </w:tr>
      <w:tr>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bidi/>
              <w:jc w:val="right"/>
            </w:pPr>
            <w:r>
              <w:rPr>
                <w:sz w:val="21"/>
                <w:szCs w:val="21"/>
                <w:rtl/>
              </w:rPr>
              <w:t xml:space="preserve">تفعيل الخليفة الرقمي</w:t>
            </w:r>
          </w:p>
        </w:tc>
        <w:tc>
          <w:tcPr>
            <w:tcW w:type="dxa" w:w="71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bidi/>
              <w:jc w:val="right"/>
            </w:pPr>
            <w:r>
              <w:rPr>
                <w:sz w:val="21"/>
                <w:szCs w:val="21"/>
                <w:rtl/>
              </w:rPr>
              <w:t xml:space="preserve">وضع أهداف رقمية إيجابية (قراءة كتاب إلكتروني نافع، متابعة دورة). المثابرة رغم الانتكاسات. صحبة صالحة رقمية (مجموعات تحفيزية).</w:t>
            </w:r>
          </w:p>
        </w:tc>
      </w:tr>
      <w:tr>
        <w:tc>
          <w:tcPr>
            <w:tcW w:type="dxa" w:w="2200"/>
            <w:tcBorders>
              <w:top w:val="single" w:color="CCCCCC" w:sz="1"/>
              <w:left w:val="single" w:color="CCCCCC" w:sz="1"/>
              <w:bottom w:val="single" w:color="CCCCCC" w:sz="1"/>
              <w:right w:val="single" w:color="CCCCCC" w:sz="1"/>
            </w:tcBorders>
            <w:shd w:fill="E8F0F7" w:val="clear"/>
            <w:tcMar>
              <w:top w:type="dxa" w:w="80"/>
              <w:left w:type="dxa" w:w="120"/>
              <w:bottom w:type="dxa" w:w="80"/>
              <w:right w:type="dxa" w:w="120"/>
            </w:tcMar>
          </w:tcPr>
          <w:p>
            <w:pPr>
              <w:bidi/>
              <w:jc w:val="right"/>
            </w:pPr>
            <w:r>
              <w:rPr>
                <w:sz w:val="21"/>
                <w:szCs w:val="21"/>
                <w:rtl/>
              </w:rPr>
              <w:t xml:space="preserve">النتيجة على النفس</w:t>
            </w:r>
          </w:p>
        </w:tc>
        <w:tc>
          <w:tcPr>
            <w:tcW w:type="dxa" w:w="7160"/>
            <w:tcBorders>
              <w:top w:val="single" w:color="CCCCCC" w:sz="1"/>
              <w:left w:val="single" w:color="CCCCCC" w:sz="1"/>
              <w:bottom w:val="single" w:color="CCCCCC" w:sz="1"/>
              <w:right w:val="single" w:color="CCCCCC" w:sz="1"/>
            </w:tcBorders>
            <w:shd w:fill="E8F0F7" w:val="clear"/>
            <w:tcMar>
              <w:top w:type="dxa" w:w="80"/>
              <w:left w:type="dxa" w:w="120"/>
              <w:bottom w:type="dxa" w:w="80"/>
              <w:right w:type="dxa" w:w="120"/>
            </w:tcMar>
          </w:tcPr>
          <w:p>
            <w:pPr>
              <w:bidi/>
              <w:jc w:val="right"/>
            </w:pPr>
            <w:r>
              <w:rPr>
                <w:sz w:val="21"/>
                <w:szCs w:val="21"/>
                <w:rtl/>
              </w:rPr>
              <w:t xml:space="preserve">الثبات في طريق التزكية، والاقتراب من المطمئنة.</w:t>
            </w:r>
          </w:p>
        </w:tc>
      </w:tr>
    </w:tbl>
    <w:p>
      <w:r>
        <w:t xml:space="preserve"/>
      </w:r>
    </w:p>
    <w:p>
      <w:pPr>
        <w:pStyle w:val="Heading2"/>
        <w:bidi/>
        <w:jc w:val="right"/>
      </w:pPr>
      <w:r>
        <w:rPr>
          <w:b/>
          <w:bCs/>
          <w:color w:val="2E74B5"/>
          <w:sz w:val="28"/>
          <w:szCs w:val="28"/>
          <w:rtl/>
        </w:rPr>
        <w:t xml:space="preserve">الضلع السابع: الشيطان ← الأمارة (الإغواء والوسوسة)</w:t>
      </w:r>
    </w:p>
    <w:tbl>
      <w:tblPr>
        <w:tblW w:type="dxa" w:w="9360"/>
        <w:tblBorders>
          <w:top w:val="single" w:color="auto" w:sz="4"/>
          <w:start w:val="single" w:color="auto" w:sz="4"/>
          <w:bottom w:val="single" w:color="auto" w:sz="4"/>
          <w:end w:val="single" w:color="auto" w:sz="4"/>
          <w:insideH w:val="single" w:color="auto" w:sz="4"/>
          <w:insideV w:val="single" w:color="auto" w:sz="4"/>
        </w:tblBorders>
      </w:tblPr>
      <w:tblGrid>
        <w:gridCol w:w="2200"/>
        <w:gridCol w:w="7160"/>
      </w:tblGrid>
      <w:tr>
        <w:tc>
          <w:tcPr>
            <w:tcW w:type="dxa" w:w="2200"/>
            <w:tcBorders>
              <w:top w:val="single" w:color="CCCCCC" w:sz="1"/>
              <w:left w:val="single" w:color="CCCCCC" w:sz="1"/>
              <w:bottom w:val="single" w:color="CCCCCC" w:sz="1"/>
              <w:right w:val="single" w:color="CCCCCC" w:sz="1"/>
            </w:tcBorders>
            <w:shd w:fill="1F4E79" w:val="clear"/>
            <w:tcMar>
              <w:top w:type="dxa" w:w="80"/>
              <w:left w:type="dxa" w:w="120"/>
              <w:bottom w:type="dxa" w:w="80"/>
              <w:right w:type="dxa" w:w="120"/>
            </w:tcMar>
          </w:tcPr>
          <w:p>
            <w:pPr>
              <w:bidi/>
              <w:jc w:val="center"/>
            </w:pPr>
            <w:r>
              <w:rPr>
                <w:b/>
                <w:bCs/>
                <w:color w:val="FFFFFF"/>
                <w:sz w:val="22"/>
                <w:szCs w:val="22"/>
                <w:rtl/>
              </w:rPr>
              <w:t xml:space="preserve">العنصر</w:t>
            </w:r>
          </w:p>
        </w:tc>
        <w:tc>
          <w:tcPr>
            <w:tcW w:type="dxa" w:w="7160"/>
            <w:tcBorders>
              <w:top w:val="single" w:color="CCCCCC" w:sz="1"/>
              <w:left w:val="single" w:color="CCCCCC" w:sz="1"/>
              <w:bottom w:val="single" w:color="CCCCCC" w:sz="1"/>
              <w:right w:val="single" w:color="CCCCCC" w:sz="1"/>
            </w:tcBorders>
            <w:shd w:fill="1F4E79" w:val="clear"/>
            <w:tcMar>
              <w:top w:type="dxa" w:w="80"/>
              <w:left w:type="dxa" w:w="120"/>
              <w:bottom w:type="dxa" w:w="80"/>
              <w:right w:type="dxa" w:w="120"/>
            </w:tcMar>
          </w:tcPr>
          <w:p>
            <w:pPr>
              <w:bidi/>
              <w:jc w:val="center"/>
            </w:pPr>
            <w:r>
              <w:rPr>
                <w:b/>
                <w:bCs/>
                <w:color w:val="FFFFFF"/>
                <w:sz w:val="22"/>
                <w:szCs w:val="22"/>
                <w:rtl/>
              </w:rPr>
              <w:t xml:space="preserve">التفصيل</w:t>
            </w:r>
          </w:p>
        </w:tc>
      </w:tr>
      <w:tr>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bidi/>
              <w:jc w:val="right"/>
            </w:pPr>
            <w:r>
              <w:rPr>
                <w:sz w:val="21"/>
                <w:szCs w:val="21"/>
                <w:rtl/>
              </w:rPr>
              <w:t xml:space="preserve">تعريف الضلع</w:t>
            </w:r>
          </w:p>
        </w:tc>
        <w:tc>
          <w:tcPr>
            <w:tcW w:type="dxa" w:w="71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bidi/>
              <w:jc w:val="right"/>
            </w:pPr>
            <w:r>
              <w:rPr>
                <w:sz w:val="21"/>
                <w:szCs w:val="21"/>
                <w:rtl/>
              </w:rPr>
              <w:t xml:space="preserve">الشيطان يغوي النفس الأمارة ويزين لها المعاصي.</w:t>
            </w:r>
          </w:p>
        </w:tc>
      </w:tr>
      <w:tr>
        <w:tc>
          <w:tcPr>
            <w:tcW w:type="dxa" w:w="2200"/>
            <w:tcBorders>
              <w:top w:val="single" w:color="CCCCCC" w:sz="1"/>
              <w:left w:val="single" w:color="CCCCCC" w:sz="1"/>
              <w:bottom w:val="single" w:color="CCCCCC" w:sz="1"/>
              <w:right w:val="single" w:color="CCCCCC" w:sz="1"/>
            </w:tcBorders>
            <w:shd w:fill="E8F0F7" w:val="clear"/>
            <w:tcMar>
              <w:top w:type="dxa" w:w="80"/>
              <w:left w:type="dxa" w:w="120"/>
              <w:bottom w:type="dxa" w:w="80"/>
              <w:right w:type="dxa" w:w="120"/>
            </w:tcMar>
          </w:tcPr>
          <w:p>
            <w:pPr>
              <w:bidi/>
              <w:jc w:val="right"/>
            </w:pPr>
            <w:r>
              <w:rPr>
                <w:sz w:val="21"/>
                <w:szCs w:val="21"/>
                <w:rtl/>
              </w:rPr>
              <w:t xml:space="preserve">تأثير الخوارزمية</w:t>
            </w:r>
          </w:p>
        </w:tc>
        <w:tc>
          <w:tcPr>
            <w:tcW w:type="dxa" w:w="7160"/>
            <w:tcBorders>
              <w:top w:val="single" w:color="CCCCCC" w:sz="1"/>
              <w:left w:val="single" w:color="CCCCCC" w:sz="1"/>
              <w:bottom w:val="single" w:color="CCCCCC" w:sz="1"/>
              <w:right w:val="single" w:color="CCCCCC" w:sz="1"/>
            </w:tcBorders>
            <w:shd w:fill="E8F0F7" w:val="clear"/>
            <w:tcMar>
              <w:top w:type="dxa" w:w="80"/>
              <w:left w:type="dxa" w:w="120"/>
              <w:bottom w:type="dxa" w:w="80"/>
              <w:right w:type="dxa" w:w="120"/>
            </w:tcMar>
          </w:tcPr>
          <w:p>
            <w:pPr>
              <w:bidi/>
              <w:jc w:val="right"/>
            </w:pPr>
            <w:r>
              <w:rPr>
                <w:sz w:val="21"/>
                <w:szCs w:val="21"/>
                <w:rtl/>
              </w:rPr>
              <w:t xml:space="preserve">الخوارزمية تؤدي دور القرين الرقمي، إذ تقترح باستمرار محتوى يزين المعصية ويشكك في القيم. كما تخلق فرصاً للوقوع في المحرمات (الغيبة، النميمة، النظر المحرم).</w:t>
            </w:r>
          </w:p>
        </w:tc>
      </w:tr>
      <w:tr>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bidi/>
              <w:jc w:val="right"/>
            </w:pPr>
            <w:r>
              <w:rPr>
                <w:sz w:val="21"/>
                <w:szCs w:val="21"/>
                <w:rtl/>
              </w:rPr>
              <w:t xml:space="preserve">تفعيل الخليفة الرقمي</w:t>
            </w:r>
          </w:p>
        </w:tc>
        <w:tc>
          <w:tcPr>
            <w:tcW w:type="dxa" w:w="71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bidi/>
              <w:jc w:val="right"/>
            </w:pPr>
            <w:r>
              <w:rPr>
                <w:sz w:val="21"/>
                <w:szCs w:val="21"/>
                <w:rtl/>
              </w:rPr>
              <w:t xml:space="preserve">الاستعاذة عند رؤية محتوى مريب. عدم النقاش مع أهل الباطل. الإبلاغ عن المحتوى الضار وحظره. تذكر أن كل نقرة قد تكون طاعة أو معصية.</w:t>
            </w:r>
          </w:p>
        </w:tc>
      </w:tr>
      <w:tr>
        <w:tc>
          <w:tcPr>
            <w:tcW w:type="dxa" w:w="2200"/>
            <w:tcBorders>
              <w:top w:val="single" w:color="CCCCCC" w:sz="1"/>
              <w:left w:val="single" w:color="CCCCCC" w:sz="1"/>
              <w:bottom w:val="single" w:color="CCCCCC" w:sz="1"/>
              <w:right w:val="single" w:color="CCCCCC" w:sz="1"/>
            </w:tcBorders>
            <w:shd w:fill="E8F0F7" w:val="clear"/>
            <w:tcMar>
              <w:top w:type="dxa" w:w="80"/>
              <w:left w:type="dxa" w:w="120"/>
              <w:bottom w:type="dxa" w:w="80"/>
              <w:right w:type="dxa" w:w="120"/>
            </w:tcMar>
          </w:tcPr>
          <w:p>
            <w:pPr>
              <w:bidi/>
              <w:jc w:val="right"/>
            </w:pPr>
            <w:r>
              <w:rPr>
                <w:sz w:val="21"/>
                <w:szCs w:val="21"/>
                <w:rtl/>
              </w:rPr>
              <w:t xml:space="preserve">النتيجة على النفس</w:t>
            </w:r>
          </w:p>
        </w:tc>
        <w:tc>
          <w:tcPr>
            <w:tcW w:type="dxa" w:w="7160"/>
            <w:tcBorders>
              <w:top w:val="single" w:color="CCCCCC" w:sz="1"/>
              <w:left w:val="single" w:color="CCCCCC" w:sz="1"/>
              <w:bottom w:val="single" w:color="CCCCCC" w:sz="1"/>
              <w:right w:val="single" w:color="CCCCCC" w:sz="1"/>
            </w:tcBorders>
            <w:shd w:fill="E8F0F7" w:val="clear"/>
            <w:tcMar>
              <w:top w:type="dxa" w:w="80"/>
              <w:left w:type="dxa" w:w="120"/>
              <w:bottom w:type="dxa" w:w="80"/>
              <w:right w:type="dxa" w:w="120"/>
            </w:tcMar>
          </w:tcPr>
          <w:p>
            <w:pPr>
              <w:bidi/>
              <w:jc w:val="right"/>
            </w:pPr>
            <w:r>
              <w:rPr>
                <w:sz w:val="21"/>
                <w:szCs w:val="21"/>
                <w:rtl/>
              </w:rPr>
              <w:t xml:space="preserve">تحييد تأثير الشيطان الرقمي، وإضعاف الأمارة.</w:t>
            </w:r>
          </w:p>
        </w:tc>
      </w:tr>
    </w:tbl>
    <w:p>
      <w:r>
        <w:t xml:space="preserve"/>
      </w:r>
    </w:p>
    <w:p>
      <w:pPr>
        <w:pStyle w:val="Heading2"/>
        <w:bidi/>
        <w:jc w:val="right"/>
      </w:pPr>
      <w:r>
        <w:rPr>
          <w:b/>
          <w:bCs/>
          <w:color w:val="2E74B5"/>
          <w:sz w:val="28"/>
          <w:szCs w:val="28"/>
          <w:rtl/>
        </w:rPr>
        <w:t xml:space="preserve">الضلع الثامن: الرحمة الإلهية ← المطمئنة (الهداية والتوفيق)</w:t>
      </w:r>
    </w:p>
    <w:tbl>
      <w:tblPr>
        <w:tblW w:type="dxa" w:w="9360"/>
        <w:tblBorders>
          <w:top w:val="single" w:color="auto" w:sz="4"/>
          <w:start w:val="single" w:color="auto" w:sz="4"/>
          <w:bottom w:val="single" w:color="auto" w:sz="4"/>
          <w:end w:val="single" w:color="auto" w:sz="4"/>
          <w:insideH w:val="single" w:color="auto" w:sz="4"/>
          <w:insideV w:val="single" w:color="auto" w:sz="4"/>
        </w:tblBorders>
      </w:tblPr>
      <w:tblGrid>
        <w:gridCol w:w="2200"/>
        <w:gridCol w:w="7160"/>
      </w:tblGrid>
      <w:tr>
        <w:tc>
          <w:tcPr>
            <w:tcW w:type="dxa" w:w="2200"/>
            <w:tcBorders>
              <w:top w:val="single" w:color="CCCCCC" w:sz="1"/>
              <w:left w:val="single" w:color="CCCCCC" w:sz="1"/>
              <w:bottom w:val="single" w:color="CCCCCC" w:sz="1"/>
              <w:right w:val="single" w:color="CCCCCC" w:sz="1"/>
            </w:tcBorders>
            <w:shd w:fill="1F4E79" w:val="clear"/>
            <w:tcMar>
              <w:top w:type="dxa" w:w="80"/>
              <w:left w:type="dxa" w:w="120"/>
              <w:bottom w:type="dxa" w:w="80"/>
              <w:right w:type="dxa" w:w="120"/>
            </w:tcMar>
          </w:tcPr>
          <w:p>
            <w:pPr>
              <w:bidi/>
              <w:jc w:val="center"/>
            </w:pPr>
            <w:r>
              <w:rPr>
                <w:b/>
                <w:bCs/>
                <w:color w:val="FFFFFF"/>
                <w:sz w:val="22"/>
                <w:szCs w:val="22"/>
                <w:rtl/>
              </w:rPr>
              <w:t xml:space="preserve">العنصر</w:t>
            </w:r>
          </w:p>
        </w:tc>
        <w:tc>
          <w:tcPr>
            <w:tcW w:type="dxa" w:w="7160"/>
            <w:tcBorders>
              <w:top w:val="single" w:color="CCCCCC" w:sz="1"/>
              <w:left w:val="single" w:color="CCCCCC" w:sz="1"/>
              <w:bottom w:val="single" w:color="CCCCCC" w:sz="1"/>
              <w:right w:val="single" w:color="CCCCCC" w:sz="1"/>
            </w:tcBorders>
            <w:shd w:fill="1F4E79" w:val="clear"/>
            <w:tcMar>
              <w:top w:type="dxa" w:w="80"/>
              <w:left w:type="dxa" w:w="120"/>
              <w:bottom w:type="dxa" w:w="80"/>
              <w:right w:type="dxa" w:w="120"/>
            </w:tcMar>
          </w:tcPr>
          <w:p>
            <w:pPr>
              <w:bidi/>
              <w:jc w:val="center"/>
            </w:pPr>
            <w:r>
              <w:rPr>
                <w:b/>
                <w:bCs/>
                <w:color w:val="FFFFFF"/>
                <w:sz w:val="22"/>
                <w:szCs w:val="22"/>
                <w:rtl/>
              </w:rPr>
              <w:t xml:space="preserve">التفصيل</w:t>
            </w:r>
          </w:p>
        </w:tc>
      </w:tr>
      <w:tr>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bidi/>
              <w:jc w:val="right"/>
            </w:pPr>
            <w:r>
              <w:rPr>
                <w:sz w:val="21"/>
                <w:szCs w:val="21"/>
                <w:rtl/>
              </w:rPr>
              <w:t xml:space="preserve">تعريف الضلع</w:t>
            </w:r>
          </w:p>
        </w:tc>
        <w:tc>
          <w:tcPr>
            <w:tcW w:type="dxa" w:w="71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bidi/>
              <w:jc w:val="right"/>
            </w:pPr>
            <w:r>
              <w:rPr>
                <w:sz w:val="21"/>
                <w:szCs w:val="21"/>
                <w:rtl/>
              </w:rPr>
              <w:t xml:space="preserve">الرحمة تتنزل على المطمئنة فتمنحها السكينة والثبات.</w:t>
            </w:r>
          </w:p>
        </w:tc>
      </w:tr>
      <w:tr>
        <w:tc>
          <w:tcPr>
            <w:tcW w:type="dxa" w:w="2200"/>
            <w:tcBorders>
              <w:top w:val="single" w:color="CCCCCC" w:sz="1"/>
              <w:left w:val="single" w:color="CCCCCC" w:sz="1"/>
              <w:bottom w:val="single" w:color="CCCCCC" w:sz="1"/>
              <w:right w:val="single" w:color="CCCCCC" w:sz="1"/>
            </w:tcBorders>
            <w:shd w:fill="E8F0F7" w:val="clear"/>
            <w:tcMar>
              <w:top w:type="dxa" w:w="80"/>
              <w:left w:type="dxa" w:w="120"/>
              <w:bottom w:type="dxa" w:w="80"/>
              <w:right w:type="dxa" w:w="120"/>
            </w:tcMar>
          </w:tcPr>
          <w:p>
            <w:pPr>
              <w:bidi/>
              <w:jc w:val="right"/>
            </w:pPr>
            <w:r>
              <w:rPr>
                <w:sz w:val="21"/>
                <w:szCs w:val="21"/>
                <w:rtl/>
              </w:rPr>
              <w:t xml:space="preserve">تأثير الخوارزمية</w:t>
            </w:r>
          </w:p>
        </w:tc>
        <w:tc>
          <w:tcPr>
            <w:tcW w:type="dxa" w:w="7160"/>
            <w:tcBorders>
              <w:top w:val="single" w:color="CCCCCC" w:sz="1"/>
              <w:left w:val="single" w:color="CCCCCC" w:sz="1"/>
              <w:bottom w:val="single" w:color="CCCCCC" w:sz="1"/>
              <w:right w:val="single" w:color="CCCCCC" w:sz="1"/>
            </w:tcBorders>
            <w:shd w:fill="E8F0F7" w:val="clear"/>
            <w:tcMar>
              <w:top w:type="dxa" w:w="80"/>
              <w:left w:type="dxa" w:w="120"/>
              <w:bottom w:type="dxa" w:w="80"/>
              <w:right w:type="dxa" w:w="120"/>
            </w:tcMar>
          </w:tcPr>
          <w:p>
            <w:pPr>
              <w:bidi/>
              <w:jc w:val="right"/>
            </w:pPr>
            <w:r>
              <w:rPr>
                <w:sz w:val="21"/>
                <w:szCs w:val="21"/>
                <w:rtl/>
              </w:rPr>
              <w:t xml:space="preserve">تُضعف الخوارزمية الإحساس بالرحمة، وتستبدله بالإحساس بالوحدة والقلق.</w:t>
            </w:r>
          </w:p>
        </w:tc>
      </w:tr>
      <w:tr>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bidi/>
              <w:jc w:val="right"/>
            </w:pPr>
            <w:r>
              <w:rPr>
                <w:sz w:val="21"/>
                <w:szCs w:val="21"/>
                <w:rtl/>
              </w:rPr>
              <w:t xml:space="preserve">تفعيل الخليفة الرقمي</w:t>
            </w:r>
          </w:p>
        </w:tc>
        <w:tc>
          <w:tcPr>
            <w:tcW w:type="dxa" w:w="71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bidi/>
              <w:jc w:val="right"/>
            </w:pPr>
            <w:r>
              <w:rPr>
                <w:sz w:val="21"/>
                <w:szCs w:val="21"/>
                <w:rtl/>
              </w:rPr>
              <w:t xml:space="preserve">الدعاء بأن يجعل الله استخدامه الرقمي خالصاً لوجهه. شكر الله على نعمة التقنية إذا استخدمت في الخير. الاستغفار من الزلات لتعود الرحمة.</w:t>
            </w:r>
          </w:p>
        </w:tc>
      </w:tr>
      <w:tr>
        <w:tc>
          <w:tcPr>
            <w:tcW w:type="dxa" w:w="2200"/>
            <w:tcBorders>
              <w:top w:val="single" w:color="CCCCCC" w:sz="1"/>
              <w:left w:val="single" w:color="CCCCCC" w:sz="1"/>
              <w:bottom w:val="single" w:color="CCCCCC" w:sz="1"/>
              <w:right w:val="single" w:color="CCCCCC" w:sz="1"/>
            </w:tcBorders>
            <w:shd w:fill="E8F0F7" w:val="clear"/>
            <w:tcMar>
              <w:top w:type="dxa" w:w="80"/>
              <w:left w:type="dxa" w:w="120"/>
              <w:bottom w:type="dxa" w:w="80"/>
              <w:right w:type="dxa" w:w="120"/>
            </w:tcMar>
          </w:tcPr>
          <w:p>
            <w:pPr>
              <w:bidi/>
              <w:jc w:val="right"/>
            </w:pPr>
            <w:r>
              <w:rPr>
                <w:sz w:val="21"/>
                <w:szCs w:val="21"/>
                <w:rtl/>
              </w:rPr>
              <w:t xml:space="preserve">النتيجة على النفس</w:t>
            </w:r>
          </w:p>
        </w:tc>
        <w:tc>
          <w:tcPr>
            <w:tcW w:type="dxa" w:w="7160"/>
            <w:tcBorders>
              <w:top w:val="single" w:color="CCCCCC" w:sz="1"/>
              <w:left w:val="single" w:color="CCCCCC" w:sz="1"/>
              <w:bottom w:val="single" w:color="CCCCCC" w:sz="1"/>
              <w:right w:val="single" w:color="CCCCCC" w:sz="1"/>
            </w:tcBorders>
            <w:shd w:fill="E8F0F7" w:val="clear"/>
            <w:tcMar>
              <w:top w:type="dxa" w:w="80"/>
              <w:left w:type="dxa" w:w="120"/>
              <w:bottom w:type="dxa" w:w="80"/>
              <w:right w:type="dxa" w:w="120"/>
            </w:tcMar>
          </w:tcPr>
          <w:p>
            <w:pPr>
              <w:bidi/>
              <w:jc w:val="right"/>
            </w:pPr>
            <w:r>
              <w:rPr>
                <w:sz w:val="21"/>
                <w:szCs w:val="21"/>
                <w:rtl/>
              </w:rPr>
              <w:t xml:space="preserve">دوام السكينة، وتحول الفضاء الرقمي إلى مجال للرحمة لا للنقمة.</w:t>
            </w:r>
          </w:p>
        </w:tc>
      </w:tr>
    </w:tbl>
    <w:p>
      <w:r>
        <w:t xml:space="preserve"/>
      </w:r>
    </w:p>
    <w:p>
      <w:pPr>
        <w:pStyle w:val="Heading1"/>
        <w:bidi/>
        <w:jc w:val="right"/>
      </w:pPr>
      <w:r>
        <w:rPr>
          <w:b/>
          <w:bCs/>
          <w:color w:val="1F4E79"/>
          <w:sz w:val="36"/>
          <w:szCs w:val="36"/>
          <w:rtl/>
        </w:rPr>
        <w:t xml:space="preserve">ثانياً: الشكل البياني المتكامل</w:t>
      </w:r>
    </w:p>
    <w:p>
      <w:pPr>
        <w:pStyle w:val="Heading2"/>
        <w:bidi/>
        <w:jc w:val="right"/>
      </w:pPr>
      <w:r>
        <w:rPr>
          <w:b/>
          <w:bCs/>
          <w:color w:val="2E74B5"/>
          <w:sz w:val="28"/>
          <w:szCs w:val="28"/>
          <w:rtl/>
        </w:rPr>
        <w:t xml:space="preserve">جدول بياني: معركة الأضلاع الثمانية في الفضاء الرقمي</w:t>
      </w:r>
    </w:p>
    <w:tbl>
      <w:tblPr>
        <w:tblW w:type="dxa" w:w="9360"/>
        <w:tblBorders>
          <w:top w:val="single" w:color="auto" w:sz="4"/>
          <w:start w:val="single" w:color="auto" w:sz="4"/>
          <w:bottom w:val="single" w:color="auto" w:sz="4"/>
          <w:end w:val="single" w:color="auto" w:sz="4"/>
          <w:insideH w:val="single" w:color="auto" w:sz="4"/>
          <w:insideV w:val="single" w:color="auto" w:sz="4"/>
        </w:tblBorders>
      </w:tblPr>
      <w:tblGrid>
        <w:gridCol w:w="1400"/>
        <w:gridCol w:w="1700"/>
        <w:gridCol w:w="2100"/>
        <w:gridCol w:w="2060"/>
        <w:gridCol w:w="2100"/>
      </w:tblGrid>
      <w:tr>
        <w:tc>
          <w:tcPr>
            <w:tcW w:type="dxa" w:w="1400"/>
            <w:tcBorders>
              <w:top w:val="single" w:color="CCCCCC" w:sz="1"/>
              <w:left w:val="single" w:color="CCCCCC" w:sz="1"/>
              <w:bottom w:val="single" w:color="CCCCCC" w:sz="1"/>
              <w:right w:val="single" w:color="CCCCCC" w:sz="1"/>
            </w:tcBorders>
            <w:shd w:fill="1F4E79" w:val="clear"/>
            <w:tcMar>
              <w:top w:type="dxa" w:w="80"/>
              <w:left w:type="dxa" w:w="120"/>
              <w:bottom w:type="dxa" w:w="80"/>
              <w:right w:type="dxa" w:w="120"/>
            </w:tcMar>
          </w:tcPr>
          <w:p>
            <w:pPr>
              <w:bidi/>
              <w:jc w:val="center"/>
            </w:pPr>
            <w:r>
              <w:rPr>
                <w:b/>
                <w:bCs/>
                <w:color w:val="FFFFFF"/>
                <w:sz w:val="22"/>
                <w:szCs w:val="22"/>
                <w:rtl/>
              </w:rPr>
              <w:t xml:space="preserve">الضلع</w:t>
            </w:r>
          </w:p>
        </w:tc>
        <w:tc>
          <w:tcPr>
            <w:tcW w:type="dxa" w:w="1700"/>
            <w:tcBorders>
              <w:top w:val="single" w:color="CCCCCC" w:sz="1"/>
              <w:left w:val="single" w:color="CCCCCC" w:sz="1"/>
              <w:bottom w:val="single" w:color="CCCCCC" w:sz="1"/>
              <w:right w:val="single" w:color="CCCCCC" w:sz="1"/>
            </w:tcBorders>
            <w:shd w:fill="1F4E79" w:val="clear"/>
            <w:tcMar>
              <w:top w:type="dxa" w:w="80"/>
              <w:left w:type="dxa" w:w="120"/>
              <w:bottom w:type="dxa" w:w="80"/>
              <w:right w:type="dxa" w:w="120"/>
            </w:tcMar>
          </w:tcPr>
          <w:p>
            <w:pPr>
              <w:bidi/>
              <w:jc w:val="center"/>
            </w:pPr>
            <w:r>
              <w:rPr>
                <w:b/>
                <w:bCs/>
                <w:color w:val="FFFFFF"/>
                <w:sz w:val="22"/>
                <w:szCs w:val="22"/>
                <w:rtl/>
              </w:rPr>
              <w:t xml:space="preserve">اتجاه التأثير الطبيعي</w:t>
            </w:r>
          </w:p>
        </w:tc>
        <w:tc>
          <w:tcPr>
            <w:tcW w:type="dxa" w:w="2100"/>
            <w:tcBorders>
              <w:top w:val="single" w:color="CCCCCC" w:sz="1"/>
              <w:left w:val="single" w:color="CCCCCC" w:sz="1"/>
              <w:bottom w:val="single" w:color="CCCCCC" w:sz="1"/>
              <w:right w:val="single" w:color="CCCCCC" w:sz="1"/>
            </w:tcBorders>
            <w:shd w:fill="1F4E79" w:val="clear"/>
            <w:tcMar>
              <w:top w:type="dxa" w:w="80"/>
              <w:left w:type="dxa" w:w="120"/>
              <w:bottom w:type="dxa" w:w="80"/>
              <w:right w:type="dxa" w:w="120"/>
            </w:tcMar>
          </w:tcPr>
          <w:p>
            <w:pPr>
              <w:bidi/>
              <w:jc w:val="center"/>
            </w:pPr>
            <w:r>
              <w:rPr>
                <w:b/>
                <w:bCs/>
                <w:color w:val="FFFFFF"/>
                <w:sz w:val="22"/>
                <w:szCs w:val="22"/>
                <w:rtl/>
              </w:rPr>
              <w:t xml:space="preserve">تأثير الخوارزمية (التحدي)</w:t>
            </w:r>
          </w:p>
        </w:tc>
        <w:tc>
          <w:tcPr>
            <w:tcW w:type="dxa" w:w="2060"/>
            <w:tcBorders>
              <w:top w:val="single" w:color="CCCCCC" w:sz="1"/>
              <w:left w:val="single" w:color="CCCCCC" w:sz="1"/>
              <w:bottom w:val="single" w:color="CCCCCC" w:sz="1"/>
              <w:right w:val="single" w:color="CCCCCC" w:sz="1"/>
            </w:tcBorders>
            <w:shd w:fill="1F4E79" w:val="clear"/>
            <w:tcMar>
              <w:top w:type="dxa" w:w="80"/>
              <w:left w:type="dxa" w:w="120"/>
              <w:bottom w:type="dxa" w:w="80"/>
              <w:right w:type="dxa" w:w="120"/>
            </w:tcMar>
          </w:tcPr>
          <w:p>
            <w:pPr>
              <w:bidi/>
              <w:jc w:val="center"/>
            </w:pPr>
            <w:r>
              <w:rPr>
                <w:b/>
                <w:bCs/>
                <w:color w:val="FFFFFF"/>
                <w:sz w:val="22"/>
                <w:szCs w:val="22"/>
                <w:rtl/>
              </w:rPr>
              <w:t xml:space="preserve">تفعيل الخليفة الرقمي (الاستجابة)</w:t>
            </w:r>
          </w:p>
        </w:tc>
        <w:tc>
          <w:tcPr>
            <w:tcW w:type="dxa" w:w="2100"/>
            <w:tcBorders>
              <w:top w:val="single" w:color="CCCCCC" w:sz="1"/>
              <w:left w:val="single" w:color="CCCCCC" w:sz="1"/>
              <w:bottom w:val="single" w:color="CCCCCC" w:sz="1"/>
              <w:right w:val="single" w:color="CCCCCC" w:sz="1"/>
            </w:tcBorders>
            <w:shd w:fill="1F4E79" w:val="clear"/>
            <w:tcMar>
              <w:top w:type="dxa" w:w="80"/>
              <w:left w:type="dxa" w:w="120"/>
              <w:bottom w:type="dxa" w:w="80"/>
              <w:right w:type="dxa" w:w="120"/>
            </w:tcMar>
          </w:tcPr>
          <w:p>
            <w:pPr>
              <w:bidi/>
              <w:jc w:val="center"/>
            </w:pPr>
            <w:r>
              <w:rPr>
                <w:b/>
                <w:bCs/>
                <w:color w:val="FFFFFF"/>
                <w:sz w:val="22"/>
                <w:szCs w:val="22"/>
                <w:rtl/>
              </w:rPr>
              <w:t xml:space="preserve">النتيجة على مستوى النفس</w:t>
            </w:r>
          </w:p>
        </w:tc>
      </w:tr>
      <w:tr>
        <w:tc>
          <w:tcPr>
            <w:tcW w:type="dxa" w:w="14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bidi/>
              <w:jc w:val="right"/>
            </w:pPr>
            <w:r>
              <w:rPr>
                <w:sz w:val="21"/>
                <w:szCs w:val="21"/>
                <w:rtl/>
              </w:rPr>
              <w:t xml:space="preserve">١ فجور ← أمارة</w:t>
            </w:r>
          </w:p>
        </w:tc>
        <w:tc>
          <w:tcPr>
            <w:tcW w:type="dxa" w:w="17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bidi/>
              <w:jc w:val="right"/>
            </w:pPr>
            <w:r>
              <w:rPr>
                <w:sz w:val="21"/>
                <w:szCs w:val="21"/>
                <w:rtl/>
              </w:rPr>
              <w:t xml:space="preserve">تُقوّي الفجور عبر الإغراء</w:t>
            </w:r>
          </w:p>
        </w:tc>
        <w:tc>
          <w:tcPr>
            <w:tcW w:type="dxa" w:w="21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bidi/>
              <w:jc w:val="right"/>
            </w:pPr>
            <w:r>
              <w:rPr>
                <w:sz w:val="21"/>
                <w:szCs w:val="21"/>
                <w:rtl/>
              </w:rPr>
              <w:t xml:space="preserve">يغلق المنافذ، يستبدل المحتوى</w:t>
            </w:r>
          </w:p>
        </w:tc>
        <w:tc>
          <w:tcPr>
            <w:tcW w:type="dxa" w:w="20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bidi/>
              <w:jc w:val="right"/>
            </w:pPr>
            <w:r>
              <w:rPr>
                <w:sz w:val="21"/>
                <w:szCs w:val="21"/>
                <w:rtl/>
              </w:rPr>
              <w:t xml:space="preserve">كبح الأمارة</w:t>
            </w:r>
          </w:p>
        </w:tc>
      </w:tr>
      <w:tr>
        <w:tc>
          <w:tcPr>
            <w:tcW w:type="dxa" w:w="1400"/>
            <w:tcBorders>
              <w:top w:val="single" w:color="CCCCCC" w:sz="1"/>
              <w:left w:val="single" w:color="CCCCCC" w:sz="1"/>
              <w:bottom w:val="single" w:color="CCCCCC" w:sz="1"/>
              <w:right w:val="single" w:color="CCCCCC" w:sz="1"/>
            </w:tcBorders>
            <w:shd w:fill="E8F0F7" w:val="clear"/>
            <w:tcMar>
              <w:top w:type="dxa" w:w="80"/>
              <w:left w:type="dxa" w:w="120"/>
              <w:bottom w:type="dxa" w:w="80"/>
              <w:right w:type="dxa" w:w="120"/>
            </w:tcMar>
          </w:tcPr>
          <w:p>
            <w:pPr>
              <w:bidi/>
              <w:jc w:val="right"/>
            </w:pPr>
            <w:r>
              <w:rPr>
                <w:sz w:val="21"/>
                <w:szCs w:val="21"/>
                <w:rtl/>
              </w:rPr>
              <w:t xml:space="preserve">٢ تقوى ← مطمئنة</w:t>
            </w:r>
          </w:p>
        </w:tc>
        <w:tc>
          <w:tcPr>
            <w:tcW w:type="dxa" w:w="1700"/>
            <w:tcBorders>
              <w:top w:val="single" w:color="CCCCCC" w:sz="1"/>
              <w:left w:val="single" w:color="CCCCCC" w:sz="1"/>
              <w:bottom w:val="single" w:color="CCCCCC" w:sz="1"/>
              <w:right w:val="single" w:color="CCCCCC" w:sz="1"/>
            </w:tcBorders>
            <w:shd w:fill="E8F0F7" w:val="clear"/>
            <w:tcMar>
              <w:top w:type="dxa" w:w="80"/>
              <w:left w:type="dxa" w:w="120"/>
              <w:bottom w:type="dxa" w:w="80"/>
              <w:right w:type="dxa" w:w="120"/>
            </w:tcMar>
          </w:tcPr>
          <w:p>
            <w:pPr>
              <w:bidi/>
              <w:jc w:val="right"/>
            </w:pPr>
            <w:r>
              <w:rPr>
                <w:sz w:val="21"/>
                <w:szCs w:val="21"/>
                <w:rtl/>
              </w:rPr>
              <w:t xml:space="preserve">تُضعف التقوى بالتشتيت</w:t>
            </w:r>
          </w:p>
        </w:tc>
        <w:tc>
          <w:tcPr>
            <w:tcW w:type="dxa" w:w="2100"/>
            <w:tcBorders>
              <w:top w:val="single" w:color="CCCCCC" w:sz="1"/>
              <w:left w:val="single" w:color="CCCCCC" w:sz="1"/>
              <w:bottom w:val="single" w:color="CCCCCC" w:sz="1"/>
              <w:right w:val="single" w:color="CCCCCC" w:sz="1"/>
            </w:tcBorders>
            <w:shd w:fill="E8F0F7" w:val="clear"/>
            <w:tcMar>
              <w:top w:type="dxa" w:w="80"/>
              <w:left w:type="dxa" w:w="120"/>
              <w:bottom w:type="dxa" w:w="80"/>
              <w:right w:type="dxa" w:w="120"/>
            </w:tcMar>
          </w:tcPr>
          <w:p>
            <w:pPr>
              <w:bidi/>
              <w:jc w:val="right"/>
            </w:pPr>
            <w:r>
              <w:rPr>
                <w:sz w:val="21"/>
                <w:szCs w:val="21"/>
                <w:rtl/>
              </w:rPr>
              <w:t xml:space="preserve">يخصّص أوقاتاً للذكر، يتابع محتوى إيمانياً</w:t>
            </w:r>
          </w:p>
        </w:tc>
        <w:tc>
          <w:tcPr>
            <w:tcW w:type="dxa" w:w="2060"/>
            <w:tcBorders>
              <w:top w:val="single" w:color="CCCCCC" w:sz="1"/>
              <w:left w:val="single" w:color="CCCCCC" w:sz="1"/>
              <w:bottom w:val="single" w:color="CCCCCC" w:sz="1"/>
              <w:right w:val="single" w:color="CCCCCC" w:sz="1"/>
            </w:tcBorders>
            <w:shd w:fill="E8F0F7" w:val="clear"/>
            <w:tcMar>
              <w:top w:type="dxa" w:w="80"/>
              <w:left w:type="dxa" w:w="120"/>
              <w:bottom w:type="dxa" w:w="80"/>
              <w:right w:type="dxa" w:w="120"/>
            </w:tcMar>
          </w:tcPr>
          <w:p>
            <w:pPr>
              <w:bidi/>
              <w:jc w:val="right"/>
            </w:pPr>
            <w:r>
              <w:rPr>
                <w:sz w:val="21"/>
                <w:szCs w:val="21"/>
                <w:rtl/>
              </w:rPr>
              <w:t xml:space="preserve">تعزيز المطمئنة</w:t>
            </w:r>
          </w:p>
        </w:tc>
      </w:tr>
      <w:tr>
        <w:tc>
          <w:tcPr>
            <w:tcW w:type="dxa" w:w="14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bidi/>
              <w:jc w:val="right"/>
            </w:pPr>
            <w:r>
              <w:rPr>
                <w:sz w:val="21"/>
                <w:szCs w:val="21"/>
                <w:rtl/>
              </w:rPr>
              <w:t xml:space="preserve">٣ فجور ← شيطان</w:t>
            </w:r>
          </w:p>
        </w:tc>
        <w:tc>
          <w:tcPr>
            <w:tcW w:type="dxa" w:w="17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bidi/>
              <w:jc w:val="right"/>
            </w:pPr>
            <w:r>
              <w:rPr>
                <w:sz w:val="21"/>
                <w:szCs w:val="21"/>
                <w:rtl/>
              </w:rPr>
              <w:t xml:space="preserve">تفتح مداخل الشيطان (إدمان، غفلة)</w:t>
            </w:r>
          </w:p>
        </w:tc>
        <w:tc>
          <w:tcPr>
            <w:tcW w:type="dxa" w:w="21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bidi/>
              <w:jc w:val="right"/>
            </w:pPr>
            <w:r>
              <w:rPr>
                <w:sz w:val="21"/>
                <w:szCs w:val="21"/>
                <w:rtl/>
              </w:rPr>
              <w:t xml:space="preserve">يستعيذ، يكسر الإدمان</w:t>
            </w:r>
          </w:p>
        </w:tc>
        <w:tc>
          <w:tcPr>
            <w:tcW w:type="dxa" w:w="20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bidi/>
              <w:jc w:val="right"/>
            </w:pPr>
            <w:r>
              <w:rPr>
                <w:sz w:val="21"/>
                <w:szCs w:val="21"/>
                <w:rtl/>
              </w:rPr>
              <w:t xml:space="preserve">إغلاق مداخل الشيطان</w:t>
            </w:r>
          </w:p>
        </w:tc>
      </w:tr>
      <w:tr>
        <w:tc>
          <w:tcPr>
            <w:tcW w:type="dxa" w:w="1400"/>
            <w:tcBorders>
              <w:top w:val="single" w:color="CCCCCC" w:sz="1"/>
              <w:left w:val="single" w:color="CCCCCC" w:sz="1"/>
              <w:bottom w:val="single" w:color="CCCCCC" w:sz="1"/>
              <w:right w:val="single" w:color="CCCCCC" w:sz="1"/>
            </w:tcBorders>
            <w:shd w:fill="E8F0F7" w:val="clear"/>
            <w:tcMar>
              <w:top w:type="dxa" w:w="80"/>
              <w:left w:type="dxa" w:w="120"/>
              <w:bottom w:type="dxa" w:w="80"/>
              <w:right w:type="dxa" w:w="120"/>
            </w:tcMar>
          </w:tcPr>
          <w:p>
            <w:pPr>
              <w:bidi/>
              <w:jc w:val="right"/>
            </w:pPr>
            <w:r>
              <w:rPr>
                <w:sz w:val="21"/>
                <w:szCs w:val="21"/>
                <w:rtl/>
              </w:rPr>
              <w:t xml:space="preserve">٤ تقوى ← رحمة</w:t>
            </w:r>
          </w:p>
        </w:tc>
        <w:tc>
          <w:tcPr>
            <w:tcW w:type="dxa" w:w="1700"/>
            <w:tcBorders>
              <w:top w:val="single" w:color="CCCCCC" w:sz="1"/>
              <w:left w:val="single" w:color="CCCCCC" w:sz="1"/>
              <w:bottom w:val="single" w:color="CCCCCC" w:sz="1"/>
              <w:right w:val="single" w:color="CCCCCC" w:sz="1"/>
            </w:tcBorders>
            <w:shd w:fill="E8F0F7" w:val="clear"/>
            <w:tcMar>
              <w:top w:type="dxa" w:w="80"/>
              <w:left w:type="dxa" w:w="120"/>
              <w:bottom w:type="dxa" w:w="80"/>
              <w:right w:type="dxa" w:w="120"/>
            </w:tcMar>
          </w:tcPr>
          <w:p>
            <w:pPr>
              <w:bidi/>
              <w:jc w:val="right"/>
            </w:pPr>
            <w:r>
              <w:rPr>
                <w:sz w:val="21"/>
                <w:szCs w:val="21"/>
                <w:rtl/>
              </w:rPr>
              <w:t xml:space="preserve">تحرم النفس من الرحمة بالتغافل</w:t>
            </w:r>
          </w:p>
        </w:tc>
        <w:tc>
          <w:tcPr>
            <w:tcW w:type="dxa" w:w="2100"/>
            <w:tcBorders>
              <w:top w:val="single" w:color="CCCCCC" w:sz="1"/>
              <w:left w:val="single" w:color="CCCCCC" w:sz="1"/>
              <w:bottom w:val="single" w:color="CCCCCC" w:sz="1"/>
              <w:right w:val="single" w:color="CCCCCC" w:sz="1"/>
            </w:tcBorders>
            <w:shd w:fill="E8F0F7" w:val="clear"/>
            <w:tcMar>
              <w:top w:type="dxa" w:w="80"/>
              <w:left w:type="dxa" w:w="120"/>
              <w:bottom w:type="dxa" w:w="80"/>
              <w:right w:type="dxa" w:w="120"/>
            </w:tcMar>
          </w:tcPr>
          <w:p>
            <w:pPr>
              <w:bidi/>
              <w:jc w:val="right"/>
            </w:pPr>
            <w:r>
              <w:rPr>
                <w:sz w:val="21"/>
                <w:szCs w:val="21"/>
                <w:rtl/>
              </w:rPr>
              <w:t xml:space="preserve">يدعو، يتفكر، يتصدق رقمياً</w:t>
            </w:r>
          </w:p>
        </w:tc>
        <w:tc>
          <w:tcPr>
            <w:tcW w:type="dxa" w:w="2060"/>
            <w:tcBorders>
              <w:top w:val="single" w:color="CCCCCC" w:sz="1"/>
              <w:left w:val="single" w:color="CCCCCC" w:sz="1"/>
              <w:bottom w:val="single" w:color="CCCCCC" w:sz="1"/>
              <w:right w:val="single" w:color="CCCCCC" w:sz="1"/>
            </w:tcBorders>
            <w:shd w:fill="E8F0F7" w:val="clear"/>
            <w:tcMar>
              <w:top w:type="dxa" w:w="80"/>
              <w:left w:type="dxa" w:w="120"/>
              <w:bottom w:type="dxa" w:w="80"/>
              <w:right w:type="dxa" w:w="120"/>
            </w:tcMar>
          </w:tcPr>
          <w:p>
            <w:pPr>
              <w:bidi/>
              <w:jc w:val="right"/>
            </w:pPr>
            <w:r>
              <w:rPr>
                <w:sz w:val="21"/>
                <w:szCs w:val="21"/>
                <w:rtl/>
              </w:rPr>
              <w:t xml:space="preserve">جلب الرحمة</w:t>
            </w:r>
          </w:p>
        </w:tc>
      </w:tr>
      <w:tr>
        <w:tc>
          <w:tcPr>
            <w:tcW w:type="dxa" w:w="14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bidi/>
              <w:jc w:val="right"/>
            </w:pPr>
            <w:r>
              <w:rPr>
                <w:sz w:val="21"/>
                <w:szCs w:val="21"/>
                <w:rtl/>
              </w:rPr>
              <w:t xml:space="preserve">٥ أمارة ← لوامة</w:t>
            </w:r>
          </w:p>
        </w:tc>
        <w:tc>
          <w:tcPr>
            <w:tcW w:type="dxa" w:w="17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bidi/>
              <w:jc w:val="right"/>
            </w:pPr>
            <w:r>
              <w:rPr>
                <w:sz w:val="21"/>
                <w:szCs w:val="21"/>
                <w:rtl/>
              </w:rPr>
              <w:t xml:space="preserve">تمنع المحاسبة (infinite scroll)</w:t>
            </w:r>
          </w:p>
        </w:tc>
        <w:tc>
          <w:tcPr>
            <w:tcW w:type="dxa" w:w="21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bidi/>
              <w:jc w:val="right"/>
            </w:pPr>
            <w:r>
              <w:rPr>
                <w:sz w:val="21"/>
                <w:szCs w:val="21"/>
                <w:rtl/>
              </w:rPr>
              <w:t xml:space="preserve">يراجع يومياً، يعزم على التوبة</w:t>
            </w:r>
          </w:p>
        </w:tc>
        <w:tc>
          <w:tcPr>
            <w:tcW w:type="dxa" w:w="20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bidi/>
              <w:jc w:val="right"/>
            </w:pPr>
            <w:r>
              <w:rPr>
                <w:sz w:val="21"/>
                <w:szCs w:val="21"/>
                <w:rtl/>
              </w:rPr>
              <w:t xml:space="preserve">إيقاظ اللوامة</w:t>
            </w:r>
          </w:p>
        </w:tc>
      </w:tr>
      <w:tr>
        <w:tc>
          <w:tcPr>
            <w:tcW w:type="dxa" w:w="1400"/>
            <w:tcBorders>
              <w:top w:val="single" w:color="CCCCCC" w:sz="1"/>
              <w:left w:val="single" w:color="CCCCCC" w:sz="1"/>
              <w:bottom w:val="single" w:color="CCCCCC" w:sz="1"/>
              <w:right w:val="single" w:color="CCCCCC" w:sz="1"/>
            </w:tcBorders>
            <w:shd w:fill="E8F0F7" w:val="clear"/>
            <w:tcMar>
              <w:top w:type="dxa" w:w="80"/>
              <w:left w:type="dxa" w:w="120"/>
              <w:bottom w:type="dxa" w:w="80"/>
              <w:right w:type="dxa" w:w="120"/>
            </w:tcMar>
          </w:tcPr>
          <w:p>
            <w:pPr>
              <w:bidi/>
              <w:jc w:val="right"/>
            </w:pPr>
            <w:r>
              <w:rPr>
                <w:sz w:val="21"/>
                <w:szCs w:val="21"/>
                <w:rtl/>
              </w:rPr>
              <w:t xml:space="preserve">٦ لوامة ← مطمئنة</w:t>
            </w:r>
          </w:p>
        </w:tc>
        <w:tc>
          <w:tcPr>
            <w:tcW w:type="dxa" w:w="1700"/>
            <w:tcBorders>
              <w:top w:val="single" w:color="CCCCCC" w:sz="1"/>
              <w:left w:val="single" w:color="CCCCCC" w:sz="1"/>
              <w:bottom w:val="single" w:color="CCCCCC" w:sz="1"/>
              <w:right w:val="single" w:color="CCCCCC" w:sz="1"/>
            </w:tcBorders>
            <w:shd w:fill="E8F0F7" w:val="clear"/>
            <w:tcMar>
              <w:top w:type="dxa" w:w="80"/>
              <w:left w:type="dxa" w:w="120"/>
              <w:bottom w:type="dxa" w:w="80"/>
              <w:right w:type="dxa" w:w="120"/>
            </w:tcMar>
          </w:tcPr>
          <w:p>
            <w:pPr>
              <w:bidi/>
              <w:jc w:val="right"/>
            </w:pPr>
            <w:r>
              <w:rPr>
                <w:sz w:val="21"/>
                <w:szCs w:val="21"/>
                <w:rtl/>
              </w:rPr>
              <w:t xml:space="preserve">تُضعف العزيمة، تدفع لليأس</w:t>
            </w:r>
          </w:p>
        </w:tc>
        <w:tc>
          <w:tcPr>
            <w:tcW w:type="dxa" w:w="2100"/>
            <w:tcBorders>
              <w:top w:val="single" w:color="CCCCCC" w:sz="1"/>
              <w:left w:val="single" w:color="CCCCCC" w:sz="1"/>
              <w:bottom w:val="single" w:color="CCCCCC" w:sz="1"/>
              <w:right w:val="single" w:color="CCCCCC" w:sz="1"/>
            </w:tcBorders>
            <w:shd w:fill="E8F0F7" w:val="clear"/>
            <w:tcMar>
              <w:top w:type="dxa" w:w="80"/>
              <w:left w:type="dxa" w:w="120"/>
              <w:bottom w:type="dxa" w:w="80"/>
              <w:right w:type="dxa" w:w="120"/>
            </w:tcMar>
          </w:tcPr>
          <w:p>
            <w:pPr>
              <w:bidi/>
              <w:jc w:val="right"/>
            </w:pPr>
            <w:r>
              <w:rPr>
                <w:sz w:val="21"/>
                <w:szCs w:val="21"/>
                <w:rtl/>
              </w:rPr>
              <w:t xml:space="preserve">يضع أهدافاً، يثابر، يصاحب صالحين</w:t>
            </w:r>
          </w:p>
        </w:tc>
        <w:tc>
          <w:tcPr>
            <w:tcW w:type="dxa" w:w="2060"/>
            <w:tcBorders>
              <w:top w:val="single" w:color="CCCCCC" w:sz="1"/>
              <w:left w:val="single" w:color="CCCCCC" w:sz="1"/>
              <w:bottom w:val="single" w:color="CCCCCC" w:sz="1"/>
              <w:right w:val="single" w:color="CCCCCC" w:sz="1"/>
            </w:tcBorders>
            <w:shd w:fill="E8F0F7" w:val="clear"/>
            <w:tcMar>
              <w:top w:type="dxa" w:w="80"/>
              <w:left w:type="dxa" w:w="120"/>
              <w:bottom w:type="dxa" w:w="80"/>
              <w:right w:type="dxa" w:w="120"/>
            </w:tcMar>
          </w:tcPr>
          <w:p>
            <w:pPr>
              <w:bidi/>
              <w:jc w:val="right"/>
            </w:pPr>
            <w:r>
              <w:rPr>
                <w:sz w:val="21"/>
                <w:szCs w:val="21"/>
                <w:rtl/>
              </w:rPr>
              <w:t xml:space="preserve">الثبات في التزكية</w:t>
            </w:r>
          </w:p>
        </w:tc>
      </w:tr>
      <w:tr>
        <w:tc>
          <w:tcPr>
            <w:tcW w:type="dxa" w:w="14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bidi/>
              <w:jc w:val="right"/>
            </w:pPr>
            <w:r>
              <w:rPr>
                <w:sz w:val="21"/>
                <w:szCs w:val="21"/>
                <w:rtl/>
              </w:rPr>
              <w:t xml:space="preserve">٧ شيطان ← أمارة</w:t>
            </w:r>
          </w:p>
        </w:tc>
        <w:tc>
          <w:tcPr>
            <w:tcW w:type="dxa" w:w="17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bidi/>
              <w:jc w:val="right"/>
            </w:pPr>
            <w:r>
              <w:rPr>
                <w:sz w:val="21"/>
                <w:szCs w:val="21"/>
                <w:rtl/>
              </w:rPr>
              <w:t xml:space="preserve">تُزين المعصية، تُقرِّب للحرام</w:t>
            </w:r>
          </w:p>
        </w:tc>
        <w:tc>
          <w:tcPr>
            <w:tcW w:type="dxa" w:w="21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bidi/>
              <w:jc w:val="right"/>
            </w:pPr>
            <w:r>
              <w:rPr>
                <w:sz w:val="21"/>
                <w:szCs w:val="21"/>
                <w:rtl/>
              </w:rPr>
              <w:t xml:space="preserve">يستعيذ، يحظر، يبلغ</w:t>
            </w:r>
          </w:p>
        </w:tc>
        <w:tc>
          <w:tcPr>
            <w:tcW w:type="dxa" w:w="20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bidi/>
              <w:jc w:val="right"/>
            </w:pPr>
            <w:r>
              <w:rPr>
                <w:sz w:val="21"/>
                <w:szCs w:val="21"/>
                <w:rtl/>
              </w:rPr>
              <w:t xml:space="preserve">تحييد الإغواء</w:t>
            </w:r>
          </w:p>
        </w:tc>
      </w:tr>
      <w:tr>
        <w:tc>
          <w:tcPr>
            <w:tcW w:type="dxa" w:w="1400"/>
            <w:tcBorders>
              <w:top w:val="single" w:color="CCCCCC" w:sz="1"/>
              <w:left w:val="single" w:color="CCCCCC" w:sz="1"/>
              <w:bottom w:val="single" w:color="CCCCCC" w:sz="1"/>
              <w:right w:val="single" w:color="CCCCCC" w:sz="1"/>
            </w:tcBorders>
            <w:shd w:fill="E8F0F7" w:val="clear"/>
            <w:tcMar>
              <w:top w:type="dxa" w:w="80"/>
              <w:left w:type="dxa" w:w="120"/>
              <w:bottom w:type="dxa" w:w="80"/>
              <w:right w:type="dxa" w:w="120"/>
            </w:tcMar>
          </w:tcPr>
          <w:p>
            <w:pPr>
              <w:bidi/>
              <w:jc w:val="right"/>
            </w:pPr>
            <w:r>
              <w:rPr>
                <w:sz w:val="21"/>
                <w:szCs w:val="21"/>
                <w:rtl/>
              </w:rPr>
              <w:t xml:space="preserve">٨ رحمة ← مطمئنة</w:t>
            </w:r>
          </w:p>
        </w:tc>
        <w:tc>
          <w:tcPr>
            <w:tcW w:type="dxa" w:w="1700"/>
            <w:tcBorders>
              <w:top w:val="single" w:color="CCCCCC" w:sz="1"/>
              <w:left w:val="single" w:color="CCCCCC" w:sz="1"/>
              <w:bottom w:val="single" w:color="CCCCCC" w:sz="1"/>
              <w:right w:val="single" w:color="CCCCCC" w:sz="1"/>
            </w:tcBorders>
            <w:shd w:fill="E8F0F7" w:val="clear"/>
            <w:tcMar>
              <w:top w:type="dxa" w:w="80"/>
              <w:left w:type="dxa" w:w="120"/>
              <w:bottom w:type="dxa" w:w="80"/>
              <w:right w:type="dxa" w:w="120"/>
            </w:tcMar>
          </w:tcPr>
          <w:p>
            <w:pPr>
              <w:bidi/>
              <w:jc w:val="right"/>
            </w:pPr>
            <w:r>
              <w:rPr>
                <w:sz w:val="21"/>
                <w:szCs w:val="21"/>
                <w:rtl/>
              </w:rPr>
              <w:t xml:space="preserve">تُضعف الإحساس بالرحمة</w:t>
            </w:r>
          </w:p>
        </w:tc>
        <w:tc>
          <w:tcPr>
            <w:tcW w:type="dxa" w:w="2100"/>
            <w:tcBorders>
              <w:top w:val="single" w:color="CCCCCC" w:sz="1"/>
              <w:left w:val="single" w:color="CCCCCC" w:sz="1"/>
              <w:bottom w:val="single" w:color="CCCCCC" w:sz="1"/>
              <w:right w:val="single" w:color="CCCCCC" w:sz="1"/>
            </w:tcBorders>
            <w:shd w:fill="E8F0F7" w:val="clear"/>
            <w:tcMar>
              <w:top w:type="dxa" w:w="80"/>
              <w:left w:type="dxa" w:w="120"/>
              <w:bottom w:type="dxa" w:w="80"/>
              <w:right w:type="dxa" w:w="120"/>
            </w:tcMar>
          </w:tcPr>
          <w:p>
            <w:pPr>
              <w:bidi/>
              <w:jc w:val="right"/>
            </w:pPr>
            <w:r>
              <w:rPr>
                <w:sz w:val="21"/>
                <w:szCs w:val="21"/>
                <w:rtl/>
              </w:rPr>
              <w:t xml:space="preserve">يدعو، يشكر، يستغفر</w:t>
            </w:r>
          </w:p>
        </w:tc>
        <w:tc>
          <w:tcPr>
            <w:tcW w:type="dxa" w:w="2060"/>
            <w:tcBorders>
              <w:top w:val="single" w:color="CCCCCC" w:sz="1"/>
              <w:left w:val="single" w:color="CCCCCC" w:sz="1"/>
              <w:bottom w:val="single" w:color="CCCCCC" w:sz="1"/>
              <w:right w:val="single" w:color="CCCCCC" w:sz="1"/>
            </w:tcBorders>
            <w:shd w:fill="E8F0F7" w:val="clear"/>
            <w:tcMar>
              <w:top w:type="dxa" w:w="80"/>
              <w:left w:type="dxa" w:w="120"/>
              <w:bottom w:type="dxa" w:w="80"/>
              <w:right w:type="dxa" w:w="120"/>
            </w:tcMar>
          </w:tcPr>
          <w:p>
            <w:pPr>
              <w:bidi/>
              <w:jc w:val="right"/>
            </w:pPr>
            <w:r>
              <w:rPr>
                <w:sz w:val="21"/>
                <w:szCs w:val="21"/>
                <w:rtl/>
              </w:rPr>
              <w:t xml:space="preserve">دوام السكينة</w:t>
            </w:r>
          </w:p>
        </w:tc>
      </w:tr>
    </w:tbl>
    <w:p>
      <w:r>
        <w:t xml:space="preserve"/>
      </w:r>
    </w:p>
    <w:p>
      <w:pPr>
        <w:pStyle w:val="Heading2"/>
        <w:bidi/>
        <w:jc w:val="right"/>
      </w:pPr>
      <w:r>
        <w:rPr>
          <w:b/>
          <w:bCs/>
          <w:color w:val="2E74B5"/>
          <w:sz w:val="28"/>
          <w:szCs w:val="28"/>
          <w:rtl/>
        </w:rPr>
        <w:t xml:space="preserve">شكل هرمي: تكامل الأضلاع في بناء الخليفة الرقمي</w:t>
      </w:r>
    </w:p>
    <w:p>
      <w:pPr>
        <w:bidi/>
        <w:spacing w:after="120"/>
        <w:jc w:val="right"/>
      </w:pPr>
      <w:r>
        <w:rPr>
          <w:sz w:val="24"/>
          <w:szCs w:val="24"/>
          <w:rtl/>
        </w:rPr>
        <w:t xml:space="preserve">يمكن تصور الهرم النفسي (الأمارة في القاع، المطمئنة في القمة) والأضلاع الثمانية كأسهم تؤثر على مستوياته. الخليفة الرقمي هو من ينجح في جعل الأسهم الصاعدة (٢،٤،٥،٦،٨) أقوى من الأسهم الهابطة (١،٣،٧).</w:t>
      </w:r>
    </w:p>
    <w:p>
      <w:r>
        <w:t xml:space="preserve"/>
      </w:r>
    </w:p>
    <w:tbl>
      <w:tblPr>
        <w:tblW w:type="dxa" w:w="9360"/>
        <w:tblBorders>
          <w:top w:val="single" w:color="auto" w:sz="4"/>
          <w:start w:val="single" w:color="auto" w:sz="4"/>
          <w:bottom w:val="single" w:color="auto" w:sz="4"/>
          <w:end w:val="single" w:color="auto" w:sz="4"/>
          <w:insideH w:val="single" w:color="auto" w:sz="4"/>
          <w:insideV w:val="single" w:color="auto" w:sz="4"/>
        </w:tblBorders>
      </w:tblPr>
      <w:tblGrid>
        <w:gridCol w:w="3500"/>
        <w:gridCol w:w="5860"/>
      </w:tblGrid>
      <w:tr>
        <w:tc>
          <w:tcPr>
            <w:tcW w:type="dxa" w:w="3500"/>
            <w:tcBorders>
              <w:top w:val="single" w:color="CCCCCC" w:sz="1"/>
              <w:left w:val="single" w:color="CCCCCC" w:sz="1"/>
              <w:bottom w:val="single" w:color="CCCCCC" w:sz="1"/>
              <w:right w:val="single" w:color="CCCCCC" w:sz="1"/>
            </w:tcBorders>
            <w:shd w:fill="1F4E79" w:val="clear"/>
            <w:tcMar>
              <w:top w:type="dxa" w:w="120"/>
              <w:left w:type="dxa" w:w="120"/>
              <w:bottom w:type="dxa" w:w="120"/>
              <w:right w:type="dxa" w:w="120"/>
            </w:tcMar>
          </w:tcPr>
          <w:p>
            <w:pPr>
              <w:bidi/>
              <w:jc w:val="center"/>
            </w:pPr>
            <w:r>
              <w:rPr>
                <w:b/>
                <w:bCs/>
                <w:color w:val="FFFFFF"/>
                <w:sz w:val="22"/>
                <w:szCs w:val="22"/>
                <w:rtl/>
              </w:rPr>
              <w:t xml:space="preserve">قمة السكينة - النفس المطمئنة</w:t>
            </w:r>
          </w:p>
        </w:tc>
        <w:tc>
          <w:tcPr>
            <w:tcW w:type="dxa" w:w="5860"/>
            <w:tcBorders>
              <w:top w:val="single" w:color="CCCCCC" w:sz="1"/>
              <w:left w:val="single" w:color="CCCCCC" w:sz="1"/>
              <w:bottom w:val="single" w:color="CCCCCC" w:sz="1"/>
              <w:right w:val="single" w:color="CCCCCC" w:sz="1"/>
            </w:tcBorders>
            <w:shd w:fill="EEF3F8" w:val="clear"/>
            <w:tcMar>
              <w:top w:type="dxa" w:w="120"/>
              <w:left w:type="dxa" w:w="120"/>
              <w:bottom w:type="dxa" w:w="120"/>
              <w:right w:type="dxa" w:w="120"/>
            </w:tcMar>
          </w:tcPr>
          <w:p>
            <w:pPr>
              <w:bidi/>
              <w:jc w:val="right"/>
            </w:pPr>
            <w:r>
              <w:rPr>
                <w:sz w:val="21"/>
                <w:szCs w:val="21"/>
                <w:rtl/>
              </w:rPr>
              <w:t xml:space="preserve">الضلع ٢ (تقوى ← مطمئنة) | الضلع ٤ (تقوى ← رحمة) | الضلع ٨ (رحمة ← مطمئنة)</w:t>
            </w:r>
          </w:p>
        </w:tc>
      </w:tr>
      <w:tr>
        <w:tc>
          <w:tcPr>
            <w:tcW w:type="dxa" w:w="3500"/>
            <w:tcBorders>
              <w:top w:val="single" w:color="CCCCCC" w:sz="1"/>
              <w:left w:val="single" w:color="CCCCCC" w:sz="1"/>
              <w:bottom w:val="single" w:color="CCCCCC" w:sz="1"/>
              <w:right w:val="single" w:color="CCCCCC" w:sz="1"/>
            </w:tcBorders>
            <w:shd w:fill="2E74B5" w:val="clear"/>
            <w:tcMar>
              <w:top w:type="dxa" w:w="120"/>
              <w:left w:type="dxa" w:w="120"/>
              <w:bottom w:type="dxa" w:w="120"/>
              <w:right w:type="dxa" w:w="120"/>
            </w:tcMar>
          </w:tcPr>
          <w:p>
            <w:pPr>
              <w:bidi/>
              <w:jc w:val="center"/>
            </w:pPr>
            <w:r>
              <w:rPr>
                <w:b/>
                <w:bCs/>
                <w:color w:val="FFFFFF"/>
                <w:sz w:val="22"/>
                <w:szCs w:val="22"/>
                <w:rtl/>
              </w:rPr>
              <w:t xml:space="preserve">النفس اللوامة - الصراع</w:t>
            </w:r>
          </w:p>
        </w:tc>
        <w:tc>
          <w:tcPr>
            <w:tcW w:type="dxa" w:w="5860"/>
            <w:tcBorders>
              <w:top w:val="single" w:color="CCCCCC" w:sz="1"/>
              <w:left w:val="single" w:color="CCCCCC" w:sz="1"/>
              <w:bottom w:val="single" w:color="CCCCCC" w:sz="1"/>
              <w:right w:val="single" w:color="CCCCCC" w:sz="1"/>
            </w:tcBorders>
            <w:shd w:fill="EEF3F8" w:val="clear"/>
            <w:tcMar>
              <w:top w:type="dxa" w:w="120"/>
              <w:left w:type="dxa" w:w="120"/>
              <w:bottom w:type="dxa" w:w="120"/>
              <w:right w:type="dxa" w:w="120"/>
            </w:tcMar>
          </w:tcPr>
          <w:p>
            <w:pPr>
              <w:bidi/>
              <w:jc w:val="right"/>
            </w:pPr>
            <w:r>
              <w:rPr>
                <w:sz w:val="21"/>
                <w:szCs w:val="21"/>
                <w:rtl/>
              </w:rPr>
              <w:t xml:space="preserve">الضلع ٥ (أمارة ← لوامة) | الضلع ٦ (لوامة ← مطمئنة)</w:t>
            </w:r>
          </w:p>
        </w:tc>
      </w:tr>
      <w:tr>
        <w:tc>
          <w:tcPr>
            <w:tcW w:type="dxa" w:w="3500"/>
            <w:tcBorders>
              <w:top w:val="single" w:color="CCCCCC" w:sz="1"/>
              <w:left w:val="single" w:color="CCCCCC" w:sz="1"/>
              <w:bottom w:val="single" w:color="CCCCCC" w:sz="1"/>
              <w:right w:val="single" w:color="CCCCCC" w:sz="1"/>
            </w:tcBorders>
            <w:shd w:fill="5B9BD5" w:val="clear"/>
            <w:tcMar>
              <w:top w:type="dxa" w:w="120"/>
              <w:left w:type="dxa" w:w="120"/>
              <w:bottom w:type="dxa" w:w="120"/>
              <w:right w:type="dxa" w:w="120"/>
            </w:tcMar>
          </w:tcPr>
          <w:p>
            <w:pPr>
              <w:bidi/>
              <w:jc w:val="center"/>
            </w:pPr>
            <w:r>
              <w:rPr>
                <w:b/>
                <w:bCs/>
                <w:color w:val="FFFFFF"/>
                <w:sz w:val="22"/>
                <w:szCs w:val="22"/>
                <w:rtl/>
              </w:rPr>
              <w:t xml:space="preserve">النفس الأمارة - الانحدار</w:t>
            </w:r>
          </w:p>
        </w:tc>
        <w:tc>
          <w:tcPr>
            <w:tcW w:type="dxa" w:w="5860"/>
            <w:tcBorders>
              <w:top w:val="single" w:color="CCCCCC" w:sz="1"/>
              <w:left w:val="single" w:color="CCCCCC" w:sz="1"/>
              <w:bottom w:val="single" w:color="CCCCCC" w:sz="1"/>
              <w:right w:val="single" w:color="CCCCCC" w:sz="1"/>
            </w:tcBorders>
            <w:shd w:fill="EEF3F8" w:val="clear"/>
            <w:tcMar>
              <w:top w:type="dxa" w:w="120"/>
              <w:left w:type="dxa" w:w="120"/>
              <w:bottom w:type="dxa" w:w="120"/>
              <w:right w:type="dxa" w:w="120"/>
            </w:tcMar>
          </w:tcPr>
          <w:p>
            <w:pPr>
              <w:bidi/>
              <w:jc w:val="right"/>
            </w:pPr>
            <w:r>
              <w:rPr>
                <w:sz w:val="21"/>
                <w:szCs w:val="21"/>
                <w:rtl/>
              </w:rPr>
              <w:t xml:space="preserve">الضلع ١ (فجور ← أمارة) | الضلع ٣ (فجور ← شيطان) | الضلع ٧ (شيطان ← أمارة)</w:t>
            </w:r>
          </w:p>
        </w:tc>
      </w:tr>
    </w:tbl>
    <w:p>
      <w:r>
        <w:t xml:space="preserve"/>
      </w:r>
    </w:p>
    <w:p>
      <w:pPr>
        <w:pStyle w:val="Heading1"/>
        <w:bidi/>
        <w:jc w:val="right"/>
      </w:pPr>
      <w:r>
        <w:rPr>
          <w:b/>
          <w:bCs/>
          <w:color w:val="1F4E79"/>
          <w:sz w:val="36"/>
          <w:szCs w:val="36"/>
          <w:rtl/>
        </w:rPr>
        <w:t xml:space="preserve">ثالثاً: كيف يكون الخليفة الرقمي "مُفعِّلاً" لكل الأضلاع؟</w:t>
      </w:r>
    </w:p>
    <w:p>
      <w:pPr>
        <w:bidi/>
        <w:spacing w:after="120"/>
        <w:jc w:val="right"/>
      </w:pPr>
      <w:r>
        <w:rPr>
          <w:sz w:val="24"/>
          <w:szCs w:val="24"/>
          <w:rtl/>
        </w:rPr>
        <w:t xml:space="preserve">الخليفة الرقمي الواعي هو من يحقق التفعيل المتزامن لجميع الأضلاع:</w:t>
      </w:r>
    </w:p>
    <w:p>
      <w:pPr>
        <w:pStyle w:val="ListParagraph"/>
        <w:numPr>
          <w:ilvl w:val="0"/>
          <w:numId w:val="3"/>
        </w:numPr>
        <w:bidi/>
        <w:spacing w:after="100"/>
        <w:jc w:val="right"/>
      </w:pPr>
      <w:r>
        <w:rPr>
          <w:sz w:val="24"/>
          <w:szCs w:val="24"/>
          <w:rtl/>
        </w:rPr>
        <w:t xml:space="preserve">يحافظ على الضلع الأول بحيث لا يسمح للفجور بأن يستغل الخوارزمية لتغذية الأمارة.</w:t>
      </w:r>
    </w:p>
    <w:p>
      <w:pPr>
        <w:pStyle w:val="ListParagraph"/>
        <w:numPr>
          <w:ilvl w:val="0"/>
          <w:numId w:val="3"/>
        </w:numPr>
        <w:bidi/>
        <w:spacing w:after="100"/>
        <w:jc w:val="right"/>
      </w:pPr>
      <w:r>
        <w:rPr>
          <w:sz w:val="24"/>
          <w:szCs w:val="24"/>
          <w:rtl/>
        </w:rPr>
        <w:t xml:space="preserve">يقوّي الضلع الثاني بجعل التقوى حاضرة حتى في اختياراته الرقمية.</w:t>
      </w:r>
    </w:p>
    <w:p>
      <w:pPr>
        <w:pStyle w:val="ListParagraph"/>
        <w:numPr>
          <w:ilvl w:val="0"/>
          <w:numId w:val="3"/>
        </w:numPr>
        <w:bidi/>
        <w:spacing w:after="100"/>
        <w:jc w:val="right"/>
      </w:pPr>
      <w:r>
        <w:rPr>
          <w:sz w:val="24"/>
          <w:szCs w:val="24"/>
          <w:rtl/>
        </w:rPr>
        <w:t xml:space="preserve">يسدّ الضلع الثالث فلا يترك للشيطان مدخلاً عبر الإدمان أو الغفلة.</w:t>
      </w:r>
    </w:p>
    <w:p>
      <w:pPr>
        <w:pStyle w:val="ListParagraph"/>
        <w:numPr>
          <w:ilvl w:val="0"/>
          <w:numId w:val="3"/>
        </w:numPr>
        <w:bidi/>
        <w:spacing w:after="100"/>
        <w:jc w:val="right"/>
      </w:pPr>
      <w:r>
        <w:rPr>
          <w:sz w:val="24"/>
          <w:szCs w:val="24"/>
          <w:rtl/>
        </w:rPr>
        <w:t xml:space="preserve">يستجلب الضلع الرابع بالدعاء والتفكر والصدقة الرقمية.</w:t>
      </w:r>
    </w:p>
    <w:p>
      <w:pPr>
        <w:pStyle w:val="ListParagraph"/>
        <w:numPr>
          <w:ilvl w:val="0"/>
          <w:numId w:val="3"/>
        </w:numPr>
        <w:bidi/>
        <w:spacing w:after="100"/>
        <w:jc w:val="right"/>
      </w:pPr>
      <w:r>
        <w:rPr>
          <w:sz w:val="24"/>
          <w:szCs w:val="24"/>
          <w:rtl/>
        </w:rPr>
        <w:t xml:space="preserve">يُفعّل الضلع الخامس عبر المحاسبة اليومية والتوبة السريعة من الزلات.</w:t>
      </w:r>
    </w:p>
    <w:p>
      <w:pPr>
        <w:pStyle w:val="ListParagraph"/>
        <w:numPr>
          <w:ilvl w:val="0"/>
          <w:numId w:val="3"/>
        </w:numPr>
        <w:bidi/>
        <w:spacing w:after="100"/>
        <w:jc w:val="right"/>
      </w:pPr>
      <w:r>
        <w:rPr>
          <w:sz w:val="24"/>
          <w:szCs w:val="24"/>
          <w:rtl/>
        </w:rPr>
        <w:t xml:space="preserve">يثبّت الضلع السادس بالمثابرة على الطاعات الرقمية.</w:t>
      </w:r>
    </w:p>
    <w:p>
      <w:pPr>
        <w:pStyle w:val="ListParagraph"/>
        <w:numPr>
          <w:ilvl w:val="0"/>
          <w:numId w:val="3"/>
        </w:numPr>
        <w:bidi/>
        <w:spacing w:after="100"/>
        <w:jc w:val="right"/>
      </w:pPr>
      <w:r>
        <w:rPr>
          <w:sz w:val="24"/>
          <w:szCs w:val="24"/>
          <w:rtl/>
        </w:rPr>
        <w:t xml:space="preserve">يحيد الضلع السابع بالاستعاذة وعدم الانسياق خلف الإغراءات.</w:t>
      </w:r>
    </w:p>
    <w:p>
      <w:pPr>
        <w:pStyle w:val="ListParagraph"/>
        <w:numPr>
          <w:ilvl w:val="0"/>
          <w:numId w:val="3"/>
        </w:numPr>
        <w:bidi/>
        <w:spacing w:after="100"/>
        <w:jc w:val="right"/>
      </w:pPr>
      <w:r>
        <w:rPr>
          <w:sz w:val="24"/>
          <w:szCs w:val="24"/>
          <w:rtl/>
        </w:rPr>
        <w:t xml:space="preserve">ينعم بالضلع الثامن نتيجة لكل ما سبق، فيشعر بالسكينة حتى وهو يستخدم التقنية.</w:t>
      </w:r>
    </w:p>
    <w:p>
      <w:r>
        <w:t xml:space="preserve"/>
      </w:r>
    </w:p>
    <w:p>
      <w:pPr>
        <w:bidi/>
        <w:spacing w:after="120"/>
        <w:jc w:val="right"/>
      </w:pPr>
      <w:r>
        <w:rPr>
          <w:sz w:val="24"/>
          <w:szCs w:val="24"/>
          <w:rtl/>
        </w:rPr>
        <w:t xml:space="preserve">هذا التفعيل المتزامن هو ما يجعل الخليفة الرقمي مختلفاً عن المستخدم العادي. إنه ليس إنساناً مثالياً لا يخطئ، بل هو من يمتلك جهاز إنذار مبكر (اللوامة) يعيده سريعاً إلى المسار كلما انزلق.</w:t>
      </w:r>
    </w:p>
    <w:p>
      <w:r>
        <w:t xml:space="preserve"/>
      </w:r>
    </w:p>
    <w:p>
      <w:pPr>
        <w:pStyle w:val="Heading1"/>
        <w:bidi/>
        <w:jc w:val="right"/>
      </w:pPr>
      <w:r>
        <w:rPr>
          <w:b/>
          <w:bCs/>
          <w:color w:val="1F4E79"/>
          <w:sz w:val="36"/>
          <w:szCs w:val="36"/>
          <w:rtl/>
        </w:rPr>
        <w:t xml:space="preserve">رابعاً: دلالات الشكل البياني للباحث والمربي</w:t>
      </w:r>
    </w:p>
    <w:p>
      <w:pPr>
        <w:bidi/>
        <w:spacing w:after="120"/>
        <w:jc w:val="right"/>
      </w:pPr>
      <w:r>
        <w:rPr>
          <w:sz w:val="24"/>
          <w:szCs w:val="24"/>
          <w:rtl/>
        </w:rPr>
        <w:t xml:space="preserve">هذا التمثيل البياني ليس مجرد توضيح، بل له وظائف عملية:</w:t>
      </w:r>
    </w:p>
    <w:p>
      <w:pPr>
        <w:pStyle w:val="ListParagraph"/>
        <w:numPr>
          <w:ilvl w:val="0"/>
          <w:numId w:val="4"/>
        </w:numPr>
        <w:bidi/>
        <w:spacing w:after="100"/>
        <w:jc w:val="right"/>
      </w:pPr>
      <w:r>
        <w:rPr>
          <w:sz w:val="24"/>
          <w:szCs w:val="24"/>
          <w:rtl/>
        </w:rPr>
        <w:t xml:space="preserve">للباحث: يقدّم خريطة متكاملة لاختبار فرضيات النموذج، ويمكن تطوير مقاييس إحصائية تقيس مدى تفعيل كل ضلع لدى الأفراد.</w:t>
      </w:r>
    </w:p>
    <w:p>
      <w:pPr>
        <w:pStyle w:val="ListParagraph"/>
        <w:numPr>
          <w:ilvl w:val="0"/>
          <w:numId w:val="4"/>
        </w:numPr>
        <w:bidi/>
        <w:spacing w:after="100"/>
        <w:jc w:val="right"/>
      </w:pPr>
      <w:r>
        <w:rPr>
          <w:sz w:val="24"/>
          <w:szCs w:val="24"/>
          <w:rtl/>
        </w:rPr>
        <w:t xml:space="preserve">للمربي: يمكن استخدامه كأداة تعليمية مع الطلاب، ليروا كيف تؤثر تصرفاتهم الرقمية على أضلاعهم النفسية.</w:t>
      </w:r>
    </w:p>
    <w:p>
      <w:pPr>
        <w:pStyle w:val="ListParagraph"/>
        <w:numPr>
          <w:ilvl w:val="0"/>
          <w:numId w:val="4"/>
        </w:numPr>
        <w:bidi/>
        <w:spacing w:after="100"/>
        <w:jc w:val="right"/>
      </w:pPr>
      <w:r>
        <w:rPr>
          <w:sz w:val="24"/>
          <w:szCs w:val="24"/>
          <w:rtl/>
        </w:rPr>
        <w:t xml:space="preserve">للمرشد: يمكن توظيفه في جلسات الإرشاد لتحليل المشكلات الرقمية لدى المسترشدين، وتحديد أي الأضلاع أضعف وأيها يحتاج تقوية.</w:t>
      </w:r>
    </w:p>
    <w:p>
      <w:r>
        <w:t xml:space="preserve"/>
      </w:r>
    </w:p>
    <w:p>
      <w:pPr>
        <w:bidi/>
        <w:spacing w:after="120"/>
        <w:jc w:val="right"/>
      </w:pPr>
      <w:r>
        <w:rPr>
          <w:sz w:val="24"/>
          <w:szCs w:val="24"/>
          <w:rtl/>
        </w:rPr>
        <w:t xml:space="preserve">كما يبيّن الشكل أن المعركة الرقمية ليست بسيطة، بل هي حرب شاملة على جميع جبهات النفس، وأن النجاح فيها يتطلب استراتيجية متكاملة تستهدف كل ضلع بما يناسبه.</w:t>
      </w:r>
    </w:p>
    <w:p>
      <w:r>
        <w:t xml:space="preserve"/>
      </w:r>
    </w:p>
    <w:p>
      <w:pPr>
        <w:pStyle w:val="Heading1"/>
        <w:bidi/>
        <w:jc w:val="right"/>
      </w:pPr>
      <w:r>
        <w:rPr>
          <w:b/>
          <w:bCs/>
          <w:color w:val="1F4E79"/>
          <w:sz w:val="36"/>
          <w:szCs w:val="36"/>
          <w:rtl/>
        </w:rPr>
        <w:t xml:space="preserve">خامساً: تحديات تطبيقية في تفعيل الأضلاع</w:t>
      </w:r>
    </w:p>
    <w:p>
      <w:pPr>
        <w:bidi/>
        <w:spacing w:after="120"/>
        <w:jc w:val="right"/>
      </w:pPr>
      <w:r>
        <w:rPr>
          <w:sz w:val="24"/>
          <w:szCs w:val="24"/>
          <w:rtl/>
        </w:rPr>
        <w:t xml:space="preserve">لا بد من الإشارة إلى أن تفعيل الأضلاع الثمانية في وقت واحد ليس بالأمر الهين، فهو يحتاج إلى:</w:t>
      </w:r>
    </w:p>
    <w:p>
      <w:pPr>
        <w:pStyle w:val="ListParagraph"/>
        <w:numPr>
          <w:ilvl w:val="0"/>
          <w:numId w:val="5"/>
        </w:numPr>
        <w:bidi/>
        <w:spacing w:after="100"/>
        <w:jc w:val="right"/>
      </w:pPr>
      <w:r>
        <w:rPr>
          <w:sz w:val="24"/>
          <w:szCs w:val="24"/>
          <w:rtl/>
        </w:rPr>
        <w:t xml:space="preserve">وعي نظري (معرفة الأضلاع وتأثير الخوارزمية عليها).</w:t>
      </w:r>
    </w:p>
    <w:p>
      <w:pPr>
        <w:pStyle w:val="ListParagraph"/>
        <w:numPr>
          <w:ilvl w:val="0"/>
          <w:numId w:val="5"/>
        </w:numPr>
        <w:bidi/>
        <w:spacing w:after="100"/>
        <w:jc w:val="right"/>
      </w:pPr>
      <w:r>
        <w:rPr>
          <w:sz w:val="24"/>
          <w:szCs w:val="24"/>
          <w:rtl/>
        </w:rPr>
        <w:t xml:space="preserve">إرادة مجاهدة (قوة دافعة للتغيير).</w:t>
      </w:r>
    </w:p>
    <w:p>
      <w:pPr>
        <w:pStyle w:val="ListParagraph"/>
        <w:numPr>
          <w:ilvl w:val="0"/>
          <w:numId w:val="5"/>
        </w:numPr>
        <w:bidi/>
        <w:spacing w:after="100"/>
        <w:jc w:val="right"/>
      </w:pPr>
      <w:r>
        <w:rPr>
          <w:sz w:val="24"/>
          <w:szCs w:val="24"/>
          <w:rtl/>
        </w:rPr>
        <w:t xml:space="preserve">بيئة داعمة (أسرة، أصدقاء، مؤسسات).</w:t>
      </w:r>
    </w:p>
    <w:p>
      <w:pPr>
        <w:pStyle w:val="ListParagraph"/>
        <w:numPr>
          <w:ilvl w:val="0"/>
          <w:numId w:val="5"/>
        </w:numPr>
        <w:bidi/>
        <w:spacing w:after="100"/>
        <w:jc w:val="right"/>
      </w:pPr>
      <w:r>
        <w:rPr>
          <w:sz w:val="24"/>
          <w:szCs w:val="24"/>
          <w:rtl/>
        </w:rPr>
        <w:t xml:space="preserve">مرونة وتجاوز للانتكاسات (فالنفس البشرية غير كاملة).</w:t>
      </w:r>
    </w:p>
    <w:p>
      <w:r>
        <w:t xml:space="preserve"/>
      </w:r>
    </w:p>
    <w:p>
      <w:pPr>
        <w:bidi/>
        <w:spacing w:after="120"/>
        <w:jc w:val="right"/>
      </w:pPr>
      <w:r>
        <w:rPr>
          <w:sz w:val="24"/>
          <w:szCs w:val="24"/>
          <w:rtl/>
        </w:rPr>
        <w:t xml:space="preserve">ولذلك فإن النموذج لا يدّعي تقديم حل سحري، بل خريطة طريق تحتاج إلى السير فيها خطوة خطوة، مع الاستعانة بالله أولاً وآخراً.</w:t>
      </w:r>
    </w:p>
    <w:p>
      <w:r>
        <w:t xml:space="preserve"/>
      </w:r>
    </w:p>
    <w:p>
      <w:pPr>
        <w:pStyle w:val="Heading1"/>
        <w:bidi/>
        <w:jc w:val="right"/>
      </w:pPr>
      <w:r>
        <w:rPr>
          <w:b/>
          <w:bCs/>
          <w:color w:val="1F4E79"/>
          <w:sz w:val="36"/>
          <w:szCs w:val="36"/>
          <w:rtl/>
        </w:rPr>
        <w:t xml:space="preserve">خلاصة الفصل السابع</w:t>
      </w:r>
    </w:p>
    <w:p>
      <w:pPr>
        <w:bidi/>
        <w:spacing w:after="120"/>
        <w:jc w:val="right"/>
      </w:pPr>
      <w:r>
        <w:rPr>
          <w:sz w:val="24"/>
          <w:szCs w:val="24"/>
          <w:rtl/>
        </w:rPr>
        <w:t xml:space="preserve">في هذا الفصل، قدّمنا تمثيلاً بيانياً للأضلاع الثمانية في مواجهة التحدي الرقمي، موضّحين:</w:t>
      </w:r>
    </w:p>
    <w:p>
      <w:pPr>
        <w:pStyle w:val="ListParagraph"/>
        <w:numPr>
          <w:ilvl w:val="0"/>
          <w:numId w:val="6"/>
        </w:numPr>
        <w:bidi/>
        <w:spacing w:after="100"/>
        <w:jc w:val="right"/>
      </w:pPr>
      <w:r>
        <w:rPr>
          <w:sz w:val="24"/>
          <w:szCs w:val="24"/>
          <w:rtl/>
        </w:rPr>
        <w:t xml:space="preserve">كيف تستهدف الخوارزمية كل ضلع على حدة.</w:t>
      </w:r>
    </w:p>
    <w:p>
      <w:pPr>
        <w:pStyle w:val="ListParagraph"/>
        <w:numPr>
          <w:ilvl w:val="0"/>
          <w:numId w:val="6"/>
        </w:numPr>
        <w:bidi/>
        <w:spacing w:after="100"/>
        <w:jc w:val="right"/>
      </w:pPr>
      <w:r>
        <w:rPr>
          <w:sz w:val="24"/>
          <w:szCs w:val="24"/>
          <w:rtl/>
        </w:rPr>
        <w:t xml:space="preserve">كيف يُفعّل الخليفة الرقمي الأضلاع لتحويل الفضاء الرقمي إلى ميدان تزكية لا إلى مستنقع انحدار.</w:t>
      </w:r>
    </w:p>
    <w:p>
      <w:pPr>
        <w:pStyle w:val="ListParagraph"/>
        <w:numPr>
          <w:ilvl w:val="0"/>
          <w:numId w:val="6"/>
        </w:numPr>
        <w:bidi/>
        <w:spacing w:after="100"/>
        <w:jc w:val="right"/>
      </w:pPr>
      <w:r>
        <w:rPr>
          <w:sz w:val="24"/>
          <w:szCs w:val="24"/>
          <w:rtl/>
        </w:rPr>
        <w:t xml:space="preserve">كيف يتكامل هذا التفعيل لتحقيق التوازن النفسي والارتقاء نحو المطمئنة.</w:t>
      </w:r>
    </w:p>
    <w:p>
      <w:r>
        <w:t xml:space="preserve"/>
      </w:r>
    </w:p>
    <w:p>
      <w:pPr>
        <w:bidi/>
        <w:spacing w:after="120"/>
        <w:jc w:val="right"/>
      </w:pPr>
      <w:r>
        <w:rPr>
          <w:sz w:val="24"/>
          <w:szCs w:val="24"/>
          <w:rtl/>
        </w:rPr>
        <w:t xml:space="preserve">وهكذا يكتمل المشروع: من النموذج النظري إلى التشخيص الواقعي إلى الحل العملي إلى الخريطة التفاعلية. يبقى الدور على القارئ ليحوّل هذه الخريطة إلى واقع حي في حياته.</w:t>
      </w:r>
    </w:p>
    <w:p>
      <w:r>
        <w:t xml:space="preserve"/>
      </w:r>
    </w:p>
    <w:p>
      <w:pPr>
        <w:pBdr>
          <w:top w:val="single" w:color="2E74B5" w:sz="4" w:space="6"/>
          <w:bottom w:val="single" w:color="2E74B5" w:sz="4" w:space="6"/>
          <w:left w:val="single" w:color="2E74B5" w:sz="4" w:space="6"/>
          <w:right w:val="single" w:color="2E74B5" w:sz="4" w:space="6"/>
        </w:pBdr>
        <w:shd w:fill="EEF3F8" w:val="clear"/>
        <w:bidi/>
        <w:spacing w:before="200" w:after="200"/>
        <w:jc w:val="center"/>
      </w:pPr>
      <w:r>
        <w:rPr>
          <w:i/>
          <w:iCs/>
          <w:color w:val="1F4E79"/>
          <w:sz w:val="24"/>
          <w:szCs w:val="24"/>
          <w:rtl/>
        </w:rPr>
        <w:t xml:space="preserve">"إن هذه الأضلاع الثمانية ليست مجرد خطوط في رسم بياني، بل هي شرايين الحياة الروحية في العصر الرقمي. من استطاع أن يحافظ عليها نابضة بالتقوى، استطاع أن يكون خليفة حتى في عالم الخوارزميات."</w:t>
      </w:r>
    </w:p>
    <w:p>
      <w:r>
        <w:t xml:space="preserve"/>
      </w:r>
    </w:p>
    <w:p>
      <w:pPr>
        <w:pStyle w:val="Heading1"/>
        <w:bidi/>
        <w:jc w:val="right"/>
      </w:pPr>
      <w:r>
        <w:rPr>
          <w:b/>
          <w:bCs/>
          <w:color w:val="1F4E79"/>
          <w:sz w:val="36"/>
          <w:szCs w:val="36"/>
          <w:rtl/>
        </w:rPr>
        <w:t xml:space="preserve">مراجع الفصل السابع</w:t>
      </w:r>
    </w:p>
    <w:p>
      <w:pPr>
        <w:pStyle w:val="ListParagraph"/>
        <w:numPr>
          <w:ilvl w:val="0"/>
          <w:numId w:val="7"/>
        </w:numPr>
        <w:bidi/>
        <w:spacing w:after="100"/>
        <w:jc w:val="right"/>
      </w:pPr>
      <w:r>
        <w:rPr>
          <w:sz w:val="22"/>
          <w:szCs w:val="22"/>
          <w:rtl/>
        </w:rPr>
        <w:t xml:space="preserve">Fogg, B.J. (2019). Minuscules Habitudes. Houghton Mifflin. (الفصل ٣ عن تصميم السلوك).</w:t>
      </w:r>
    </w:p>
    <w:p>
      <w:pPr>
        <w:pStyle w:val="ListParagraph"/>
        <w:numPr>
          <w:ilvl w:val="0"/>
          <w:numId w:val="7"/>
        </w:numPr>
        <w:bidi/>
        <w:spacing w:after="100"/>
        <w:jc w:val="right"/>
      </w:pPr>
      <w:r>
        <w:rPr>
          <w:sz w:val="22"/>
          <w:szCs w:val="22"/>
          <w:rtl/>
        </w:rPr>
        <w:t xml:space="preserve">Alter, A. (2017). Irresistible. Penguin Press. (عن آليات الإدمان الرقمي).</w:t>
      </w:r>
    </w:p>
    <w:p>
      <w:pPr>
        <w:pStyle w:val="ListParagraph"/>
        <w:numPr>
          <w:ilvl w:val="0"/>
          <w:numId w:val="7"/>
        </w:numPr>
        <w:bidi/>
        <w:spacing w:after="100"/>
        <w:jc w:val="right"/>
      </w:pPr>
      <w:r>
        <w:rPr>
          <w:sz w:val="22"/>
          <w:szCs w:val="22"/>
          <w:rtl/>
        </w:rPr>
        <w:t xml:space="preserve">ابن القيم. مدارج السالكين. (باب مجاهدة النفس).</w:t>
      </w:r>
    </w:p>
    <w:p>
      <w:pPr>
        <w:pStyle w:val="ListParagraph"/>
        <w:numPr>
          <w:ilvl w:val="0"/>
          <w:numId w:val="7"/>
        </w:numPr>
        <w:bidi/>
        <w:spacing w:after="100"/>
        <w:jc w:val="right"/>
      </w:pPr>
      <w:r>
        <w:rPr>
          <w:sz w:val="22"/>
          <w:szCs w:val="22"/>
          <w:rtl/>
        </w:rPr>
        <w:t xml:space="preserve">طه عبد الرحمن. روح الحداثة. (مفهوم الائتمان والاستخلاف).</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abstractNum w:abstractNumId="4" w15:restartNumberingAfterBreak="0">
    <w:multiLevelType w:val="hybridMultilevel"/>
    <w:lvl w:ilvl="0" w15:tentative="1">
      <w:start w:val="1"/>
      <w:numFmt w:val="decimal"/>
      <w:lvlText w:val="%1."/>
      <w:lvlJc w:val="left"/>
      <w:pPr>
        <w:ind w:left="720" w:hanging="360"/>
      </w:pPr>
    </w:lvl>
  </w:abstractNum>
  <w:abstractNum w:abstractNumId="5" w15:restartNumberingAfterBreak="0">
    <w:multiLevelType w:val="hybridMultilevel"/>
    <w:lvl w:ilvl="0" w15:tentative="1">
      <w:start w:val="1"/>
      <w:numFmt w:val="bullet"/>
      <w:lvlText w:val="•"/>
      <w:lvlJc w:val="left"/>
      <w:pPr>
        <w:ind w:left="720" w:hanging="360"/>
      </w:pPr>
    </w:lvl>
  </w:abstractNum>
  <w:abstractNum w:abstractNumId="6" w15:restartNumberingAfterBreak="0">
    <w:multiLevelType w:val="hybridMultilevel"/>
    <w:lvl w:ilvl="0" w15:tentative="1">
      <w:start w:val="1"/>
      <w:numFmt w:val="bullet"/>
      <w:lvlText w:val="•"/>
      <w:lvlJc w:val="left"/>
      <w:pPr>
        <w:ind w:left="720" w:hanging="360"/>
      </w:pPr>
    </w:lvl>
  </w:abstractNum>
  <w:abstractNum w:abstractNumId="7"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 w:numId="4">
    <w:abstractNumId w:val="5"/>
    <w:lvlOverride w:ilvl="0">
      <w:startOverride w:val="1"/>
    </w:lvlOverride>
  </w:num>
  <w:num w:numId="5">
    <w:abstractNumId w:val="4"/>
    <w:lvlOverride w:ilvl="0">
      <w:startOverride w:val="1"/>
    </w:lvlOverride>
  </w:num>
  <w:num w:numId="6">
    <w:abstractNumId w:val="6"/>
    <w:lvlOverride w:ilvl="0">
      <w:startOverride w:val="1"/>
    </w:lvlOverride>
  </w:num>
  <w:num w:numId="7">
    <w:abstractNumId w:val="7"/>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4"/>
        <w:szCs w:val="24"/>
        <w:rtl/>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Heading1">
    <w:name w:val="Heading 1"/>
    <w:basedOn w:val="Normal"/>
    <w:next w:val="Normal"/>
    <w:qFormat/>
    <w:pPr>
      <w:bidi/>
      <w:spacing w:before="300" w:after="200"/>
      <w:jc w:val="right"/>
      <w:outlineLvl w:val="0"/>
    </w:pPr>
    <w:rPr>
      <w:rFonts w:ascii="Arial" w:cs="Arial" w:eastAsia="Arial" w:hAnsi="Arial"/>
      <w:b/>
      <w:bCs/>
      <w:color w:val="1F4E79"/>
      <w:sz w:val="36"/>
      <w:szCs w:val="36"/>
    </w:rPr>
  </w:style>
  <w:style w:type="paragraph" w:styleId="Heading2">
    <w:name w:val="Heading 2"/>
    <w:basedOn w:val="Normal"/>
    <w:next w:val="Normal"/>
    <w:qFormat/>
    <w:pPr>
      <w:bidi/>
      <w:spacing w:before="240" w:after="160"/>
      <w:jc w:val="right"/>
      <w:outlineLvl w:val="1"/>
    </w:pPr>
    <w:rPr>
      <w:rFonts w:ascii="Arial" w:cs="Arial" w:eastAsia="Arial" w:hAnsi="Arial"/>
      <w:b/>
      <w:bCs/>
      <w:color w:val="2E74B5"/>
      <w:sz w:val="28"/>
      <w:szCs w:val="28"/>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2026-02-23T15:11:53.212Z</dcterms:created>
  <dcterms:modified xsi:type="dcterms:W3CDTF">2026-02-23T15:11:53.212Z</dcterms:modified>
</cp:coreProperties>
</file>

<file path=docProps/custom.xml><?xml version="1.0" encoding="utf-8"?>
<Properties xmlns="http://schemas.openxmlformats.org/officeDocument/2006/custom-properties" xmlns:vt="http://schemas.openxmlformats.org/officeDocument/2006/docPropsVTypes"/>
</file>