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200" w:before="800"/>
        <w:jc w:val="center"/>
      </w:pPr>
      <w:r>
        <w:rPr>
          <w:rFonts w:ascii="Traditional Arabic" w:cs="Traditional Arabic" w:eastAsia="Traditional Arabic" w:hAnsi="Traditional Arabic"/>
          <w:b/>
          <w:bCs/>
          <w:i w:val="false"/>
          <w:iCs w:val="false"/>
          <w:color w:val="1B2A4A"/>
          <w:sz w:val="44"/>
          <w:szCs w:val="44"/>
          <w:rtl/>
        </w:rPr>
        <w:t xml:space="preserve">من "تحقيق الذات" إلى "الفلاح"</w:t>
      </w:r>
    </w:p>
    <w:p>
      <w:pPr>
        <w:bidi/>
        <w:spacing w:after="400"/>
        <w:jc w:val="center"/>
      </w:pPr>
      <w:r>
        <w:rPr>
          <w:rFonts w:ascii="Traditional Arabic" w:cs="Traditional Arabic" w:eastAsia="Traditional Arabic" w:hAnsi="Traditional Arabic"/>
          <w:b/>
          <w:bCs/>
          <w:i w:val="false"/>
          <w:iCs w:val="false"/>
          <w:color w:val="0F6B72"/>
          <w:sz w:val="30"/>
          <w:szCs w:val="30"/>
          <w:rtl/>
        </w:rPr>
        <w:t xml:space="preserve">دراسة مقارنة موسعة ومعمّقة بين هرم أبراهام ماسلو والنموذج الاستخلافي لعبد السلام الزراع</w:t>
      </w:r>
    </w:p>
    <w:p>
      <w:pPr>
        <w:bidi/>
        <w:spacing w:after="900"/>
        <w:jc w:val="center"/>
      </w:pPr>
      <w:r>
        <w:rPr>
          <w:rFonts w:ascii="Traditional Arabic" w:cs="Traditional Arabic" w:eastAsia="Traditional Arabic" w:hAnsi="Traditional Arabic"/>
          <w:b w:val="false"/>
          <w:bCs w:val="false"/>
          <w:i/>
          <w:iCs/>
          <w:color w:val="1B2A4A"/>
          <w:sz w:val="24"/>
          <w:szCs w:val="24"/>
          <w:rtl/>
        </w:rPr>
        <w:t xml:space="preserve">سلسلة الدراسات المقارنة في علم النفس الاستخلافي</w:t>
      </w:r>
    </w:p>
    <w:p>
      <w:r>
        <w:br w:type="page"/>
      </w:r>
    </w:p>
    <w:p>
      <w:pPr>
        <w:pStyle w:val="Heading1"/>
        <w:pBdr>
          <w:bottom w:val="single" w:color="C9A227" w:sz="12" w:space="6"/>
        </w:pBdr>
        <w:bidi/>
        <w:spacing w:after="260" w:before="480"/>
        <w:jc w:val="right"/>
      </w:pPr>
      <w:r>
        <w:rPr>
          <w:rFonts w:ascii="Traditional Arabic" w:cs="Traditional Arabic" w:eastAsia="Traditional Arabic" w:hAnsi="Traditional Arabic"/>
          <w:b/>
          <w:bCs/>
          <w:i w:val="false"/>
          <w:iCs w:val="false"/>
          <w:color w:val="1B2A4A"/>
          <w:sz w:val="34"/>
          <w:szCs w:val="34"/>
          <w:rtl/>
        </w:rPr>
        <w:t xml:space="preserve">تمهيد: في ضرورة المقارنة بين "قمم" النماذج النفسية، وفي حدود المنهج المقارن</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عام 1954، نشر عالم النفس الأمريكي أبراهام ماسلو (Abraham Maslow) كتابه "الدافع والشخصية" (Motivation and Personality)، الذي قدّم فيه نظريته الشهيرة عن "هرم الحاجات" (Hierarchy of Needs)، والتي سرعان ما أصبحت واحدة من أكثر النظريات تأثيراً في علم النفس الإنساني (Humanistic Psychology)، بل وفي الثقافة الشعبية والإدارة وعلم الاجتماع [5]. وفي "قمة" هذا الهرم، وضع ماسلو مفهوماً طموحاً أسماه "تحقيق الذات" (Self-Actualization)، معرِّفاً إياه بأنه نزوع الفرد إلى استثمار كامل إمكاناته الكامنة. وقد مثّل هذا المفهوم – في حينه – ثورة على الاختزالية الفرويدية التي ترى الإنسان أسيراً للغرائز، وعلى السلوكية التي تراه أسيراً للمثيرات والاستجابات، وفتح الباب أمام رؤية أكثر تفاؤلاً وشمولية للإنسان بوصفه كائناً ساعياً إلى النمو لا مجرد آلة تسعى إلى تسكين توترها الداخلي.</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بعد أكثر من ستة عقود، وفي سياق ثقافي وحضاري مختلف تماماً، يقدم الباحث التونسي عبد السلام الزراع، من خلال "النموذج الاستخلافي" ومنظومته العلاجية المتفرعة عنه (بروتوكول TLRT)، هرماً آخر لا يقل طموحاً عن هرم ماسلو، بل – كما سنُبين تفصيلاً في هذه الدراسة الموسعة – يتجاوزه في أفقه الغائي وعمقه الأنطولوجي. ففي قمة هذا الهرم، لا نجد "تحقيق الذات"، بل نجد "الفلاح" و"الحياة الطيبة" و"مقام النفس المطمئنة" [1، 2]. وهذا الاختلاف في القمة ليس مجرد اختلاف لفظي أو ثقافي سطحي، بل هو اختلاف أنطولوجي وغائي جوهري، يعكس رؤيتين مختلفتين للإنسان والوجود والكون: رؤية تتمركز حول الذات بوصفها غاية نهائية لنفسها، ورؤية تجعل من الذات وسيطاً ومجالاً لتحقيق غاية أسمى منها هي عبودية الله واستخلافه في الأرض.</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تجدر الإشارة، منهجياً، إلى أن هذه المقارنة لا تروم اختزال أي من النموذجين في الآخر، ولا فرض معيار أحدهما على الآخر بصورة قسرية؛ فماسلو كتب في سياق علماني غربي يسعى إلى تجاوز الاختزالية دون العودة إلى ميتافيزيقا دينية، بينما كتب الزراع من داخل رؤية توحيدية قرآنية صريحة تتخذ من الوحي مرجعية معيارية عليا. غير أن هذا التفاوت في المرجعية هو بالذات ما يجعل المقارنة مثمرة: فهي تتيح الكشف عن الافتراضات الميتافيزيقية الضمنية الكامنة خلف كل نموذج نفسي، مهما ادّعى "الحياد العلمي"، وهو ما نبّه إليه عدد من فلاسفة العلم في نقدهم لدعوى "القيمة الحرة" (Value-Free) في العلوم الإنسانية.</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تسعى هذه الدراسة الموسعة إلى تقديم مقارنة أكاديمية محكمة بين هرم ماسلو والنموذج الاستخلافي، لا على سبيل المفاضلة التبسيطية، بل على سبيل استجلاء أوجه الاتفاق والافتراق والتكامل بينهما. وستعتمد في ذلك على تحليل النصوص المؤسسة للنموذجين، ومقارنتها في سبعة محاور أساسية بدل الستة التي عولجت في الصياغة الأولى من هذا البحث، مضافاً إليها محور سابع خاص بالتطبيق الإكلينيكي والمنهج العلاجي، مع توثيق ذلك كله بالمصادر والمراجع المعتمدة.</w:t>
      </w:r>
    </w:p>
    <w:tbl>
      <w:tblPr>
        <w:tblW w:type="pct" w:w="100%"/>
        <w:tblBorders>
          <w:top w:val="single" w:color="C9A227" w:sz="16"/>
          <w:left w:val="single" w:color="C9A227" w:sz="16"/>
          <w:bottom w:val="single" w:color="C9A227" w:sz="16"/>
          <w:right w:val="single" w:color="C9A227" w:sz="16"/>
          <w:insideH w:val="single" w:color="auto" w:sz="4"/>
          <w:insideV w:val="single" w:color="auto" w:sz="4"/>
        </w:tblBorders>
      </w:tblPr>
      <w:tblGrid>
        <w:gridCol w:w="100"/>
      </w:tblGrid>
      <w:tr>
        <w:tc>
          <w:tcPr>
            <w:tcW w:type="pct" w:w="100%"/>
            <w:shd w:fill="F5EFDC" w:color="auto" w:val="clear"/>
            <w:tcMar>
              <w:top w:type="dxa" w:w="200"/>
              <w:left w:type="dxa" w:w="300"/>
              <w:bottom w:type="dxa" w:w="200"/>
              <w:right w:type="dxa" w:w="300"/>
            </w:tcMar>
          </w:tcPr>
          <w:p>
            <w:pPr>
              <w:bidi/>
              <w:spacing w:after="100"/>
              <w:jc w:val="center"/>
            </w:pPr>
            <w:r>
              <w:rPr>
                <w:rFonts w:ascii="Traditional Arabic" w:cs="Traditional Arabic" w:eastAsia="Traditional Arabic" w:hAnsi="Traditional Arabic"/>
                <w:b/>
                <w:bCs/>
                <w:i w:val="false"/>
                <w:iCs w:val="false"/>
                <w:color w:val="1B2A4A"/>
                <w:sz w:val="28"/>
                <w:szCs w:val="28"/>
                <w:rtl/>
              </w:rPr>
              <w:t xml:space="preserve">وَمَا خَلَقْتُ الْجِنَّ وَالْإِنسَ إِلَّا لِيَعْبُدُونِ</w:t>
            </w:r>
          </w:p>
          <w:p>
            <w:pPr>
              <w:bidi/>
              <w:jc w:val="center"/>
            </w:pPr>
            <w:r>
              <w:rPr>
                <w:rFonts w:ascii="Traditional Arabic" w:cs="Traditional Arabic" w:eastAsia="Traditional Arabic" w:hAnsi="Traditional Arabic"/>
                <w:b w:val="false"/>
                <w:bCs w:val="false"/>
                <w:i/>
                <w:iCs/>
                <w:color w:val="0F6B72"/>
                <w:sz w:val="22"/>
                <w:szCs w:val="22"/>
                <w:rtl/>
              </w:rPr>
              <w:t xml:space="preserve">سورة الذاريات: 56</w:t>
            </w:r>
          </w:p>
        </w:tc>
      </w:tr>
    </w:tbl>
    <w:p>
      <w:pPr>
        <w:spacing w:after="200"/>
      </w:pPr>
      <w:r>
        <w:t xml:space="preserve"/>
      </w:r>
    </w:p>
    <w:p>
      <w:pPr>
        <w:pStyle w:val="Heading1"/>
        <w:pBdr>
          <w:bottom w:val="single" w:color="C9A227" w:sz="12" w:space="6"/>
        </w:pBdr>
        <w:bidi/>
        <w:spacing w:after="260" w:before="480"/>
        <w:jc w:val="right"/>
      </w:pPr>
      <w:r>
        <w:rPr>
          <w:rFonts w:ascii="Traditional Arabic" w:cs="Traditional Arabic" w:eastAsia="Traditional Arabic" w:hAnsi="Traditional Arabic"/>
          <w:b/>
          <w:bCs/>
          <w:i w:val="false"/>
          <w:iCs w:val="false"/>
          <w:color w:val="1B2A4A"/>
          <w:sz w:val="34"/>
          <w:szCs w:val="34"/>
          <w:rtl/>
        </w:rPr>
        <w:t xml:space="preserve">المحور الأول: الغائية – "تحقيق الذات" في أفق الأرض مقابل "الفلاح" في أفق السماء</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1.1 "تحقيق الذات" عند ماسلو: ذروة الدافع الإنساني</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"تحقيق الذات" – كما عرّفه ماسلو – هو الرغبة في تحقيق الإمكانات الكامنة، والوصول إلى أقصى درجات النمو والتطور الشخصي. وهو في هرمه يقع في القمة، ولا يمكن في العادة الوصول إليه إلا بعد إشباع الحاجات الأدنى (الفسيولوجية، الأمان، الانتماء، التقدير). وقد وصف ماسلو الأشخاص المحققين لذواتهم بأنهم يتمتعون بقبول الذات، والعفوية، والاستقلالية، والإبداع، وما أسماه "الخبرات القمية" (Peak Experiences)، وهي لحظات عابرة من الوحدة والانسجام والاندماج مع الكون تتجاوز الحدود الاعتيادية للأنا [5]. هذه الغاية – رغم سموها النسبي مقارنة بالنماذج الاختزالية السابقة عليها – تبقى، كما يلاحظ الزراع، محكومة بأفق الأرض: إنها غاية أفقية محايثة (Immanent)، تدور في فلك الذات والعالم، ولا تتجاوزهما إلى المتعالي والأبدي [1].</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1.2 "الفلاح" في النموذج الاستخلافي: تكامل الوجود واتصال المصير</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مقابل "تحقيق الذات" الماسلوي، يضع الزراع في قمة هرمه مفهوماً قرآنياً أصيلاً هو "الفلاح". و"الفلاح" – كما يعرّفه – ليس مجرد نجاح أو تفوق فردي، بل هو تكامل وجودي ثلاثي الأبعاد: صلاح الذات (تزكية النفس)، وإعمار الأرض (العمل الصالح)، والفوز بالرضا الإلهي في الدنيا والآخرة. وهو بهذا يتجاوز أفق الأرض إلى أفق السماء: إنه غاية عمودية متعالية (Transcendent)، تربط حاضر الإنسان بمستقبله الأبدي، وتمنح حياته ومعاناته معنى يتجاوز حدود الفناء [1، 2].</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1.3 مراجعة نقدية: ماسلو المتأخر وأطروحة "تجاوز الذات"</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من الإنصاف الأكاديمي أن نسجل هنا أن ماسلو نفسه لم يستقر نهائياً عند "تحقيق الذات" بوصفه القمة المطلقة لحاجات الإنسان. فقد كشفت أعمال لاحقة، أبرزها دراسة كولتكو-ريفيرا التحليلية لأرشيف ماسلو، أن ماسلو في سنواته الأخيرة اقترح مستوى سادساً يعلو "تحقيق الذات" أسماه "تجاوز الذات" (Self-Transcendence)، ووصفه بأنه الحالة التي يتجاوز فيها الفرد مركزية أناه الفردية سعياً وراء غاية تتخطاه، سواء كانت خدمة الآخرين أو قضية أسمى أو تجربة روحية-كونية [13]. هذا التعديل، الذي لم يشتهر بالقدر نفسه الذي اشتهر به الهرم الخماسي التقليدي، يقرّب – من حيث البنية الشكلية – بين النموذجين إلى حد ما، ويكشف أن حدساً بضرورة "ما وراء الذات" لم يكن غريباً عن ماسلو نفسه.</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غير أن هذا التقارب الشكلي لا يُلغي الفارق الجوهري الذي يُبنى عليه هذا البحث: فـ"تجاوز الذات" عند ماسلو المتأخر ظل مفهوماً وصفياً-ظاهراتياً مفتوحاً، لا يحدد مرجعية معيارية واحدة لما "يتجاوز إليه" الفرد (قد تكون الطبيعة، أو الفن، أو الإنسانية، أو "شيء ما" روحي غامض)، بينما "الفلاح" عند الزراع مفهوم قرآني محدد المعالم، مرتبط بمرجعية توحيدية صريحة (التعبد لله والاستخلاف في أرضه)، ومندرج ضمن منظومة تكليفية وأخروية واضحة الحدود. الفارق إذن ليس في مجرد "وجود مستوى يعلو الذات"، بل في طبيعة هذا المستوى: هل هو أفق مفتوح غير محدد المرجع، أم غاية متعينة موحى بها؟</w:t>
      </w:r>
    </w:p>
    <w:p>
      <w:pPr>
        <w:spacing w:after="120"/>
      </w:pPr>
      <w:r>
        <w:t xml:space="preserve"/>
      </w:r>
    </w:p>
    <w:p>
      <w:pPr>
        <w:pStyle w:val="Heading1"/>
        <w:pBdr>
          <w:bottom w:val="single" w:color="C9A227" w:sz="12" w:space="6"/>
        </w:pBdr>
        <w:bidi/>
        <w:spacing w:after="260" w:before="480"/>
        <w:jc w:val="right"/>
      </w:pPr>
      <w:r>
        <w:rPr>
          <w:rFonts w:ascii="Traditional Arabic" w:cs="Traditional Arabic" w:eastAsia="Traditional Arabic" w:hAnsi="Traditional Arabic"/>
          <w:b/>
          <w:bCs/>
          <w:i w:val="false"/>
          <w:iCs w:val="false"/>
          <w:color w:val="1B2A4A"/>
          <w:sz w:val="34"/>
          <w:szCs w:val="34"/>
          <w:rtl/>
        </w:rPr>
        <w:t xml:space="preserve">المحور الثاني: البنية – "حاجات" تُشبع مقابل "مقامات" تُعاش</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2.1 هرم ماسلو: تسلسل الحاجات وجدل الإشباع</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يقوم هرم ماسلو على منطق "الحاجة" (Need): الإنسان في هذا التصور كائن حاجات (Needy Being)، تحركه دوافع بيولوجية ونفسية واجتماعية تسعى إلى الإشباع. والترتيب الهرمي لهذه الحاجات – رغم مرونته النسبية التي أقرّ بها ماسلو نفسه لاحقاً، حين أشار إلى إمكان "القفز" بين المستويات في حالات استثنائية كالإبداع الفني أو التضحية الأخلاقية – يفترض أن الحاجات الأدنى (الفسيولوجية، الأمان) يجب أن تُشبع إلى حد معقول قبل أن يصبح المرء مدفوعاً بالحاجات العليا (الانتماء، التقدير، تحقيق الذات) [5، 6].</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2.2 الهرم الاستخلافي: ديناميكية المقامات وصراع الأضلاع</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مقابل هذا المنطق، يقوم الهرم الاستخلافي على منطق "المقام" (Existential Station) و"الصيرورة" (Becoming): النفس في هذا التصور ليست مجرد حاجات تُشبع، بل هي مستويات وجودية تُعاش وتتفاعل وتتصارع فيما بينها. والترتيب الهرمي هنا ليس تسلسلاً خطياً صلباً من الأدنى إلى الأعلى، بل هو توصيف لمسارات التحول التي تقطعها النفس في رحلتها من الأمارة إلى المطمئنة، عبر تفعيل "أضلاع الصعود" (التوبة، التزكية، الإحسان) وتثبيط "أضلاع الهبوط" (الإغواء، التضخيم). فالإنسان هنا ليس مجرد مستهلك للإشباعات، بل هو مجاهد ومسافر في طريق الكمال [1، 2].</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2.3 فارق منطقي دقيق: الاستاتيكا مقابل الدينامية الصراعية</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يمكن توصيف الفارق بين البنيتين بلغة أكثر تجريداً: هرم ماسلو بنية استاتيكية-تراكمية، تفترض أن الانتقال من مستوى إلى آخر يتم عبر "إشباع" يُغلق الحاجة السابقة نسبياً ليفسح المجال أمام التالية، بحيث يشبه المسار سُلَّماً يُصعد درجة درجة. أما الهرم الاستخلافي فبنية دينامية-صراعية دائرية، لا تفترض إغلاقاً نهائياً لأي مقام، بل تتصور النفس في حالة تجاذب مستمر بين قوى الصعود وقوى الهبوط حتى بعد بلوغ مقامات عليا، وهو ما يجد سنداً في التصور القرآني والصوفي لتقلب القلب ووجوب تجديد الإيمان ومجاهدة النفس حتى الممات، خلافاً لفكرة "الوصول النهائي" التي قد توحي بها بعض القراءات الشعبية لتحقيق الذات.</w:t>
      </w:r>
    </w:p>
    <w:p>
      <w:pPr>
        <w:spacing w:after="120"/>
      </w:pPr>
      <w:r>
        <w:t xml:space="preserve"/>
      </w:r>
    </w:p>
    <w:p>
      <w:pPr>
        <w:pStyle w:val="Heading1"/>
        <w:pBdr>
          <w:bottom w:val="single" w:color="C9A227" w:sz="12" w:space="6"/>
        </w:pBdr>
        <w:bidi/>
        <w:spacing w:after="260" w:before="480"/>
        <w:jc w:val="right"/>
      </w:pPr>
      <w:r>
        <w:rPr>
          <w:rFonts w:ascii="Traditional Arabic" w:cs="Traditional Arabic" w:eastAsia="Traditional Arabic" w:hAnsi="Traditional Arabic"/>
          <w:b/>
          <w:bCs/>
          <w:i w:val="false"/>
          <w:iCs w:val="false"/>
          <w:color w:val="1B2A4A"/>
          <w:sz w:val="34"/>
          <w:szCs w:val="34"/>
          <w:rtl/>
        </w:rPr>
        <w:t xml:space="preserve">المحور الثالث: المرجعية – المعنى الذاتي مقابل المعنى المُستودَع</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3.1 المعنى عند ماسلو: صنيعة الذات وحدود النسبية</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النموذج الماسلوي، المعنى (Meaning) ليس معطى سابقاً أو مُستودَعاً في الفطرة، بل هو – إلى حد كبير – صنيعة الذات ونتاج اختياراتها وقيمها. الإنسان في هذا التصور هو صانع معناه ومكتشفه في آن. وهذا – رغم جماله وتحرره من الأنساق الدوغمائية المغلقة – يظل قاصراً عن الإجابة عن الأسئلة الوجودية الكبرى (الموت، العدالة المطلقة، الخلود)، ويُعرض صاحبه لخطر النسبية والعدمية إذا ما غابت عنه أرضية معيارية ثابتة يستند إليها في بناء معناه [5، 6].</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3.2 المعنى في الاستخلاف: مُستودَع في الفطرة ومُرشد بالوحي</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مقابل هذه النسبية، يؤكد النموذج الاستخلافي أن المعنى ليس صنيعة بشرية محضة، بل هو – قبل ذلك – مُستودَع في الفطرة (Moral OS) التي فطر الله الناس عليها، ومُرشد بالوحي الذي يهدي إلى الحق والخير. والإنسان في هذا التصور ليس مخترعاً للمعنى، بل هو مكتشف له ومستجيب له. وهذا المعنى – لأنه مستمد من متعالٍ – يتجاوز حدود الفناء والنسبية، ويمنح الحياة والموت والمعاناة دلالة وقيمة [4].</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3.3 نقطة التقاء محتملة: فرانكل جسراً بين النموذجين</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يجدر التنبيه إلى أن هذا الفارق ليس فارقاً بين ماسلو والزراع فحسب، بل يتقاطع مع نقاش أوسع داخل التقليد الوجودي الغربي نفسه. فقد وجّه فيكتور فرانكل، مؤسس العلاج بالمعنى (Logotherapy)، نقداً صريحاً لتصور "تحقيق الذات" بوصفه غاية قصدية مباشرة، مبيناً أن المعنى لا يُطلب لذاته بل يُكتشف في الانفتاح على العالم والقيم والآخرين، وأن السعادة وتحقيق الذات نتيجتان جانبيتان لا غايتان مقصودتان بذاتهما [8]. هذا الموقف الفرانكلي، وإن ظل بدوره أقرب إلى "اكتشاف" معنى غير محدد سلفاً بمرجعية موحى بها، يقترب من الاستخلاف في نقده لمركزية الذات، ويبتعد عنه في إبقائه "مصدر" المعنى مفتوحاً دون تعيين إلهي صريح؛ وهو ما يجعل من فرانكل موقعاً وسيطاً مفيداً لفهم موضع النموذج الاستخلافي على خريطة أوسع من نقد النزعة الذاتوية في علم النفس الغربي.</w:t>
      </w:r>
    </w:p>
    <w:p>
      <w:pPr>
        <w:spacing w:after="120"/>
      </w:pPr>
      <w:r>
        <w:t xml:space="preserve"/>
      </w:r>
    </w:p>
    <w:p>
      <w:pPr>
        <w:pStyle w:val="Heading1"/>
        <w:pBdr>
          <w:bottom w:val="single" w:color="C9A227" w:sz="12" w:space="6"/>
        </w:pBdr>
        <w:bidi/>
        <w:spacing w:after="260" w:before="480"/>
        <w:jc w:val="right"/>
      </w:pPr>
      <w:r>
        <w:rPr>
          <w:rFonts w:ascii="Traditional Arabic" w:cs="Traditional Arabic" w:eastAsia="Traditional Arabic" w:hAnsi="Traditional Arabic"/>
          <w:b/>
          <w:bCs/>
          <w:i w:val="false"/>
          <w:iCs w:val="false"/>
          <w:color w:val="1B2A4A"/>
          <w:sz w:val="34"/>
          <w:szCs w:val="34"/>
          <w:rtl/>
        </w:rPr>
        <w:t xml:space="preserve">المحور الرابع: رؤية الإنسان – "المستهلك" مقابل "الخليفة"</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4.1 إنسان ماسلو: كائن حاجات وإمكانات</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الإنسان في هرم ماسلو هو – كما أسلفنا – كائن حاجات. وحتى في أعلى مراتب التحقق، يبقى متمركزاً حول ذاته ونموها الشخصي. وهذا – كما يلاحظ الزراع – يجعل من النموذج الماسلوي، في تطبيقاته المعاصرة الشعبية والتسويقية، عُرضة للتشويه والاختزال: فقد يُستخدم في ثقافة الاستهلاك لتبرير الفردانية والنرجسية والبحث عن اللذة والإشباع، تحت شعار "تحقيق الذات"، حتى وإن لم يكن ذلك مقصود ماسلو الأصلي [5].</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4.2 إنسان الاستخلاف: خليفة وحامل أمانة</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مقابل هذا التمركز حول الذات، يُقدم النموذج الاستخلافي رؤية مغايرة للإنسان: إنه – قبل كل شيء – خليفة وحامل أمانة ومسؤول عن عمارة الأرض. وقيمته هنا ليست مستمدة من ما يُحققه لنفسه، بل من ما يُقدمه للآخرين وما يَترك من أثر صالح في العالم. وهذا – كما يؤكد الزراع – هو النضج الحقيقي: أن يخرج المرء من سجن الأنا إلى رحابة الاستخلاف [1، 2].</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4.3 إنصاف الطرح الماسلوي: النرجسية سوء فهم لا لازمة بنيوية</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من الدقة الأكاديمية أن نميّز بين النص الماسلوي الأصلي وتلقيه الشعبي. فماسلو نفسه، في كتابه "نحو سيكولوجيا الكينونة"، شدد على أن المحققين لذواتهم يتسمون بما أسماه "الاهتمام الاجتماعي" (Social Interest، وهو مصطلح مستعار من أدلر)، وبقدرة عالية على التعاطف والعطاء والانخراط في قضايا تتجاوز مصلحتهم الفردية الضيقة [6]. بهذا المعنى، فإن اختزال "تحقيق الذات" في النرجسية الاستهلاكية ليس لازمة بنيوية للنموذج بقدر ما هو انحراف تسويقي لاحق عليه. غير أن يبقى الفارق قائماً: فحتى "الاهتمام الاجتماعي" عند ماسلو مبرَّر بوصفه سمة من سمات النفس الناضجة المتحققة لا بوصفه غاية تكليفية مفروضة من خارج الذات، بخلاف "الاستخلاف" الذي هو تكليف رباني سابق على أي اختيار فردي، مما يمنحه صلابة معيارية لا يملكها مفهوم "السمة الشخصية" القابلة للتفاوت من فرد لآخر.</w:t>
      </w:r>
    </w:p>
    <w:p>
      <w:pPr>
        <w:spacing w:after="120"/>
      </w:pPr>
      <w:r>
        <w:t xml:space="preserve"/>
      </w:r>
    </w:p>
    <w:p>
      <w:pPr>
        <w:pStyle w:val="Heading1"/>
        <w:pBdr>
          <w:bottom w:val="single" w:color="C9A227" w:sz="12" w:space="6"/>
        </w:pBdr>
        <w:bidi/>
        <w:spacing w:after="260" w:before="480"/>
        <w:jc w:val="right"/>
      </w:pPr>
      <w:r>
        <w:rPr>
          <w:rFonts w:ascii="Traditional Arabic" w:cs="Traditional Arabic" w:eastAsia="Traditional Arabic" w:hAnsi="Traditional Arabic"/>
          <w:b/>
          <w:bCs/>
          <w:i w:val="false"/>
          <w:iCs w:val="false"/>
          <w:color w:val="1B2A4A"/>
          <w:sz w:val="34"/>
          <w:szCs w:val="34"/>
          <w:rtl/>
        </w:rPr>
        <w:t xml:space="preserve">المحور الخامس: التعامل مع "الذنب" – عائق يُزال مقابل طاقة تُحوَّل</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5.1 الذنب عند ماسلو: عائق أمام النمو أو عرض مرضي</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أدبيات علم النفس الإنساني التي ينتمي إليها ماسلو، لم يحظ "الذنب" باهتمام مركزي مستقل. وهو في أحسن الأحوال يُنظر إليه كعائق أمام النمو وتحقيق الذات، أو كعرض مرضي ناتج عن معايير خارجية قاسية تم استدماجها قسراً. والهدف بالتالي هو تجاوزه أو التخلص منه، لا التعمق في دلالته الوجودية [5، 7].</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5.2 الذنب في الاستخلاف: طاقة وجودية محتجزة وفرصة للتحول</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مقابل هذا الإهمال النسبي، يضع النموذج الاستخلافي "الذنب" في قلب العملية العلاجية. فهو – كما يفصّل الزراع – ليس مجرد عائق أو عرض، بل هو في جوهره طاقة وجودية محتجزة وفرصة للتحول. والعلاج – عبر آليات من قبيل "الجسر السلوكي" وما يسميه الزراع بـ"الكينتسوغي النفسي" (استعارة من فن الترميم الياباني بالذهب) – لا يهدف إلى إزالة الذنب أو كبته، بل إلى تحويله وتوجيهه نحو الإحسان والخدمة والتوبة النصوح [1].</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5.3 إضاءة مقارنة: رولو ماي والقلق الوجودي البنّاء</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يمكن أن نجد صدى جزئياً لهذا التصور عند رولو ماي، أحد أبرز رواد العلاج الوجودي، الذي ميّز بين "القلق العصابي" المُعطِّل و"القلق الوجودي السوي" الذي يرافق كل نمو حقيقي وكل مواجهة صادقة للحرية والمسؤولية، معتبراً أن السعي إلى "إزالة" القلق كلياً وهمٌ يُفقر التجربة الإنسانية [9]. هذا التمييز، وإن كان يخص "القلق" لا "الذنب" تحديداً، يشترك مع الاستخلاف في رفض المعالجة الاختزالية التي ترى في كل انفعال مؤلم عرضاً يجب إزالته، ويقترب من فكرة "تحويل الطاقة" بدل "إزالتها". غير أن ماي يبقى، كسائر الوجوديين العلمانيين، بلا مرجعية تحدد الاتجاه الذي "يُحوَّل" إليه القلق أو الذنب، بينما يوفر الاستخلاف بوصلة معيارية واضحة: التوبة والإحسان وخدمة الخلق.</w:t>
      </w:r>
    </w:p>
    <w:p>
      <w:pPr>
        <w:spacing w:after="120"/>
      </w:pPr>
      <w:r>
        <w:t xml:space="preserve"/>
      </w:r>
    </w:p>
    <w:p>
      <w:pPr>
        <w:pStyle w:val="Heading1"/>
        <w:pBdr>
          <w:bottom w:val="single" w:color="C9A227" w:sz="12" w:space="6"/>
        </w:pBdr>
        <w:bidi/>
        <w:spacing w:after="260" w:before="480"/>
        <w:jc w:val="right"/>
      </w:pPr>
      <w:r>
        <w:rPr>
          <w:rFonts w:ascii="Traditional Arabic" w:cs="Traditional Arabic" w:eastAsia="Traditional Arabic" w:hAnsi="Traditional Arabic"/>
          <w:b/>
          <w:bCs/>
          <w:i w:val="false"/>
          <w:iCs w:val="false"/>
          <w:color w:val="1B2A4A"/>
          <w:sz w:val="34"/>
          <w:szCs w:val="34"/>
          <w:rtl/>
        </w:rPr>
        <w:t xml:space="preserve">المحور السادس: المسؤولية الاجتماعية – الفرد أولاً مقابل الأمة شريكاً</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6.1 المجتمع عند ماسلو: وسيلة لتحقيق الفرد</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هرم ماسلو، تقع العلاقات الاجتماعية (الانتماء، الحب، التقدير) في المستويين الثالث والرابع، أي أنها تأتي بعد الحاجات الفسيولوجية وحاجات الأمان. وهذا – كما يلاحظ عدد من النقاد – يوحي بأن المجتمع في النموذج الماسلوي وسيلة لإشباع حاجات الفرد وتحقيق ذاته، لا غاية في ذاته، وإن لم يكن ماسلو يقصد بالضرورة هذا الاختزال [5].</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6.2 الأمة في الاستخلاف: شريك في الشفاء ومسرح للإحسان</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مقابل هذه الفردانية المنهجية، يطرح النموذج الاستخلافي مفهوماً مغايراً هو "البينذاتية الاستخلافية" (Vicegerent Intersubjectivity). الآخر هنا ليس مجرد وسيلة أو مستهلَكاً، بل هو في العمق شريك في الشفاء ومسرح للإحسان. فالمريض في بروتوكول TLRT لا يُشفى في عزلة، بل يُشفى عبر الانخراط في مشروع الأمة الوسط وخدمة الخلق [1، 2].</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6.3 مقارنة تكميلية: روجرز والمناخ العلاقي الميسِّر</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يستحق كارل روجرز، رائد العلاج المتمركز حول العميل (Person-Centered Therapy) وأحد أقرب تلاميذ ماسلو الروحيين، إشارة خاصة هنا؛ إذ أكد أن النمو النفسي لا يتحقق في عزلة بل يحتاج مناخاً علاقياً يتسم بالتقبل الإيجابي غير المشروط والتعاطف والصدق [7]. هذا يقترب من تصور "البينذاتية" الاستخلافية في تأكيد أهمية العلاقة العلاجية والاجتماعية، غير أن العلاقة عند روجرز تبقى أداة لتحقيق نمو فردي في نهاية المطاف (نمو "العميل")، بينما الشراكة الاجتماعية في الاستخلاف غاية في ذاتها بقدر ما هي وسيلة، لأن إعمار الأرض وخدمة الخلق ركنان من أركان "الفلاح" لا مجرد سياق مساعد له.</w:t>
      </w:r>
    </w:p>
    <w:p>
      <w:pPr>
        <w:spacing w:after="120"/>
      </w:pPr>
      <w:r>
        <w:t xml:space="preserve"/>
      </w:r>
    </w:p>
    <w:p>
      <w:pPr>
        <w:pStyle w:val="Heading1"/>
        <w:pBdr>
          <w:bottom w:val="single" w:color="C9A227" w:sz="12" w:space="6"/>
        </w:pBdr>
        <w:bidi/>
        <w:spacing w:after="260" w:before="480"/>
        <w:jc w:val="right"/>
      </w:pPr>
      <w:r>
        <w:rPr>
          <w:rFonts w:ascii="Traditional Arabic" w:cs="Traditional Arabic" w:eastAsia="Traditional Arabic" w:hAnsi="Traditional Arabic"/>
          <w:b/>
          <w:bCs/>
          <w:i w:val="false"/>
          <w:iCs w:val="false"/>
          <w:color w:val="1B2A4A"/>
          <w:sz w:val="34"/>
          <w:szCs w:val="34"/>
          <w:rtl/>
        </w:rPr>
        <w:t xml:space="preserve">المحور السابع: التطبيق الإكلينيكي – من "العلاج المتمركز حول العميل" إلى "بروتوكول TLRT"</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7.1 المنهج العلاجي الإنساني: تيسير الظروف ونفي التوجيه</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ترجم علم النفس الإنساني افتراضاته النظرية إلى ممارسة إكلينيكية تتسم بالحد الأدنى من التوجيه: يفترض المعالج الروجرزي أن العميل يحمل في داخله ميلاً فطرياً نحو التحقق (Actualizing Tendency)، وأن دور المعالج يقتصر على تهيئة مناخ نفسي آمن يتيح لهذا الميل أن يعبّر عن نفسه، دون فرض تفسيرات أو أهداف أو قيم من خارج تجربة العميل [7]. وبالمثل، ركّز العلاج الوجودي عند ماي وفرانكل على مرافقة المريض في مواجهة قلقه الوجودي واكتشاف معناه الخاص، دون تزويده بمنظومة قيمية جاهزة [8، 9].</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7.2 بروتوكول TLRT: هندسة مرحلية موجَّهة بمرجعية معيارية</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المقابل، يقدم بروتوكول "العلاج بحرث المصالحة التحويلية" (TLRT) بنية إكلينيكية أكثر تحديداً وتوجيهاً، تتوزع على مراحل متعاقبة تشمل تفكيك الأنساق الدفاعية المُعطِّلة، وإعادة بناء صورة الإله الداخلية سليمة من التشوهات الرزوطية (بالإفادة من نظرية روبرت ريزوتو في التمثلات الداخلية للإله)، ثم تفعيل "الجسر السلوكي" لتحويل طاقة الذنب إلى إحسان عملي، وصولاً إلى ترسيخ الانخراط في مشروع الأمة الوسط [1، 3]. هذا التوجيه المرحلي المُحكم لا يعني إلغاء حرية المريض أو تجاهل خصوصية تجربته، لكنه يفترض – خلافاً للعلاج الإنساني الكلاسيكي – وجود غاية معيارية محددة سلفاً (الفلاح، السكينة، صلاح النفس والمآل) توجَّه نحوها العملية العلاجية بأكملها، لا مجرد تيسير "ما يختاره" المريض من غايات.</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7.3 موضع الخلاف الإكلينيكي: التوجيه بين خطر الفرض وفضيلة الهداية</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يثير هذا الفارق سؤالاً منهجياً جديراً بالتسجيل بأمانة علمية: أليس التوجيه المعياري الصريح في TLRT معرَّضاً لخطر فرض قيم المعالج (أو المنظومة) على المريض، وهو المحظور الذي حرص العلاج الإنساني على تجنبه بدقة؟ يجيب أنصار النموذج الاستخلافي بأن التوجيه هنا ليس فرضاً لرأي شخصي للمعالج، بل استرشاداً بمرجعية موحاة يُفترض – في سياق ثقافي إسلامي – أنها مشتركة بين المعالج والمريض أصلاً، وأن غياب أي توجيه معياري في العلاج الإنساني ليس "حياداً" حقيقياً بقدر ما هو التزام ضمني بقيمة الاستقلالية الفردية (Autonomy) بوصفها هي نفسها مرجعية معيارية غربية-ليبرالية غير معلنة. تبقى هذه المسألة موضع نقاش مفتوحاً يستحق مزيداً من البحث المقارن في فلسفة العلاج النفسي وأخلاقياته المهنية.</w:t>
      </w:r>
    </w:p>
    <w:p>
      <w:pPr>
        <w:spacing w:after="120"/>
      </w:pPr>
      <w:r>
        <w:t xml:space="preserve"/>
      </w:r>
    </w:p>
    <w:p>
      <w:pPr>
        <w:pStyle w:val="Heading1"/>
        <w:pBdr>
          <w:bottom w:val="single" w:color="C9A227" w:sz="12" w:space="6"/>
        </w:pBdr>
        <w:bidi/>
        <w:spacing w:after="260" w:before="480"/>
        <w:jc w:val="right"/>
      </w:pPr>
      <w:r>
        <w:rPr>
          <w:rFonts w:ascii="Traditional Arabic" w:cs="Traditional Arabic" w:eastAsia="Traditional Arabic" w:hAnsi="Traditional Arabic"/>
          <w:b/>
          <w:bCs/>
          <w:i w:val="false"/>
          <w:iCs w:val="false"/>
          <w:color w:val="1B2A4A"/>
          <w:sz w:val="34"/>
          <w:szCs w:val="34"/>
          <w:rtl/>
        </w:rPr>
        <w:t xml:space="preserve">خاتمة: ماسلو والزراع – توقف عند الذات وقفزة نحو المتعالي</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في نهاية هذه المقارنة الموسعة، نخلص إلى أن هرم ماسلو والنموذج الاستخلافي – رغم اختلافهما الجذري في الأسس والغايات – ليسا نقيضين مطلقين بالضرورة، بل يمكن النظر إليهما، كما يفعل الزراع، بوصفهما مرحلتين متكاملتين محتملتين في رحلة النمو الإنساني، شريطة أن يُستدرك ما في القراءة الشعبية لماسلو من نزوع فردانية استهلاكية، وأن يُقرأ "تجاوز الذات" عند ماسلو المتأخر بوصفه بادرة حدسية نحو ما يُحققه الاستخلاف بمرجعية موحاة ومتعينة.</w:t>
      </w:r>
    </w:p>
    <w:p>
      <w:pPr>
        <w:bidi/>
        <w:spacing w:after="220" w:line="320"/>
        <w:jc w:val="both"/>
      </w:pPr>
      <w:r>
        <w:rPr>
          <w:rFonts w:ascii="Traditional Arabic" w:cs="Traditional Arabic" w:eastAsia="Traditional Arabic" w:hAnsi="Traditional Arabic"/>
          <w:b w:val="false"/>
          <w:bCs w:val="false"/>
          <w:i w:val="false"/>
          <w:iCs w:val="false"/>
          <w:color w:val="1A1A1A"/>
          <w:sz w:val="26"/>
          <w:szCs w:val="26"/>
          <w:rtl/>
        </w:rPr>
        <w:t xml:space="preserve">فماسلو، كما يمكن أن يُقال، أوصلنا إلى قمة الذات ووصف بدقة عيادية نادرة ما يعتمل فيها من حاجات ودوافع؛ والزراع، من هناك، يدعونا إلى القفز نحو المتعالي، واصلاً بين علم النفس الإكلينيكي المعاصر وميراث التزكية الإسلامية العريق. ماسلو أشبع فضولنا العلمي بشأن آلية الدافعية الإنسانية، والزراع يذكرنا برسالتنا الوجودية الكبرى. ماسلو علّمنا كيف نُحقق ذواتنا، والزراع يعلّمنا كيف نتجاوزها إلى ما وراءها، في أفق يجمع – كما تسعى هذه الدراسة إلى إظهاره – بين الدقة الإكلينيكية المعاصرة وعمق الرؤية القرآنية للإنسان خليفةً ومستخلَفاً وسائراً إلى ربه.</w:t>
      </w:r>
    </w:p>
    <w:tbl>
      <w:tblPr>
        <w:tblW w:type="pct" w:w="100%"/>
        <w:tblBorders>
          <w:top w:val="single" w:color="C9A227" w:sz="16"/>
          <w:left w:val="single" w:color="C9A227" w:sz="16"/>
          <w:bottom w:val="single" w:color="C9A227" w:sz="16"/>
          <w:right w:val="single" w:color="C9A227" w:sz="16"/>
          <w:insideH w:val="single" w:color="auto" w:sz="4"/>
          <w:insideV w:val="single" w:color="auto" w:sz="4"/>
        </w:tblBorders>
      </w:tblPr>
      <w:tblGrid>
        <w:gridCol w:w="100"/>
      </w:tblGrid>
      <w:tr>
        <w:tc>
          <w:tcPr>
            <w:tcW w:type="pct" w:w="100%"/>
            <w:shd w:fill="F5EFDC" w:color="auto" w:val="clear"/>
            <w:tcMar>
              <w:top w:type="dxa" w:w="200"/>
              <w:left w:type="dxa" w:w="300"/>
              <w:bottom w:type="dxa" w:w="200"/>
              <w:right w:type="dxa" w:w="300"/>
            </w:tcMar>
          </w:tcPr>
          <w:p>
            <w:pPr>
              <w:bidi/>
              <w:spacing w:after="100"/>
              <w:jc w:val="center"/>
            </w:pPr>
            <w:r>
              <w:rPr>
                <w:rFonts w:ascii="Traditional Arabic" w:cs="Traditional Arabic" w:eastAsia="Traditional Arabic" w:hAnsi="Traditional Arabic"/>
                <w:b/>
                <w:bCs/>
                <w:i w:val="false"/>
                <w:iCs w:val="false"/>
                <w:color w:val="1B2A4A"/>
                <w:sz w:val="28"/>
                <w:szCs w:val="28"/>
                <w:rtl/>
              </w:rPr>
              <w:t xml:space="preserve">قَدْ أَفْلَحَ مَن زَكَّاهَا</w:t>
            </w:r>
          </w:p>
          <w:p>
            <w:pPr>
              <w:bidi/>
              <w:jc w:val="center"/>
            </w:pPr>
            <w:r>
              <w:rPr>
                <w:rFonts w:ascii="Traditional Arabic" w:cs="Traditional Arabic" w:eastAsia="Traditional Arabic" w:hAnsi="Traditional Arabic"/>
                <w:b w:val="false"/>
                <w:bCs w:val="false"/>
                <w:i/>
                <w:iCs/>
                <w:color w:val="0F6B72"/>
                <w:sz w:val="22"/>
                <w:szCs w:val="22"/>
                <w:rtl/>
              </w:rPr>
              <w:t xml:space="preserve">سورة الشمس: 9</w:t>
            </w:r>
          </w:p>
        </w:tc>
      </w:tr>
    </w:tbl>
    <w:p>
      <w:pPr>
        <w:spacing w:after="200"/>
      </w:pPr>
      <w:r>
        <w:t xml:space="preserve"/>
      </w:r>
    </w:p>
    <w:p>
      <w:pPr>
        <w:pStyle w:val="Heading1"/>
        <w:pBdr>
          <w:bottom w:val="single" w:color="C9A227" w:sz="12" w:space="6"/>
        </w:pBdr>
        <w:bidi/>
        <w:spacing w:after="260" w:before="480"/>
        <w:jc w:val="right"/>
      </w:pPr>
      <w:r>
        <w:rPr>
          <w:rFonts w:ascii="Traditional Arabic" w:cs="Traditional Arabic" w:eastAsia="Traditional Arabic" w:hAnsi="Traditional Arabic"/>
          <w:b/>
          <w:bCs/>
          <w:i w:val="false"/>
          <w:iCs w:val="false"/>
          <w:color w:val="1B2A4A"/>
          <w:sz w:val="34"/>
          <w:szCs w:val="34"/>
          <w:rtl/>
        </w:rPr>
        <w:t xml:space="preserve">المراجع والمصادر</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أولاً: المصادر الأساسية (النموذج الاستخلافي)</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1. </w:t>
      </w:r>
      <w:r>
        <w:rPr>
          <w:rFonts w:ascii="Traditional Arabic" w:cs="Traditional Arabic" w:eastAsia="Traditional Arabic" w:hAnsi="Traditional Arabic"/>
          <w:b w:val="false"/>
          <w:bCs w:val="false"/>
          <w:i w:val="false"/>
          <w:iCs w:val="false"/>
          <w:color w:val="1A1A1A"/>
          <w:sz w:val="26"/>
          <w:szCs w:val="26"/>
          <w:rtl/>
        </w:rPr>
        <w:t xml:space="preserve">الزراع، عبد السلام. (2026). العلاج بحرث المصالحة التحويلية (TLRT): الدليل النظري والإكلينيكي. (الطبعة التجريبية الأولى).</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2. </w:t>
      </w:r>
      <w:r>
        <w:rPr>
          <w:rFonts w:ascii="Traditional Arabic" w:cs="Traditional Arabic" w:eastAsia="Traditional Arabic" w:hAnsi="Traditional Arabic"/>
          <w:b w:val="false"/>
          <w:bCs w:val="false"/>
          <w:i w:val="false"/>
          <w:iCs w:val="false"/>
          <w:color w:val="1A1A1A"/>
          <w:sz w:val="26"/>
          <w:szCs w:val="26"/>
          <w:rtl/>
        </w:rPr>
        <w:t xml:space="preserve">الزراع، عبد السلام. (2026). الفصام الأخلاقي ومصدر الأزمات النفسية: قراءة في ضوء نظرية TLRT.</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3. </w:t>
      </w:r>
      <w:r>
        <w:rPr>
          <w:rFonts w:ascii="Traditional Arabic" w:cs="Traditional Arabic" w:eastAsia="Traditional Arabic" w:hAnsi="Traditional Arabic"/>
          <w:b w:val="false"/>
          <w:bCs w:val="false"/>
          <w:i w:val="false"/>
          <w:iCs w:val="false"/>
          <w:color w:val="1A1A1A"/>
          <w:sz w:val="26"/>
          <w:szCs w:val="26"/>
          <w:rtl/>
        </w:rPr>
        <w:t xml:space="preserve">الزراع، عبد السلام. (2026). التمثلات الداخلية للإله: من نظرية ريزوتو إلى إعادة بناء صورة الله في TLRT.</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4. </w:t>
      </w:r>
      <w:r>
        <w:rPr>
          <w:rFonts w:ascii="Traditional Arabic" w:cs="Traditional Arabic" w:eastAsia="Traditional Arabic" w:hAnsi="Traditional Arabic"/>
          <w:b w:val="false"/>
          <w:bCs w:val="false"/>
          <w:i w:val="false"/>
          <w:iCs w:val="false"/>
          <w:color w:val="1A1A1A"/>
          <w:sz w:val="26"/>
          <w:szCs w:val="26"/>
          <w:rtl/>
        </w:rPr>
        <w:t xml:space="preserve">الزراع، عبد السلام. (2026). من "الفاقة الأصلية" إلى "سكينة المحبة": نحو نظرية استخلافية للحب.</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ثانياً: مراجع في علم النفس الإنساني (ماسلو ومدرسته)</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5. </w:t>
      </w:r>
      <w:r>
        <w:rPr>
          <w:rFonts w:ascii="Traditional Arabic" w:cs="Traditional Arabic" w:eastAsia="Traditional Arabic" w:hAnsi="Traditional Arabic"/>
          <w:b w:val="false"/>
          <w:bCs w:val="false"/>
          <w:i w:val="false"/>
          <w:iCs w:val="false"/>
          <w:color w:val="1A1A1A"/>
          <w:sz w:val="26"/>
          <w:szCs w:val="26"/>
          <w:rtl/>
        </w:rPr>
        <w:t xml:space="preserve">Maslow, A. H. (1954). Motivation and Personality. New York: Harper &amp; Row.</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6. </w:t>
      </w:r>
      <w:r>
        <w:rPr>
          <w:rFonts w:ascii="Traditional Arabic" w:cs="Traditional Arabic" w:eastAsia="Traditional Arabic" w:hAnsi="Traditional Arabic"/>
          <w:b w:val="false"/>
          <w:bCs w:val="false"/>
          <w:i w:val="false"/>
          <w:iCs w:val="false"/>
          <w:color w:val="1A1A1A"/>
          <w:sz w:val="26"/>
          <w:szCs w:val="26"/>
          <w:rtl/>
        </w:rPr>
        <w:t xml:space="preserve">Maslow, A. H. (1968). Toward a Psychology of Being (2nd ed.). New York: Van Nostrand Reinhold.</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7. </w:t>
      </w:r>
      <w:r>
        <w:rPr>
          <w:rFonts w:ascii="Traditional Arabic" w:cs="Traditional Arabic" w:eastAsia="Traditional Arabic" w:hAnsi="Traditional Arabic"/>
          <w:b w:val="false"/>
          <w:bCs w:val="false"/>
          <w:i w:val="false"/>
          <w:iCs w:val="false"/>
          <w:color w:val="1A1A1A"/>
          <w:sz w:val="26"/>
          <w:szCs w:val="26"/>
          <w:rtl/>
        </w:rPr>
        <w:t xml:space="preserve">Rogers, C. R. (1961). On Becoming a Person: A Therapist's View of Psychotherapy. Boston: Houghton Mifflin.</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ثالثاً: مراجع في العلاج الوجودي ونقد علم النفس الإنساني</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8. </w:t>
      </w:r>
      <w:r>
        <w:rPr>
          <w:rFonts w:ascii="Traditional Arabic" w:cs="Traditional Arabic" w:eastAsia="Traditional Arabic" w:hAnsi="Traditional Arabic"/>
          <w:b w:val="false"/>
          <w:bCs w:val="false"/>
          <w:i w:val="false"/>
          <w:iCs w:val="false"/>
          <w:color w:val="1A1A1A"/>
          <w:sz w:val="26"/>
          <w:szCs w:val="26"/>
          <w:rtl/>
        </w:rPr>
        <w:t xml:space="preserve">Frankl, V. E. (1959). Man's Search for Meaning. Boston: Beacon Press.</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9. </w:t>
      </w:r>
      <w:r>
        <w:rPr>
          <w:rFonts w:ascii="Traditional Arabic" w:cs="Traditional Arabic" w:eastAsia="Traditional Arabic" w:hAnsi="Traditional Arabic"/>
          <w:b w:val="false"/>
          <w:bCs w:val="false"/>
          <w:i w:val="false"/>
          <w:iCs w:val="false"/>
          <w:color w:val="1A1A1A"/>
          <w:sz w:val="26"/>
          <w:szCs w:val="26"/>
          <w:rtl/>
        </w:rPr>
        <w:t xml:space="preserve">May, R. (1983). The Discovery of Being: Writings in Existential Psychology. New York: W. W. Norton &amp; Company.</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رابعاً: مراجع في التراث الإسلامي</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10. </w:t>
      </w:r>
      <w:r>
        <w:rPr>
          <w:rFonts w:ascii="Traditional Arabic" w:cs="Traditional Arabic" w:eastAsia="Traditional Arabic" w:hAnsi="Traditional Arabic"/>
          <w:b w:val="false"/>
          <w:bCs w:val="false"/>
          <w:i w:val="false"/>
          <w:iCs w:val="false"/>
          <w:color w:val="1A1A1A"/>
          <w:sz w:val="26"/>
          <w:szCs w:val="26"/>
          <w:rtl/>
        </w:rPr>
        <w:t xml:space="preserve">القرآن الكريم.</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11. </w:t>
      </w:r>
      <w:r>
        <w:rPr>
          <w:rFonts w:ascii="Traditional Arabic" w:cs="Traditional Arabic" w:eastAsia="Traditional Arabic" w:hAnsi="Traditional Arabic"/>
          <w:b w:val="false"/>
          <w:bCs w:val="false"/>
          <w:i w:val="false"/>
          <w:iCs w:val="false"/>
          <w:color w:val="1A1A1A"/>
          <w:sz w:val="26"/>
          <w:szCs w:val="26"/>
          <w:rtl/>
        </w:rPr>
        <w:t xml:space="preserve">الغزالي، أبو حامد. (د.ت.). إحياء علوم الدين. بيروت: دار المعرفة.</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12. </w:t>
      </w:r>
      <w:r>
        <w:rPr>
          <w:rFonts w:ascii="Traditional Arabic" w:cs="Traditional Arabic" w:eastAsia="Traditional Arabic" w:hAnsi="Traditional Arabic"/>
          <w:b w:val="false"/>
          <w:bCs w:val="false"/>
          <w:i w:val="false"/>
          <w:iCs w:val="false"/>
          <w:color w:val="1A1A1A"/>
          <w:sz w:val="26"/>
          <w:szCs w:val="26"/>
          <w:rtl/>
        </w:rPr>
        <w:t xml:space="preserve">ابن القيم الجوزية. (د.ت.). مدارج السالكين بين منازل إياك نعبد وإياك نستعين. تحقيق: محمد حامد الفقي. بيروت: دار الكتاب العربي.</w:t>
      </w:r>
    </w:p>
    <w:p>
      <w:pPr>
        <w:pStyle w:val="Heading2"/>
        <w:bidi/>
        <w:spacing w:after="180" w:before="320"/>
        <w:jc w:val="right"/>
      </w:pPr>
      <w:r>
        <w:rPr>
          <w:rFonts w:ascii="Traditional Arabic" w:cs="Traditional Arabic" w:eastAsia="Traditional Arabic" w:hAnsi="Traditional Arabic"/>
          <w:b/>
          <w:bCs/>
          <w:i w:val="false"/>
          <w:iCs w:val="false"/>
          <w:color w:val="0F6B72"/>
          <w:sz w:val="28"/>
          <w:szCs w:val="28"/>
          <w:rtl/>
        </w:rPr>
        <w:t xml:space="preserve">خامساً: مراجع إضافية مستحدثة في هذه النسخة الموسعة</w:t>
      </w:r>
    </w:p>
    <w:p>
      <w:pPr>
        <w:bidi/>
        <w:spacing w:after="120" w:line="320"/>
        <w:jc w:val="right"/>
      </w:pPr>
      <w:r>
        <w:rPr>
          <w:rFonts w:ascii="Traditional Arabic" w:cs="Traditional Arabic" w:eastAsia="Traditional Arabic" w:hAnsi="Traditional Arabic"/>
          <w:b/>
          <w:bCs/>
          <w:i w:val="false"/>
          <w:iCs w:val="false"/>
          <w:color w:val="1A1A1A"/>
          <w:sz w:val="26"/>
          <w:szCs w:val="26"/>
          <w:rtl/>
        </w:rPr>
        <w:t xml:space="preserve">13. </w:t>
      </w:r>
      <w:r>
        <w:rPr>
          <w:rFonts w:ascii="Traditional Arabic" w:cs="Traditional Arabic" w:eastAsia="Traditional Arabic" w:hAnsi="Traditional Arabic"/>
          <w:b w:val="false"/>
          <w:bCs w:val="false"/>
          <w:i w:val="false"/>
          <w:iCs w:val="false"/>
          <w:color w:val="1A1A1A"/>
          <w:sz w:val="26"/>
          <w:szCs w:val="26"/>
          <w:rtl/>
        </w:rPr>
        <w:t xml:space="preserve">Koltko-Rivera, M. E. (2006). Rediscovering the later version of Maslow's hierarchy of needs: Self-transcendence and opportunities for theory, research, and unification. Review of General Psychology, 10(4), 302–317.</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raditional Arabic" w:cs="Traditional Arabic" w:eastAsia="Traditional Arabic" w:hAnsi="Traditional Arabic"/>
        <w:color w:val="1B2A4A"/>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227" w:sz="6" w:space="4"/>
      </w:pBdr>
      <w:bidi/>
      <w:jc w:val="center"/>
    </w:pPr>
    <w:r>
      <w:rPr>
        <w:rFonts w:ascii="Traditional Arabic" w:cs="Traditional Arabic" w:eastAsia="Traditional Arabic" w:hAnsi="Traditional Arabic"/>
        <w:b w:val="false"/>
        <w:bCs w:val="false"/>
        <w:i/>
        <w:iCs/>
        <w:color w:val="0F6B72"/>
        <w:sz w:val="18"/>
        <w:szCs w:val="18"/>
        <w:rtl/>
      </w:rPr>
      <w:t xml:space="preserve">سلسلة علم النفس الاستخلافي — دراسات مقارنة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color w:val="1A1A1A"/>
        <w:sz w:val="26"/>
        <w:szCs w:val="26"/>
        <w:rt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2026-07-23T17:23:25.238Z</dcterms:created>
  <dcterms:modified xsi:type="dcterms:W3CDTF">2026-07-23T17:23:25.251Z</dcterms:modified>
</cp:coreProperties>
</file>

<file path=docProps/custom.xml><?xml version="1.0" encoding="utf-8"?>
<Properties xmlns="http://schemas.openxmlformats.org/officeDocument/2006/custom-properties" xmlns:vt="http://schemas.openxmlformats.org/officeDocument/2006/docPropsVTypes"/>
</file>