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87202" w14:textId="77777777" w:rsidR="00F915BD" w:rsidRDefault="0081309E">
      <w:pPr>
        <w:spacing w:after="120"/>
        <w:jc w:val="center"/>
      </w:pPr>
      <w:r>
        <w:rPr>
          <w:b/>
          <w:bCs/>
          <w:color w:val="1B2A4A"/>
          <w:sz w:val="40"/>
          <w:szCs w:val="40"/>
        </w:rPr>
        <w:t>من «النفخة الإلهية» إلى «الشوق الوجودي»: نحو نظرية استخلافية للروح</w:t>
      </w:r>
    </w:p>
    <w:p w14:paraId="427AA073" w14:textId="77777777" w:rsidR="00F915BD" w:rsidRDefault="0081309E">
      <w:pPr>
        <w:spacing w:after="400"/>
        <w:jc w:val="center"/>
      </w:pPr>
      <w:r>
        <w:rPr>
          <w:i/>
          <w:iCs/>
          <w:color w:val="0F6B72"/>
          <w:sz w:val="26"/>
          <w:szCs w:val="26"/>
        </w:rPr>
        <w:t>دراسة موسّعة ومعمَّقة في أنطولوجيا «السرّ الإلهي» عند عبد السلام الزراع</w:t>
      </w:r>
    </w:p>
    <w:p w14:paraId="756A40ED" w14:textId="77777777" w:rsidR="00F915BD" w:rsidRDefault="0081309E">
      <w:pPr>
        <w:spacing w:after="600"/>
        <w:jc w:val="center"/>
      </w:pPr>
      <w:r>
        <w:rPr>
          <w:i/>
          <w:iCs/>
          <w:color w:val="9C7A25"/>
          <w:sz w:val="22"/>
          <w:szCs w:val="22"/>
        </w:rPr>
        <w:t>الطبعة الموسّعة — تحرير وتحقيق أكاديمي</w:t>
      </w:r>
    </w:p>
    <w:p w14:paraId="0849CC8C" w14:textId="77777777" w:rsidR="00F915BD" w:rsidRDefault="0081309E">
      <w:pPr>
        <w:spacing w:after="200"/>
        <w:jc w:val="right"/>
      </w:pPr>
      <w:r>
        <w:rPr>
          <w:b/>
          <w:bCs/>
          <w:color w:val="1B2A4A"/>
          <w:sz w:val="30"/>
          <w:szCs w:val="30"/>
        </w:rPr>
        <w:t>فهرس المحتويات</w:t>
      </w:r>
    </w:p>
    <w:sdt>
      <w:sdtPr>
        <w:alias w:val="فهرس"/>
        <w:id w:val="-1397272604"/>
      </w:sdtPr>
      <w:sdtEndPr/>
      <w:sdtContent>
        <w:p w14:paraId="1238C17F" w14:textId="77777777" w:rsidR="00F915BD" w:rsidRDefault="0081309E">
          <w:r>
            <w:fldChar w:fldCharType="begin"/>
          </w:r>
          <w:r>
            <w:instrText>TOC \h \o "1-2"</w:instrText>
          </w:r>
          <w:r>
            <w:fldChar w:fldCharType="separate"/>
          </w:r>
        </w:p>
        <w:p w14:paraId="2663E62D" w14:textId="77777777" w:rsidR="00F915BD" w:rsidRDefault="0081309E">
          <w:r>
            <w:fldChar w:fldCharType="end"/>
          </w:r>
        </w:p>
      </w:sdtContent>
    </w:sdt>
    <w:p w14:paraId="6182194C" w14:textId="77777777" w:rsidR="00F915BD" w:rsidRDefault="0081309E">
      <w:r>
        <w:br w:type="page"/>
      </w:r>
    </w:p>
    <w:p w14:paraId="5711675A" w14:textId="77777777" w:rsidR="00F915BD" w:rsidRDefault="0081309E">
      <w:pPr>
        <w:pStyle w:val="1"/>
        <w:pBdr>
          <w:bottom w:val="single" w:sz="12" w:space="6" w:color="9C7A25"/>
        </w:pBdr>
        <w:bidi/>
        <w:spacing w:before="480" w:after="240"/>
        <w:jc w:val="right"/>
      </w:pPr>
      <w:r>
        <w:rPr>
          <w:sz w:val="32"/>
          <w:szCs w:val="32"/>
        </w:rPr>
        <w:t>تمهيد: الروح بوصفها «المسكوت عنه» في علم النفس الحديث</w:t>
      </w:r>
    </w:p>
    <w:p w14:paraId="51B6D35E" w14:textId="77777777" w:rsidR="00F915BD" w:rsidRDefault="0081309E">
      <w:pPr>
        <w:spacing w:after="200" w:line="336" w:lineRule="auto"/>
        <w:jc w:val="both"/>
      </w:pPr>
      <w:r>
        <w:rPr>
          <w:color w:val="222222"/>
        </w:rPr>
        <w:t>في «تاريخ» «علم النفس» ثمة مفارقة لافتة: العلم الذي يُفترض أنه يدرس «النفس» (</w:t>
      </w:r>
      <w:proofErr w:type="spellStart"/>
      <w:r>
        <w:rPr>
          <w:color w:val="222222"/>
        </w:rPr>
        <w:t>Psyche</w:t>
      </w:r>
      <w:proofErr w:type="spellEnd"/>
      <w:r>
        <w:rPr>
          <w:color w:val="222222"/>
        </w:rPr>
        <w:t>) هو نفسه الذي استبعد -- بشكل منهجي -- «الروح» (</w:t>
      </w:r>
      <w:proofErr w:type="spellStart"/>
      <w:r>
        <w:rPr>
          <w:color w:val="222222"/>
        </w:rPr>
        <w:t>Spirit</w:t>
      </w:r>
      <w:proofErr w:type="spellEnd"/>
      <w:r>
        <w:rPr>
          <w:color w:val="222222"/>
        </w:rPr>
        <w:t>/</w:t>
      </w:r>
      <w:proofErr w:type="spellStart"/>
      <w:r>
        <w:rPr>
          <w:color w:val="222222"/>
        </w:rPr>
        <w:t>Rūḥ</w:t>
      </w:r>
      <w:proofErr w:type="spellEnd"/>
      <w:r>
        <w:rPr>
          <w:color w:val="222222"/>
        </w:rPr>
        <w:t>) من مجال بحثه. فعلم النفس، كما تأسّس في سياق الحداثة الغربية، أراد أن يكون علماً طبيعياً محايداً على غرار الفيزياء والكيمياء، فتخلّى عن كل ما لا يمكن قياسه أو ملاحظته تجريبياً. والروح -- بطبيعتها المتعالية والغيبية -- كانت أول الضحايا في هذا المسار الاختزالي، إلى أن غدا الحديث عنها في الأوساط الأكاديمية أقرب إلى «الحرج المعرفي» منه إلى موضوع بحثٍ مشروع.</w:t>
      </w:r>
    </w:p>
    <w:p w14:paraId="6DD797A9" w14:textId="77777777" w:rsidR="00F915BD" w:rsidRDefault="0081309E">
      <w:pPr>
        <w:spacing w:after="200" w:line="336" w:lineRule="auto"/>
        <w:jc w:val="both"/>
      </w:pPr>
      <w:r>
        <w:rPr>
          <w:color w:val="222222"/>
        </w:rPr>
        <w:t xml:space="preserve">هذا الإقصاء لم يكن بريئاً أو محايداً، بل كان محكوماً بافتراضات فلسفية مسبقة (وضعية ومادية) قررت سلفاً حدود ما هو «قابل للمعرفة»، فأخرجت الروح من دائرة العلم قبل أن تفحصها. ومن هنا تنشأ الحاجة إلى «أركيولوجيا» بالمعنى </w:t>
      </w:r>
      <w:proofErr w:type="spellStart"/>
      <w:r>
        <w:rPr>
          <w:color w:val="222222"/>
        </w:rPr>
        <w:t>الفوكوي</w:t>
      </w:r>
      <w:proofErr w:type="spellEnd"/>
      <w:r>
        <w:rPr>
          <w:color w:val="222222"/>
        </w:rPr>
        <w:t xml:space="preserve"> للكلمة: تفكيك الطبقات التي تراكمت فوق مفهوم الروح، وكشف الافتراضات الصامتة التي حكمت إقصاءه، تمهيداً لإعادة بنائه على أسس أنطولوجية أدق.</w:t>
      </w:r>
    </w:p>
    <w:p w14:paraId="02E2186C" w14:textId="77777777" w:rsidR="00F915BD" w:rsidRDefault="0081309E">
      <w:pPr>
        <w:spacing w:after="200" w:line="336" w:lineRule="auto"/>
        <w:jc w:val="both"/>
      </w:pPr>
      <w:r>
        <w:rPr>
          <w:color w:val="222222"/>
        </w:rPr>
        <w:t>في هذا السياق، يقدّم الباحث عبد السلام الزراع -- من خلال «نموذجه الاستخلافي» و«النموذج الهرمي القرآني» -- محاولة جريئة وأصيلة لاستعادة الروح إلى قلب الدراسة النفسية، لا كمجرد مفهوم ديني هامشي، بل كركيزة أنطولوجية أساسية ينهار بدونها كل فهم حقيقي للإنسان. فالروح -- عنده -- ليست مجرد جانب غيبي غامض، بل هي في العمق «سر الله في الإنسان» و«مبدأ الحياة» و«محرك الشوق الوجودي» وما يعطي للتزكية ثقلاً وجودياً يتجاوز مجرد الصحة النفسية التقليدية [2، 5، 16].</w:t>
      </w:r>
    </w:p>
    <w:p w14:paraId="36CF9B9C" w14:textId="77777777" w:rsidR="00F915BD" w:rsidRDefault="0081309E">
      <w:pPr>
        <w:spacing w:after="200" w:line="336" w:lineRule="auto"/>
        <w:jc w:val="both"/>
      </w:pPr>
      <w:r>
        <w:rPr>
          <w:color w:val="222222"/>
        </w:rPr>
        <w:t>وهذه «الدراسة الموسعة» -- التي تتجاوز الوصف إلى التحليل والتأصيل والمقارنة النقدية -- تسعى إلى أمور خمسة متكاملة: أولاً، تفكيك مفهوم الروح عبر تاريخ الفكر الفلسفي، شرقياً وغربياً؛ ثانياً، إعادة بنائه في ضوء النصوص المؤسِّسة (القرآن والسنة) والتراث الصوفي والفلسفي الإسلامي؛ ثالثاً، تحليل وظائفه الوجودية وموقعه في البنية الهرمية للنفس الإنسانية؛ رابعاً، بيان أثره العملي في مسار التزكية والعلاج النفسي؛ وخامساً -- وهو ما تضيفه هذه الطبعة الموسعة -- مقارنته النقدية بأبرز محاولات علم النفس الغربي المعاصر لاستعادة</w:t>
      </w:r>
      <w:r>
        <w:rPr>
          <w:color w:val="222222"/>
        </w:rPr>
        <w:t xml:space="preserve"> البعد الروحي، من يونغ إلى </w:t>
      </w:r>
      <w:proofErr w:type="spellStart"/>
      <w:r>
        <w:rPr>
          <w:color w:val="222222"/>
        </w:rPr>
        <w:t>فرانكل</w:t>
      </w:r>
      <w:proofErr w:type="spellEnd"/>
      <w:r>
        <w:rPr>
          <w:color w:val="222222"/>
        </w:rPr>
        <w:t xml:space="preserve"> إلى فلاسفة العقل المعاصرين.</w:t>
      </w:r>
    </w:p>
    <w:p w14:paraId="5591883D" w14:textId="77777777" w:rsidR="00F915BD" w:rsidRDefault="0081309E">
      <w:pPr>
        <w:pStyle w:val="1"/>
        <w:pBdr>
          <w:bottom w:val="single" w:sz="12" w:space="6" w:color="9C7A25"/>
        </w:pBdr>
        <w:bidi/>
        <w:spacing w:before="480" w:after="240"/>
        <w:jc w:val="right"/>
      </w:pPr>
      <w:r>
        <w:rPr>
          <w:sz w:val="32"/>
          <w:szCs w:val="32"/>
        </w:rPr>
        <w:t>الفصل الأول: أركيولوجيا الروح في تاريخ الفكر: تفكيك النماذج وبيان قصورها</w:t>
      </w:r>
    </w:p>
    <w:p w14:paraId="4B247176" w14:textId="77777777" w:rsidR="00F915BD" w:rsidRDefault="0081309E">
      <w:pPr>
        <w:pStyle w:val="2"/>
        <w:bidi/>
        <w:spacing w:before="320" w:after="160"/>
        <w:jc w:val="right"/>
      </w:pPr>
      <w:r>
        <w:rPr>
          <w:sz w:val="27"/>
          <w:szCs w:val="27"/>
        </w:rPr>
        <w:t>1.1 الروح في الفلسفة اليونانية: النفس والعقل والخلود</w:t>
      </w:r>
    </w:p>
    <w:p w14:paraId="5021ABE2" w14:textId="77777777" w:rsidR="00F915BD" w:rsidRDefault="0081309E">
      <w:pPr>
        <w:spacing w:after="200" w:line="336" w:lineRule="auto"/>
        <w:jc w:val="both"/>
      </w:pPr>
      <w:r>
        <w:rPr>
          <w:color w:val="222222"/>
        </w:rPr>
        <w:t>في الفلسفة اليونانية اختلط مفهوم «الروح» بمفهومَي «النفس» (</w:t>
      </w:r>
      <w:proofErr w:type="spellStart"/>
      <w:r>
        <w:rPr>
          <w:color w:val="222222"/>
        </w:rPr>
        <w:t>Psyche</w:t>
      </w:r>
      <w:proofErr w:type="spellEnd"/>
      <w:r>
        <w:rPr>
          <w:color w:val="222222"/>
        </w:rPr>
        <w:t>) و«العقل» (</w:t>
      </w:r>
      <w:proofErr w:type="spellStart"/>
      <w:r>
        <w:rPr>
          <w:color w:val="222222"/>
        </w:rPr>
        <w:t>Nous</w:t>
      </w:r>
      <w:proofErr w:type="spellEnd"/>
      <w:r>
        <w:rPr>
          <w:color w:val="222222"/>
        </w:rPr>
        <w:t>) اختلاطاً منهجياً لم يُحلّ إلى اليوم. فأفلاطون -- في محاورة «فيدون» -- رأى أن النفس خالدة ومفارقة للجسد، وأنها كانت في «عالم المُثُل» قبل أن تهبط إلى الجسد، فالجسد عنده «سجن» أو «قبر» للنفس (</w:t>
      </w:r>
      <w:proofErr w:type="spellStart"/>
      <w:r>
        <w:rPr>
          <w:color w:val="222222"/>
        </w:rPr>
        <w:t>Sōma-Sēma</w:t>
      </w:r>
      <w:proofErr w:type="spellEnd"/>
      <w:r>
        <w:rPr>
          <w:color w:val="222222"/>
        </w:rPr>
        <w:t>)، والمعرفة الحقة هي تذكّر (</w:t>
      </w:r>
      <w:proofErr w:type="spellStart"/>
      <w:r>
        <w:rPr>
          <w:color w:val="222222"/>
        </w:rPr>
        <w:t>Anamnesis</w:t>
      </w:r>
      <w:proofErr w:type="spellEnd"/>
      <w:r>
        <w:rPr>
          <w:color w:val="222222"/>
        </w:rPr>
        <w:t>) لما رأته النفس في عالمها الأصلي [7].</w:t>
      </w:r>
    </w:p>
    <w:p w14:paraId="36CBEC25" w14:textId="77777777" w:rsidR="00F915BD" w:rsidRDefault="0081309E">
      <w:pPr>
        <w:spacing w:after="200" w:line="336" w:lineRule="auto"/>
        <w:jc w:val="both"/>
      </w:pPr>
      <w:r>
        <w:rPr>
          <w:color w:val="222222"/>
        </w:rPr>
        <w:t>أما أرسطو -- في «كتاب النفس» (</w:t>
      </w:r>
      <w:proofErr w:type="spellStart"/>
      <w:r>
        <w:rPr>
          <w:color w:val="222222"/>
        </w:rPr>
        <w:t>De</w:t>
      </w:r>
      <w:proofErr w:type="spellEnd"/>
      <w:r>
        <w:rPr>
          <w:color w:val="222222"/>
        </w:rPr>
        <w:t xml:space="preserve"> </w:t>
      </w:r>
      <w:proofErr w:type="spellStart"/>
      <w:r>
        <w:rPr>
          <w:color w:val="222222"/>
        </w:rPr>
        <w:t>Anima</w:t>
      </w:r>
      <w:proofErr w:type="spellEnd"/>
      <w:r>
        <w:rPr>
          <w:color w:val="222222"/>
        </w:rPr>
        <w:t>) -- فقد ميّز بين ثلاث مراتب: «النفس النباتية» (مبدأ التغذي والنمو)، و«النفس الحيوانية» (مبدأ الإحساس والحركة)، و«النفس الناطقة» (مبدأ العقل والتمييز)، لكنه جعل النفس -- في النهاية -- «صورة» (</w:t>
      </w:r>
      <w:proofErr w:type="spellStart"/>
      <w:r>
        <w:rPr>
          <w:color w:val="222222"/>
        </w:rPr>
        <w:t>Form</w:t>
      </w:r>
      <w:proofErr w:type="spellEnd"/>
      <w:r>
        <w:rPr>
          <w:color w:val="222222"/>
        </w:rPr>
        <w:t>/</w:t>
      </w:r>
      <w:proofErr w:type="spellStart"/>
      <w:r>
        <w:rPr>
          <w:color w:val="222222"/>
        </w:rPr>
        <w:t>Entelecheia</w:t>
      </w:r>
      <w:proofErr w:type="spellEnd"/>
      <w:r>
        <w:rPr>
          <w:color w:val="222222"/>
        </w:rPr>
        <w:t>) الجسد لا جوهراً مستقلاً عنه، أي أنها لا تنفصل عن المادة إلا في وظيفة «العقل الفعّال» (</w:t>
      </w:r>
      <w:proofErr w:type="spellStart"/>
      <w:r>
        <w:rPr>
          <w:color w:val="222222"/>
        </w:rPr>
        <w:t>Nous</w:t>
      </w:r>
      <w:proofErr w:type="spellEnd"/>
      <w:r>
        <w:rPr>
          <w:color w:val="222222"/>
        </w:rPr>
        <w:t xml:space="preserve"> </w:t>
      </w:r>
      <w:proofErr w:type="spellStart"/>
      <w:r>
        <w:rPr>
          <w:color w:val="222222"/>
        </w:rPr>
        <w:t>Poietikos</w:t>
      </w:r>
      <w:proofErr w:type="spellEnd"/>
      <w:r>
        <w:rPr>
          <w:color w:val="222222"/>
        </w:rPr>
        <w:t>) الذي ظل موضع خلاف بين شرّاحه إلى اليوم [6].</w:t>
      </w:r>
    </w:p>
    <w:p w14:paraId="482F28A0" w14:textId="77777777" w:rsidR="00F915BD" w:rsidRDefault="0081309E">
      <w:pPr>
        <w:spacing w:after="200" w:line="336" w:lineRule="auto"/>
        <w:jc w:val="both"/>
      </w:pPr>
      <w:r>
        <w:rPr>
          <w:color w:val="222222"/>
        </w:rPr>
        <w:t xml:space="preserve">ثم جاء </w:t>
      </w:r>
      <w:proofErr w:type="spellStart"/>
      <w:r>
        <w:rPr>
          <w:color w:val="222222"/>
        </w:rPr>
        <w:t>أفلوطين</w:t>
      </w:r>
      <w:proofErr w:type="spellEnd"/>
      <w:r>
        <w:rPr>
          <w:color w:val="222222"/>
        </w:rPr>
        <w:t xml:space="preserve"> (</w:t>
      </w:r>
      <w:proofErr w:type="spellStart"/>
      <w:r>
        <w:rPr>
          <w:color w:val="222222"/>
        </w:rPr>
        <w:t>Plotinus</w:t>
      </w:r>
      <w:proofErr w:type="spellEnd"/>
      <w:r>
        <w:rPr>
          <w:color w:val="222222"/>
        </w:rPr>
        <w:t>)، مؤسس الأفلاطونية المحدثة، فقدّم تصوراً أكثر تعقيداً: النفس عنده فيض (</w:t>
      </w:r>
      <w:proofErr w:type="spellStart"/>
      <w:r>
        <w:rPr>
          <w:color w:val="222222"/>
        </w:rPr>
        <w:t>Emanation</w:t>
      </w:r>
      <w:proofErr w:type="spellEnd"/>
      <w:r>
        <w:rPr>
          <w:color w:val="222222"/>
        </w:rPr>
        <w:t>) من «العقل الكلي» (</w:t>
      </w:r>
      <w:proofErr w:type="spellStart"/>
      <w:r>
        <w:rPr>
          <w:color w:val="222222"/>
        </w:rPr>
        <w:t>Nous</w:t>
      </w:r>
      <w:proofErr w:type="spellEnd"/>
      <w:r>
        <w:rPr>
          <w:color w:val="222222"/>
        </w:rPr>
        <w:t>)، وهذا بدوره فيض من «الواحد» (</w:t>
      </w:r>
      <w:proofErr w:type="spellStart"/>
      <w:r>
        <w:rPr>
          <w:color w:val="222222"/>
        </w:rPr>
        <w:t>The</w:t>
      </w:r>
      <w:proofErr w:type="spellEnd"/>
      <w:r>
        <w:rPr>
          <w:color w:val="222222"/>
        </w:rPr>
        <w:t xml:space="preserve"> </w:t>
      </w:r>
      <w:proofErr w:type="spellStart"/>
      <w:r>
        <w:rPr>
          <w:color w:val="222222"/>
        </w:rPr>
        <w:t>One</w:t>
      </w:r>
      <w:proofErr w:type="spellEnd"/>
      <w:r>
        <w:rPr>
          <w:color w:val="222222"/>
        </w:rPr>
        <w:t>) الذي يفوق الوجود والماهية معاً. والنفس -- في هذا النسق -- تظل «غير هابطة بالكلية» (</w:t>
      </w:r>
      <w:proofErr w:type="spellStart"/>
      <w:r>
        <w:rPr>
          <w:color w:val="222222"/>
        </w:rPr>
        <w:t>Undescended</w:t>
      </w:r>
      <w:proofErr w:type="spellEnd"/>
      <w:r>
        <w:rPr>
          <w:color w:val="222222"/>
        </w:rPr>
        <w:t xml:space="preserve"> </w:t>
      </w:r>
      <w:proofErr w:type="spellStart"/>
      <w:r>
        <w:rPr>
          <w:color w:val="222222"/>
        </w:rPr>
        <w:t>Soul</w:t>
      </w:r>
      <w:proofErr w:type="spellEnd"/>
      <w:r>
        <w:rPr>
          <w:color w:val="222222"/>
        </w:rPr>
        <w:t>)، أي أن جزءاً منها يبقى متصلاً بعالمها العلوي حتى وهي في الجسد، وهي فكرة أثّرت لاحقاً -- عبر طرق غير مباشرة -- في بعض تصورات الفلاسفة المسلمين عن اتصال النفس الناطقة بالعقل الفعّال [8].</w:t>
      </w:r>
    </w:p>
    <w:p w14:paraId="54364C27" w14:textId="77777777" w:rsidR="00F915BD" w:rsidRDefault="0081309E">
      <w:pPr>
        <w:spacing w:after="200" w:line="336" w:lineRule="auto"/>
        <w:jc w:val="both"/>
      </w:pPr>
      <w:r>
        <w:rPr>
          <w:color w:val="222222"/>
        </w:rPr>
        <w:t xml:space="preserve">والمُلاحَظ أن هذا التصور اليوناني بأكمله -- رغم عمقه الفلسفي -- ظل أسيراً لثنائية «الجسد/النفس»، ولم يُفرّق بشكل واضح بين «النفس» (كمبدأ الحياة النفسية المتغيرة) و«الروح» (كمبدأ الحياة الروحية السامية المتصلة بالمُطلَق). وهذا الخلط المصطلحي -- كما سنبيّن -- هو أحد أهم نقاط القصور التي يتجاوزها النموذج الاستخلافي بتمييزه الدقيق بين </w:t>
      </w:r>
      <w:proofErr w:type="spellStart"/>
      <w:r>
        <w:rPr>
          <w:color w:val="222222"/>
        </w:rPr>
        <w:t>Rūḥ</w:t>
      </w:r>
      <w:proofErr w:type="spellEnd"/>
      <w:r>
        <w:rPr>
          <w:color w:val="222222"/>
        </w:rPr>
        <w:t xml:space="preserve"> </w:t>
      </w:r>
      <w:proofErr w:type="spellStart"/>
      <w:r>
        <w:rPr>
          <w:color w:val="222222"/>
        </w:rPr>
        <w:t>وNafs</w:t>
      </w:r>
      <w:proofErr w:type="spellEnd"/>
      <w:r>
        <w:rPr>
          <w:color w:val="222222"/>
        </w:rPr>
        <w:t>.</w:t>
      </w:r>
    </w:p>
    <w:p w14:paraId="42145FB1" w14:textId="77777777" w:rsidR="00F915BD" w:rsidRDefault="0081309E">
      <w:pPr>
        <w:pStyle w:val="2"/>
        <w:bidi/>
        <w:spacing w:before="320" w:after="160"/>
        <w:jc w:val="right"/>
      </w:pPr>
      <w:r>
        <w:rPr>
          <w:sz w:val="27"/>
          <w:szCs w:val="27"/>
        </w:rPr>
        <w:t xml:space="preserve">1.2 الروح في الفلسفة الإسلامية العقلية: ابن سينا وابن رشد والإشراقيون وصدر </w:t>
      </w:r>
      <w:proofErr w:type="spellStart"/>
      <w:r>
        <w:rPr>
          <w:sz w:val="27"/>
          <w:szCs w:val="27"/>
        </w:rPr>
        <w:t>المتألهين</w:t>
      </w:r>
      <w:proofErr w:type="spellEnd"/>
    </w:p>
    <w:p w14:paraId="22A7D5E1" w14:textId="77777777" w:rsidR="00F915BD" w:rsidRDefault="0081309E">
      <w:pPr>
        <w:spacing w:after="200" w:line="336" w:lineRule="auto"/>
        <w:jc w:val="both"/>
      </w:pPr>
      <w:r>
        <w:rPr>
          <w:color w:val="222222"/>
        </w:rPr>
        <w:t>لم يكتفِ الفكر الإسلامي بالموقف النصي الديني من الروح، بل طوّر -- عبر فلاسفته -- مقاربات عقلية دقيقة حاولت التوفيق بين المنطق الأرسطي والمعطى القرآني. فابن سينا، في «الشفاء» (القسم النفسي منه المعروف بـ«كتاب النفس»)، ميّز بين «النفس» بوصفها كمالاً أولاً لجسم طبيعي آلي، و«العقل الفعّال» المفارق الذي يفيض على النفس الناطقة صورَ المعقولات، مستدلاً على تجرّد النفس الناطقة بحجته الشهيرة المعروفة بـ«الإنسان الطائر» (</w:t>
      </w:r>
      <w:proofErr w:type="spellStart"/>
      <w:r>
        <w:rPr>
          <w:color w:val="222222"/>
        </w:rPr>
        <w:t>Flying</w:t>
      </w:r>
      <w:proofErr w:type="spellEnd"/>
      <w:r>
        <w:rPr>
          <w:color w:val="222222"/>
        </w:rPr>
        <w:t xml:space="preserve"> </w:t>
      </w:r>
      <w:proofErr w:type="spellStart"/>
      <w:r>
        <w:rPr>
          <w:color w:val="222222"/>
        </w:rPr>
        <w:t>Man</w:t>
      </w:r>
      <w:proofErr w:type="spellEnd"/>
      <w:r>
        <w:rPr>
          <w:color w:val="222222"/>
        </w:rPr>
        <w:t xml:space="preserve"> </w:t>
      </w:r>
      <w:proofErr w:type="spellStart"/>
      <w:r>
        <w:rPr>
          <w:color w:val="222222"/>
        </w:rPr>
        <w:t>Argument</w:t>
      </w:r>
      <w:proofErr w:type="spellEnd"/>
      <w:r>
        <w:rPr>
          <w:color w:val="222222"/>
        </w:rPr>
        <w:t>): لو خُلق الإنسان دفعة واحدة معلَّقاً في الهواء منقطعاً عن كل إحساس بجسده، لأثبت وجود ذاته رغم غياب كل إدراك حسي، مما يدل على أن النفس تدرك ذاتها بذاتها لا عبر الجسد [11].</w:t>
      </w:r>
    </w:p>
    <w:p w14:paraId="1BC4E4A5" w14:textId="77777777" w:rsidR="00F915BD" w:rsidRDefault="0081309E">
      <w:pPr>
        <w:spacing w:after="200" w:line="336" w:lineRule="auto"/>
        <w:jc w:val="both"/>
      </w:pPr>
      <w:r>
        <w:rPr>
          <w:color w:val="222222"/>
        </w:rPr>
        <w:t xml:space="preserve">أما ابن رشد، في «تلخيص كتاب النفس» وشرحه الكبير على أرسطو، فقد اتخذ موقفاً مغايراً حاول فيه الدفاع عن وحدة «العقل </w:t>
      </w:r>
      <w:proofErr w:type="spellStart"/>
      <w:r>
        <w:rPr>
          <w:color w:val="222222"/>
        </w:rPr>
        <w:t>الهيولاني</w:t>
      </w:r>
      <w:proofErr w:type="spellEnd"/>
      <w:r>
        <w:rPr>
          <w:color w:val="222222"/>
        </w:rPr>
        <w:t>» (المادي) بين جميع البشر مع فردية الإدراك، وهي المسألة التي أثارت جدلاً لاهوتياً وفلسفياً واسعاً في أوروبا اللاتينية عُرف بـ«الرشدية اللاتينية» [12]. وبين هذين القطبين -- ابن سينا القائل بتجرد النفس الناطقة وفرديتها، وابن رشد المتحفظ على هذا التفرد العقلي -- تتجلى إشكالية مركزية ظلت تلاحق الفلسفة الإسلامية: كيف يمكن التوفيق بين وحدانية الفيض العقلي المفارق وفردية النفس الإنسانية المكلَّفة المسؤولة؟</w:t>
      </w:r>
    </w:p>
    <w:p w14:paraId="6B84417D" w14:textId="77777777" w:rsidR="00F915BD" w:rsidRDefault="0081309E">
      <w:pPr>
        <w:spacing w:after="200" w:line="336" w:lineRule="auto"/>
        <w:jc w:val="both"/>
      </w:pPr>
      <w:r>
        <w:rPr>
          <w:color w:val="222222"/>
        </w:rPr>
        <w:t xml:space="preserve">وفي مقابل هذا التيار المشائي، طوّر شهاب الدين </w:t>
      </w:r>
      <w:proofErr w:type="spellStart"/>
      <w:r>
        <w:rPr>
          <w:color w:val="222222"/>
        </w:rPr>
        <w:t>السهروردي</w:t>
      </w:r>
      <w:proofErr w:type="spellEnd"/>
      <w:r>
        <w:rPr>
          <w:color w:val="222222"/>
        </w:rPr>
        <w:t xml:space="preserve"> في «حكمة الإشراق» فلسفة نورية بديلة، جعل فيها النفس «نوراً مجرداً» (</w:t>
      </w:r>
      <w:proofErr w:type="spellStart"/>
      <w:r>
        <w:rPr>
          <w:color w:val="222222"/>
        </w:rPr>
        <w:t>Nūr</w:t>
      </w:r>
      <w:proofErr w:type="spellEnd"/>
      <w:r>
        <w:rPr>
          <w:color w:val="222222"/>
        </w:rPr>
        <w:t xml:space="preserve"> </w:t>
      </w:r>
      <w:proofErr w:type="spellStart"/>
      <w:r>
        <w:rPr>
          <w:color w:val="222222"/>
        </w:rPr>
        <w:t>Mujarrad</w:t>
      </w:r>
      <w:proofErr w:type="spellEnd"/>
      <w:r>
        <w:rPr>
          <w:color w:val="222222"/>
        </w:rPr>
        <w:t>) من سنخ «نور الأنوار»، هابطاً إلى «برزخ» الجسد المُظلم، في تصور يقترب -- من بعض الوجوه -- من الاستعارة القرآنية للروح كنور إلهي مودَع في الطين، وإن اختلف عنها جذرياً في مسألة أصل النور وكيفية علاقته بالذات الإلهية [13].</w:t>
      </w:r>
    </w:p>
    <w:p w14:paraId="4BD1576A" w14:textId="77777777" w:rsidR="00F915BD" w:rsidRDefault="0081309E">
      <w:pPr>
        <w:spacing w:after="200" w:line="336" w:lineRule="auto"/>
        <w:jc w:val="both"/>
      </w:pPr>
      <w:r>
        <w:rPr>
          <w:color w:val="222222"/>
        </w:rPr>
        <w:t xml:space="preserve">أما صدر </w:t>
      </w:r>
      <w:proofErr w:type="spellStart"/>
      <w:r>
        <w:rPr>
          <w:color w:val="222222"/>
        </w:rPr>
        <w:t>المتألهين</w:t>
      </w:r>
      <w:proofErr w:type="spellEnd"/>
      <w:r>
        <w:rPr>
          <w:color w:val="222222"/>
        </w:rPr>
        <w:t xml:space="preserve"> الشيرازي، في موسوعته «الحكمة المتعالية في الأسفار العقلية الأربعة»، فقد قدّم أعمق تركيب فلسفي إسلامي لمسألة النفس عبر نظريته في «الحركة الجوهرية» (</w:t>
      </w:r>
      <w:proofErr w:type="spellStart"/>
      <w:r>
        <w:rPr>
          <w:color w:val="222222"/>
        </w:rPr>
        <w:t>Ḥaraka</w:t>
      </w:r>
      <w:proofErr w:type="spellEnd"/>
      <w:r>
        <w:rPr>
          <w:color w:val="222222"/>
        </w:rPr>
        <w:t xml:space="preserve"> </w:t>
      </w:r>
      <w:proofErr w:type="spellStart"/>
      <w:r>
        <w:rPr>
          <w:color w:val="222222"/>
        </w:rPr>
        <w:t>Jawhariyya</w:t>
      </w:r>
      <w:proofErr w:type="spellEnd"/>
      <w:r>
        <w:rPr>
          <w:color w:val="222222"/>
        </w:rPr>
        <w:t>): النفس -- عنده -- ليست جوهراً ثابتاً منذ البداية، بل هي «جسمانية الحدوث، روحانية البقاء»، أي أنها تنشأ مع الجسد ثم تتطور جوهرياً عبر مراتب الإدراك حتى تصل إلى التجرد التام عن المادة. وهذا التصور الدينامي -- رغم اختلافه عن الموقف الاستخلافي القائل بمفارقة الروح الأصلية لعالم الخلق منذ النفخة -- يلتقي معه في نقطة جوهرية: رفض اختزال حقيق</w:t>
      </w:r>
      <w:r>
        <w:rPr>
          <w:color w:val="222222"/>
        </w:rPr>
        <w:t>ة الإنسان في المعطى المادي الساكن [14].</w:t>
      </w:r>
    </w:p>
    <w:p w14:paraId="391352DA" w14:textId="77777777" w:rsidR="00F915BD" w:rsidRDefault="0081309E">
      <w:pPr>
        <w:spacing w:after="200" w:line="336" w:lineRule="auto"/>
        <w:jc w:val="both"/>
      </w:pPr>
      <w:r>
        <w:rPr>
          <w:color w:val="222222"/>
        </w:rPr>
        <w:t>وخلاصة القول إن الفلسفة الإسلامية العقلية -- على تعدد مدارسها -- اتفقت على أمر لم تستطع الفلسفة اليونانية ولا الحداثة الغربية لاحقاً الوصول إليه بالوضوح ذاته: أن في الإنسان بُعداً لا يُختزل في الجسم الآلي، وأن هذا البُعد -- مهما اختلفت تسمياته (نفس ناطقة، نور مجرد، جوهر متحرك) -- هو مناط التكليف والمسؤولية والخلود. غير أن هذه المدارس ظلت، في الغالب، حبيسة الجدل العقلي المشّائي أو الإشراقي، ولم تُعِد الروح -- بالمعنى القرآني الدقيق لكلمة «أَمْر» -- إلى موقعها الأنطولوجي المتعالي تماماً كما فعل الخطاب القرآني</w:t>
      </w:r>
      <w:r>
        <w:rPr>
          <w:color w:val="222222"/>
        </w:rPr>
        <w:t xml:space="preserve"> المباشر، وهو ما سيتضح في المبحث التالي.</w:t>
      </w:r>
    </w:p>
    <w:p w14:paraId="355E4AC4" w14:textId="77777777" w:rsidR="00F915BD" w:rsidRDefault="0081309E">
      <w:pPr>
        <w:pStyle w:val="2"/>
        <w:bidi/>
        <w:spacing w:before="320" w:after="160"/>
        <w:jc w:val="right"/>
      </w:pPr>
      <w:r>
        <w:rPr>
          <w:sz w:val="27"/>
          <w:szCs w:val="27"/>
        </w:rPr>
        <w:t>1.3 الروح في الفلسفة الحديثة: ديكارت والانفصال والمادية المعاصرة</w:t>
      </w:r>
    </w:p>
    <w:p w14:paraId="7D67054F" w14:textId="77777777" w:rsidR="00F915BD" w:rsidRDefault="0081309E">
      <w:pPr>
        <w:spacing w:after="200" w:line="336" w:lineRule="auto"/>
        <w:jc w:val="both"/>
      </w:pPr>
      <w:r>
        <w:rPr>
          <w:color w:val="222222"/>
        </w:rPr>
        <w:t xml:space="preserve">في الفلسفة الحديثة، أعاد </w:t>
      </w:r>
      <w:proofErr w:type="spellStart"/>
      <w:r>
        <w:rPr>
          <w:color w:val="222222"/>
        </w:rPr>
        <w:t>رينيه</w:t>
      </w:r>
      <w:proofErr w:type="spellEnd"/>
      <w:r>
        <w:rPr>
          <w:color w:val="222222"/>
        </w:rPr>
        <w:t xml:space="preserve"> ديكارت صياغة الثنائية بين الجسد والنفس، فجعل «الجوهر المفكر» (</w:t>
      </w:r>
      <w:proofErr w:type="spellStart"/>
      <w:r>
        <w:rPr>
          <w:color w:val="222222"/>
        </w:rPr>
        <w:t>Res</w:t>
      </w:r>
      <w:proofErr w:type="spellEnd"/>
      <w:r>
        <w:rPr>
          <w:color w:val="222222"/>
        </w:rPr>
        <w:t xml:space="preserve"> </w:t>
      </w:r>
      <w:proofErr w:type="spellStart"/>
      <w:r>
        <w:rPr>
          <w:color w:val="222222"/>
        </w:rPr>
        <w:t>Cogitans</w:t>
      </w:r>
      <w:proofErr w:type="spellEnd"/>
      <w:r>
        <w:rPr>
          <w:color w:val="222222"/>
        </w:rPr>
        <w:t>) منفصلاً تماماً عن «الجوهر الممتد» (</w:t>
      </w:r>
      <w:proofErr w:type="spellStart"/>
      <w:r>
        <w:rPr>
          <w:color w:val="222222"/>
        </w:rPr>
        <w:t>Res</w:t>
      </w:r>
      <w:proofErr w:type="spellEnd"/>
      <w:r>
        <w:rPr>
          <w:color w:val="222222"/>
        </w:rPr>
        <w:t xml:space="preserve"> </w:t>
      </w:r>
      <w:proofErr w:type="spellStart"/>
      <w:r>
        <w:rPr>
          <w:color w:val="222222"/>
        </w:rPr>
        <w:t>Extensa</w:t>
      </w:r>
      <w:proofErr w:type="spellEnd"/>
      <w:r>
        <w:rPr>
          <w:color w:val="222222"/>
        </w:rPr>
        <w:t xml:space="preserve">)، ووضع بذلك أساس «الثنائية </w:t>
      </w:r>
      <w:proofErr w:type="spellStart"/>
      <w:r>
        <w:rPr>
          <w:color w:val="222222"/>
        </w:rPr>
        <w:t>الديكارتية</w:t>
      </w:r>
      <w:proofErr w:type="spellEnd"/>
      <w:r>
        <w:rPr>
          <w:color w:val="222222"/>
        </w:rPr>
        <w:t>» (</w:t>
      </w:r>
      <w:proofErr w:type="spellStart"/>
      <w:r>
        <w:rPr>
          <w:color w:val="222222"/>
        </w:rPr>
        <w:t>Cartesian</w:t>
      </w:r>
      <w:proofErr w:type="spellEnd"/>
      <w:r>
        <w:rPr>
          <w:color w:val="222222"/>
        </w:rPr>
        <w:t xml:space="preserve"> </w:t>
      </w:r>
      <w:proofErr w:type="spellStart"/>
      <w:r>
        <w:rPr>
          <w:color w:val="222222"/>
        </w:rPr>
        <w:t>Dualism</w:t>
      </w:r>
      <w:proofErr w:type="spellEnd"/>
      <w:r>
        <w:rPr>
          <w:color w:val="222222"/>
        </w:rPr>
        <w:t>) التي هيمنت على الفلسفة الغربية قروناً. لكن ديكارت -- كما يلاحظ الفلاسفة -- لم يفرّق، بدوره، بين النفس والروح، فاختزل الروح في العقل والوعي والتفكير المجرد (</w:t>
      </w:r>
      <w:proofErr w:type="spellStart"/>
      <w:r>
        <w:rPr>
          <w:color w:val="222222"/>
        </w:rPr>
        <w:t>Cogito</w:t>
      </w:r>
      <w:proofErr w:type="spellEnd"/>
      <w:r>
        <w:rPr>
          <w:color w:val="222222"/>
        </w:rPr>
        <w:t xml:space="preserve"> </w:t>
      </w:r>
      <w:proofErr w:type="spellStart"/>
      <w:r>
        <w:rPr>
          <w:color w:val="222222"/>
        </w:rPr>
        <w:t>Ergo</w:t>
      </w:r>
      <w:proofErr w:type="spellEnd"/>
      <w:r>
        <w:rPr>
          <w:color w:val="222222"/>
        </w:rPr>
        <w:t xml:space="preserve"> </w:t>
      </w:r>
      <w:proofErr w:type="spellStart"/>
      <w:r>
        <w:rPr>
          <w:color w:val="222222"/>
        </w:rPr>
        <w:t>Sum</w:t>
      </w:r>
      <w:proofErr w:type="spellEnd"/>
      <w:r>
        <w:rPr>
          <w:color w:val="222222"/>
        </w:rPr>
        <w:t>)، وأورث الفلسفة الغربية مشكلة «العلاقة بين الجوهرين» التي لم يُحسم الجدل حولها إلى اليوم [9].</w:t>
      </w:r>
    </w:p>
    <w:p w14:paraId="7443AC2B" w14:textId="77777777" w:rsidR="00F915BD" w:rsidRDefault="0081309E">
      <w:pPr>
        <w:spacing w:after="200" w:line="336" w:lineRule="auto"/>
        <w:jc w:val="both"/>
      </w:pPr>
      <w:r>
        <w:rPr>
          <w:color w:val="222222"/>
        </w:rPr>
        <w:t xml:space="preserve">أما الفلسفة المعاصرة -- خاصة في تياراتها المادية والوضعية المنطقية </w:t>
      </w:r>
      <w:proofErr w:type="spellStart"/>
      <w:r>
        <w:rPr>
          <w:color w:val="222222"/>
        </w:rPr>
        <w:t>والطبيعانية</w:t>
      </w:r>
      <w:proofErr w:type="spellEnd"/>
      <w:r>
        <w:rPr>
          <w:color w:val="222222"/>
        </w:rPr>
        <w:t xml:space="preserve"> (</w:t>
      </w:r>
      <w:proofErr w:type="spellStart"/>
      <w:r>
        <w:rPr>
          <w:color w:val="222222"/>
        </w:rPr>
        <w:t>Naturalism</w:t>
      </w:r>
      <w:proofErr w:type="spellEnd"/>
      <w:r>
        <w:rPr>
          <w:color w:val="222222"/>
        </w:rPr>
        <w:t>) -- فقد تخلّت، بشكل شبه كامل، عن مفهوم الروح، واعتبرته في أحسن الأحوال نتاجاً للنشاط الدماغي (</w:t>
      </w:r>
      <w:proofErr w:type="spellStart"/>
      <w:r>
        <w:rPr>
          <w:color w:val="222222"/>
        </w:rPr>
        <w:t>Epiphenomenon</w:t>
      </w:r>
      <w:proofErr w:type="spellEnd"/>
      <w:r>
        <w:rPr>
          <w:color w:val="222222"/>
        </w:rPr>
        <w:t>)، أو -- في أسوأها -- وهماً وخرافة ما قبل علمية. وقد وجد هذا الاتجاه سنداً فلسفياً عند هنري برغسون نفسه من حيث لا يقصد أحياناً، إذ إن مفهومه عن «الاندفاع الحيوي» (</w:t>
      </w:r>
      <w:proofErr w:type="spellStart"/>
      <w:r>
        <w:rPr>
          <w:color w:val="222222"/>
        </w:rPr>
        <w:t>Élan</w:t>
      </w:r>
      <w:proofErr w:type="spellEnd"/>
      <w:r>
        <w:rPr>
          <w:color w:val="222222"/>
        </w:rPr>
        <w:t xml:space="preserve"> </w:t>
      </w:r>
      <w:proofErr w:type="spellStart"/>
      <w:r>
        <w:rPr>
          <w:color w:val="222222"/>
        </w:rPr>
        <w:t>Vital</w:t>
      </w:r>
      <w:proofErr w:type="spellEnd"/>
      <w:r>
        <w:rPr>
          <w:color w:val="222222"/>
        </w:rPr>
        <w:t xml:space="preserve">) -- رغم رفضه الاختزال الميكانيكي -- ظل حيوية </w:t>
      </w:r>
      <w:proofErr w:type="spellStart"/>
      <w:r>
        <w:rPr>
          <w:color w:val="222222"/>
        </w:rPr>
        <w:t>طبيعانية</w:t>
      </w:r>
      <w:proofErr w:type="spellEnd"/>
      <w:r>
        <w:rPr>
          <w:color w:val="222222"/>
        </w:rPr>
        <w:t xml:space="preserve"> لا تتجاوز حدود عالم الخلق إلى عالم الأمر الإلهي المتعالي [10].</w:t>
      </w:r>
    </w:p>
    <w:p w14:paraId="6330F337" w14:textId="77777777" w:rsidR="00F915BD" w:rsidRDefault="0081309E">
      <w:pPr>
        <w:spacing w:after="200" w:line="336" w:lineRule="auto"/>
        <w:jc w:val="both"/>
      </w:pPr>
      <w:r>
        <w:rPr>
          <w:color w:val="222222"/>
        </w:rPr>
        <w:t>والمفارقة التي ينبّه إليها الزراع أن هذا الإقصاء المادي للروح لم يخلُ من ثمن باهظ: فحين أُخرجت الروح من معادلة الإنسان، لم يبقَ أمام علم النفس سوى نموذج «الإنسان الآلة» (</w:t>
      </w:r>
      <w:proofErr w:type="spellStart"/>
      <w:r>
        <w:rPr>
          <w:color w:val="222222"/>
        </w:rPr>
        <w:t>Homme-Machine</w:t>
      </w:r>
      <w:proofErr w:type="spellEnd"/>
      <w:r>
        <w:rPr>
          <w:color w:val="222222"/>
        </w:rPr>
        <w:t>) الذي لا يفسر الشوق الوجودي، ولا الإحساس بالمعنى، ولا تجربة القداسة، إلا بوصفها أعراضاً جانبية لعمليات كيميائية عصبية -- وهو تفسير يصف «الآلية» دون أن يبلغ «الماهية».</w:t>
      </w:r>
    </w:p>
    <w:p w14:paraId="67EF8016" w14:textId="77777777" w:rsidR="00F915BD" w:rsidRDefault="0081309E">
      <w:pPr>
        <w:pStyle w:val="2"/>
        <w:bidi/>
        <w:spacing w:before="320" w:after="160"/>
        <w:jc w:val="right"/>
      </w:pPr>
      <w:r>
        <w:rPr>
          <w:sz w:val="27"/>
          <w:szCs w:val="27"/>
        </w:rPr>
        <w:t>1.4 الروح في التراث الإسلامي: الأمر الإلهي والسرّ المكنون</w:t>
      </w:r>
    </w:p>
    <w:p w14:paraId="6A11B68A" w14:textId="77777777" w:rsidR="00F915BD" w:rsidRDefault="0081309E">
      <w:pPr>
        <w:spacing w:after="200" w:line="336" w:lineRule="auto"/>
        <w:jc w:val="both"/>
      </w:pPr>
      <w:r>
        <w:rPr>
          <w:color w:val="222222"/>
        </w:rPr>
        <w:t>في مقابل هذه الاختزالات -- اليونانية والحداثية على السواء -- يقدّم التراث الإسلامي، كما يستعيده الزراع، تصوراً مغايراً وأكثر دقة للروح، مستمَداً من النص القرآني نفسه:</w:t>
      </w:r>
    </w:p>
    <w:p w14:paraId="4494B136" w14:textId="77777777" w:rsidR="00F915BD" w:rsidRDefault="0081309E">
      <w:pPr>
        <w:pBdr>
          <w:top w:val="single" w:sz="8" w:space="8" w:color="9C7A25"/>
          <w:left w:val="single" w:sz="8" w:space="8" w:color="9C7A25"/>
          <w:bottom w:val="single" w:sz="8" w:space="8" w:color="9C7A25"/>
          <w:right w:val="single" w:sz="8" w:space="8" w:color="9C7A25"/>
        </w:pBdr>
        <w:shd w:val="clear" w:color="auto" w:fill="F3ECD8"/>
        <w:spacing w:before="200" w:after="200"/>
        <w:jc w:val="center"/>
      </w:pPr>
      <w:r>
        <w:rPr>
          <w:b/>
          <w:bCs/>
          <w:color w:val="1B2A4A"/>
          <w:sz w:val="27"/>
          <w:szCs w:val="27"/>
        </w:rPr>
        <w:t>﴿ وَيَسْأَلُونَكَ عَنِ الرُّوحِ قُلِ الرُّوحُ مِنْ أَمْرِ رَبِّي وَمَا أُوتِيتُم مِّنَ الْعِلْمِ إِلَّا قَلِيلًا ﴾</w:t>
      </w:r>
      <w:r>
        <w:rPr>
          <w:i/>
          <w:iCs/>
          <w:color w:val="0F6B72"/>
          <w:sz w:val="22"/>
          <w:szCs w:val="22"/>
        </w:rPr>
        <w:t xml:space="preserve">   [الإسراء: 85]</w:t>
      </w:r>
    </w:p>
    <w:p w14:paraId="175F3FBC" w14:textId="77777777" w:rsidR="00F915BD" w:rsidRDefault="0081309E">
      <w:pPr>
        <w:spacing w:after="200" w:line="336" w:lineRule="auto"/>
        <w:jc w:val="both"/>
      </w:pPr>
      <w:r>
        <w:rPr>
          <w:color w:val="222222"/>
        </w:rPr>
        <w:t>هذه الآية المحكمة -- كما يؤكد الزراع -- ترسي ثلاثة مبادئ أساسية:</w:t>
      </w:r>
    </w:p>
    <w:p w14:paraId="3C1CBDFA" w14:textId="77777777" w:rsidR="00F915BD" w:rsidRDefault="0081309E">
      <w:pPr>
        <w:spacing w:after="140" w:line="330" w:lineRule="auto"/>
        <w:ind w:right="420"/>
        <w:jc w:val="both"/>
      </w:pPr>
      <w:r>
        <w:rPr>
          <w:b/>
          <w:bCs/>
          <w:color w:val="9C7A25"/>
        </w:rPr>
        <w:t xml:space="preserve">◆ </w:t>
      </w:r>
      <w:r>
        <w:rPr>
          <w:color w:val="222222"/>
        </w:rPr>
        <w:t>«الروح من أمر ربي»: الروح تنتمي إلى عالم «الأمر» الإلهي، لا إلى عالم «الخلق» المادي (وهو التمييز الذي أصّله القرآن في قوله تعالى: ﴿أَلَا لَهُ الْخَلْقُ وَالْأَمْرُ﴾ [الأعراف: 54]). وهي -- بالتالي -- مختلفة جوهرياً عن الجسد والنفس بمستوياتها التجريبية.</w:t>
      </w:r>
    </w:p>
    <w:p w14:paraId="35B0FFE1" w14:textId="77777777" w:rsidR="00F915BD" w:rsidRDefault="0081309E">
      <w:pPr>
        <w:spacing w:after="140" w:line="330" w:lineRule="auto"/>
        <w:ind w:right="420"/>
        <w:jc w:val="both"/>
      </w:pPr>
      <w:r>
        <w:rPr>
          <w:b/>
          <w:bCs/>
          <w:color w:val="9C7A25"/>
        </w:rPr>
        <w:t xml:space="preserve">◆ </w:t>
      </w:r>
      <w:r>
        <w:rPr>
          <w:color w:val="222222"/>
        </w:rPr>
        <w:t>«وما أوتيتم من العلم إلا قليلاً»: المعرفة البشرية بالروح محدودة وقاصرة بنيوياً، لا عرضياً. والعقل -- مهما بلغ من القوة -- لا يستطيع أن يحيط بكُنهها وماهيتها. وهذا ليس عجزاً معرفياً مؤقتاً يُرجى تجاوزه بتقدّم العلم، بل هو «أدب المعرفة» والوقوف عند حدود المخلوق أمام سرّ الخالق.</w:t>
      </w:r>
    </w:p>
    <w:p w14:paraId="62552F55" w14:textId="77777777" w:rsidR="00F915BD" w:rsidRDefault="0081309E">
      <w:pPr>
        <w:spacing w:after="140" w:line="330" w:lineRule="auto"/>
        <w:ind w:right="420"/>
        <w:jc w:val="both"/>
      </w:pPr>
      <w:r>
        <w:rPr>
          <w:b/>
          <w:bCs/>
          <w:color w:val="9C7A25"/>
        </w:rPr>
        <w:t xml:space="preserve">◆ </w:t>
      </w:r>
      <w:r>
        <w:rPr>
          <w:color w:val="222222"/>
        </w:rPr>
        <w:t>«يسألونك»: السؤال عن الروح مشروع بل مطلوب، لكن الإجابة القرآنية ليست تفصيلية علمية-تجريبية، بل هي إحالة منهجية إلى الغيب والأمر الإلهي، مما يعني أن أي محاولة «لتفسير» الروح تفسيراً مادياً كاملاً هي في ذاتها تجاوز لحدود المعرفة التي رسمها الوحي.</w:t>
      </w:r>
    </w:p>
    <w:p w14:paraId="7905AC7D" w14:textId="77777777" w:rsidR="00F915BD" w:rsidRDefault="0081309E">
      <w:pPr>
        <w:spacing w:after="200" w:line="336" w:lineRule="auto"/>
        <w:jc w:val="both"/>
      </w:pPr>
      <w:r>
        <w:rPr>
          <w:color w:val="222222"/>
        </w:rPr>
        <w:t>وهذا التصور -- كما يطوّره الزراع -- يتجاوز ثنائية الجسد/النفس والمادة/الوعي التي حكمت الفكر الغربي لقرون. فالروح -- هنا -- ليست ضداً للجسد، ولا سجينة فيه كما في التصور الأفلاطوني، ولا مجرد صورة له كما في التصور الأرسطي، بل هي «النفخة الإلهية» التي منحت الطين مرتبة الاستخلاف وكرّمته فوق سائر المخلوقات [5، 15].</w:t>
      </w:r>
    </w:p>
    <w:p w14:paraId="69B724BA" w14:textId="77777777" w:rsidR="00F915BD" w:rsidRDefault="0081309E">
      <w:pPr>
        <w:pStyle w:val="2"/>
        <w:bidi/>
        <w:spacing w:before="320" w:after="160"/>
        <w:jc w:val="right"/>
      </w:pPr>
      <w:r>
        <w:rPr>
          <w:sz w:val="27"/>
          <w:szCs w:val="27"/>
        </w:rPr>
        <w:t>1.5 الروح في علم النفس الغربي المعاصر: محاولات استعادة البُعد الروحي وحدودها</w:t>
      </w:r>
    </w:p>
    <w:p w14:paraId="3208F460" w14:textId="77777777" w:rsidR="00F915BD" w:rsidRDefault="0081309E">
      <w:pPr>
        <w:spacing w:after="200" w:line="336" w:lineRule="auto"/>
        <w:jc w:val="both"/>
      </w:pPr>
      <w:r>
        <w:rPr>
          <w:color w:val="222222"/>
        </w:rPr>
        <w:t>لم يظل علم النفس الغربي -- في القرن العشرين -- وفياً تماماً لبرنامجه الوضعي الأول. فقد برزت محاولات جادة لاستعادة البُعد الروحي، أبرزها عند كارل غوستاف يونغ، الذي ميّز بين «الأنا» (</w:t>
      </w:r>
      <w:proofErr w:type="spellStart"/>
      <w:r>
        <w:rPr>
          <w:color w:val="222222"/>
        </w:rPr>
        <w:t>Ego</w:t>
      </w:r>
      <w:proofErr w:type="spellEnd"/>
      <w:r>
        <w:rPr>
          <w:color w:val="222222"/>
        </w:rPr>
        <w:t>) و«الذات» (</w:t>
      </w:r>
      <w:proofErr w:type="spellStart"/>
      <w:r>
        <w:rPr>
          <w:color w:val="222222"/>
        </w:rPr>
        <w:t>Self</w:t>
      </w:r>
      <w:proofErr w:type="spellEnd"/>
      <w:r>
        <w:rPr>
          <w:color w:val="222222"/>
        </w:rPr>
        <w:t>) بوصفها مركز الشخصية الكلي الذي يتجاوز الوعي، ورأى أن «الروح» (</w:t>
      </w:r>
      <w:proofErr w:type="spellStart"/>
      <w:r>
        <w:rPr>
          <w:color w:val="222222"/>
        </w:rPr>
        <w:t>Seele</w:t>
      </w:r>
      <w:proofErr w:type="spellEnd"/>
      <w:r>
        <w:rPr>
          <w:color w:val="222222"/>
        </w:rPr>
        <w:t>/</w:t>
      </w:r>
      <w:proofErr w:type="spellStart"/>
      <w:r>
        <w:rPr>
          <w:color w:val="222222"/>
        </w:rPr>
        <w:t>Soul</w:t>
      </w:r>
      <w:proofErr w:type="spellEnd"/>
      <w:r>
        <w:rPr>
          <w:color w:val="222222"/>
        </w:rPr>
        <w:t xml:space="preserve">) حاجة </w:t>
      </w:r>
      <w:proofErr w:type="spellStart"/>
      <w:r>
        <w:rPr>
          <w:color w:val="222222"/>
        </w:rPr>
        <w:t>أنثروبولوجية</w:t>
      </w:r>
      <w:proofErr w:type="spellEnd"/>
      <w:r>
        <w:rPr>
          <w:color w:val="222222"/>
        </w:rPr>
        <w:t xml:space="preserve"> فطرية لا تقل واقعية عن الحاجات الغريزية، وأن إهمالها هو المصدر الخفي لكثير من الأعراض العصابية في الحضارة الحديثة [26]. غير أن روح يونغ تظل -- في نهاية التحليل -- بنية نفسية-رمزية جوّانية (</w:t>
      </w:r>
      <w:proofErr w:type="spellStart"/>
      <w:r>
        <w:rPr>
          <w:color w:val="222222"/>
        </w:rPr>
        <w:t>Immanent</w:t>
      </w:r>
      <w:proofErr w:type="spellEnd"/>
      <w:r>
        <w:rPr>
          <w:color w:val="222222"/>
        </w:rPr>
        <w:t>)، أقرب إلى «اللاوعي الجماعي» منها إلى «أمر رباني» متعالٍ بالمعنى القرآني الدقيق.</w:t>
      </w:r>
    </w:p>
    <w:p w14:paraId="1C93C392" w14:textId="77777777" w:rsidR="00F915BD" w:rsidRDefault="0081309E">
      <w:pPr>
        <w:spacing w:after="200" w:line="336" w:lineRule="auto"/>
        <w:jc w:val="both"/>
      </w:pPr>
      <w:r>
        <w:rPr>
          <w:color w:val="222222"/>
        </w:rPr>
        <w:t xml:space="preserve">وفي اتجاه موازٍ، طوّر فيكتور </w:t>
      </w:r>
      <w:proofErr w:type="spellStart"/>
      <w:r>
        <w:rPr>
          <w:color w:val="222222"/>
        </w:rPr>
        <w:t>فرانكل</w:t>
      </w:r>
      <w:proofErr w:type="spellEnd"/>
      <w:r>
        <w:rPr>
          <w:color w:val="222222"/>
        </w:rPr>
        <w:t xml:space="preserve"> -- الطبيب النفسي الناجي من معسكرات الاعتقال النازية -- نظرية «العلاج بالمعنى» (</w:t>
      </w:r>
      <w:proofErr w:type="spellStart"/>
      <w:r>
        <w:rPr>
          <w:color w:val="222222"/>
        </w:rPr>
        <w:t>Logotherapy</w:t>
      </w:r>
      <w:proofErr w:type="spellEnd"/>
      <w:r>
        <w:rPr>
          <w:color w:val="222222"/>
        </w:rPr>
        <w:t>)، مفترضاً وجود «بُعد نووسي» (</w:t>
      </w:r>
      <w:proofErr w:type="spellStart"/>
      <w:r>
        <w:rPr>
          <w:color w:val="222222"/>
        </w:rPr>
        <w:t>Noetic</w:t>
      </w:r>
      <w:proofErr w:type="spellEnd"/>
      <w:r>
        <w:rPr>
          <w:color w:val="222222"/>
        </w:rPr>
        <w:t>/</w:t>
      </w:r>
      <w:proofErr w:type="spellStart"/>
      <w:r>
        <w:rPr>
          <w:color w:val="222222"/>
        </w:rPr>
        <w:t>Spiritual</w:t>
      </w:r>
      <w:proofErr w:type="spellEnd"/>
      <w:r>
        <w:rPr>
          <w:color w:val="222222"/>
        </w:rPr>
        <w:t xml:space="preserve"> </w:t>
      </w:r>
      <w:proofErr w:type="spellStart"/>
      <w:r>
        <w:rPr>
          <w:color w:val="222222"/>
        </w:rPr>
        <w:t>Dimension</w:t>
      </w:r>
      <w:proofErr w:type="spellEnd"/>
      <w:r>
        <w:rPr>
          <w:color w:val="222222"/>
        </w:rPr>
        <w:t>) في الإنسان يتجاوز البُعدين الجسدي والنفسي، وهو مصدر «إرادة المعنى» (</w:t>
      </w:r>
      <w:proofErr w:type="spellStart"/>
      <w:r>
        <w:rPr>
          <w:color w:val="222222"/>
        </w:rPr>
        <w:t>Will</w:t>
      </w:r>
      <w:proofErr w:type="spellEnd"/>
      <w:r>
        <w:rPr>
          <w:color w:val="222222"/>
        </w:rPr>
        <w:t xml:space="preserve"> </w:t>
      </w:r>
      <w:proofErr w:type="spellStart"/>
      <w:r>
        <w:rPr>
          <w:color w:val="222222"/>
        </w:rPr>
        <w:t>to</w:t>
      </w:r>
      <w:proofErr w:type="spellEnd"/>
      <w:r>
        <w:rPr>
          <w:color w:val="222222"/>
        </w:rPr>
        <w:t xml:space="preserve"> </w:t>
      </w:r>
      <w:proofErr w:type="spellStart"/>
      <w:r>
        <w:rPr>
          <w:color w:val="222222"/>
        </w:rPr>
        <w:t>Meaning</w:t>
      </w:r>
      <w:proofErr w:type="spellEnd"/>
      <w:r>
        <w:rPr>
          <w:color w:val="222222"/>
        </w:rPr>
        <w:t xml:space="preserve">) التي اعتبرها الدافع الإنساني الأعمق، أعمق من إرادة اللذة عند فرويد وإرادة القوة عند </w:t>
      </w:r>
      <w:proofErr w:type="spellStart"/>
      <w:r>
        <w:rPr>
          <w:color w:val="222222"/>
        </w:rPr>
        <w:t>أدلر</w:t>
      </w:r>
      <w:proofErr w:type="spellEnd"/>
      <w:r>
        <w:rPr>
          <w:color w:val="222222"/>
        </w:rPr>
        <w:t xml:space="preserve"> [27]. بل إن </w:t>
      </w:r>
      <w:proofErr w:type="spellStart"/>
      <w:r>
        <w:rPr>
          <w:color w:val="222222"/>
        </w:rPr>
        <w:t>فرانكل</w:t>
      </w:r>
      <w:proofErr w:type="spellEnd"/>
      <w:r>
        <w:rPr>
          <w:color w:val="222222"/>
        </w:rPr>
        <w:t xml:space="preserve"> -- في كتابه «الإله </w:t>
      </w:r>
      <w:proofErr w:type="spellStart"/>
      <w:r>
        <w:rPr>
          <w:color w:val="222222"/>
        </w:rPr>
        <w:t>اللاواعي</w:t>
      </w:r>
      <w:proofErr w:type="spellEnd"/>
      <w:r>
        <w:rPr>
          <w:color w:val="222222"/>
        </w:rPr>
        <w:t xml:space="preserve">» -- ذهب إلى أن في أعماق كل إنسان نزوعاً دينياً فطرياً </w:t>
      </w:r>
      <w:proofErr w:type="spellStart"/>
      <w:r>
        <w:rPr>
          <w:color w:val="222222"/>
        </w:rPr>
        <w:t>لاواعياً</w:t>
      </w:r>
      <w:proofErr w:type="spellEnd"/>
      <w:r>
        <w:rPr>
          <w:color w:val="222222"/>
        </w:rPr>
        <w:t>، قريباً في وظيفته من مفهوم الفطرة القرآنية، وإن اختلف عنه في كونه بناءً إ</w:t>
      </w:r>
      <w:r>
        <w:rPr>
          <w:color w:val="222222"/>
        </w:rPr>
        <w:t xml:space="preserve">كلينيكياً استُنبط من الملاحظة </w:t>
      </w:r>
      <w:proofErr w:type="spellStart"/>
      <w:r>
        <w:rPr>
          <w:color w:val="222222"/>
        </w:rPr>
        <w:t>العيادية</w:t>
      </w:r>
      <w:proofErr w:type="spellEnd"/>
      <w:r>
        <w:rPr>
          <w:color w:val="222222"/>
        </w:rPr>
        <w:t xml:space="preserve"> لا من وحي متعالٍ [28].</w:t>
      </w:r>
    </w:p>
    <w:p w14:paraId="6BC27075" w14:textId="77777777" w:rsidR="00F915BD" w:rsidRDefault="0081309E">
      <w:pPr>
        <w:spacing w:after="200" w:line="336" w:lineRule="auto"/>
        <w:jc w:val="both"/>
      </w:pPr>
      <w:r>
        <w:rPr>
          <w:color w:val="222222"/>
        </w:rPr>
        <w:t xml:space="preserve">ويلاحظ الزراع -- في نقده لهذين الاتجاهين وأمثالهما (علم النفس </w:t>
      </w:r>
      <w:proofErr w:type="spellStart"/>
      <w:r>
        <w:rPr>
          <w:color w:val="222222"/>
        </w:rPr>
        <w:t>الترانسبرسونالي</w:t>
      </w:r>
      <w:proofErr w:type="spellEnd"/>
      <w:r>
        <w:rPr>
          <w:color w:val="222222"/>
        </w:rPr>
        <w:t xml:space="preserve">، الروحانية العلمانية </w:t>
      </w:r>
      <w:proofErr w:type="spellStart"/>
      <w:r>
        <w:rPr>
          <w:color w:val="222222"/>
        </w:rPr>
        <w:t>Secular</w:t>
      </w:r>
      <w:proofErr w:type="spellEnd"/>
      <w:r>
        <w:rPr>
          <w:color w:val="222222"/>
        </w:rPr>
        <w:t xml:space="preserve"> </w:t>
      </w:r>
      <w:proofErr w:type="spellStart"/>
      <w:r>
        <w:rPr>
          <w:color w:val="222222"/>
        </w:rPr>
        <w:t>Spirituality</w:t>
      </w:r>
      <w:proofErr w:type="spellEnd"/>
      <w:r>
        <w:rPr>
          <w:color w:val="222222"/>
        </w:rPr>
        <w:t>) -- أنها، رغم قيمتها التصحيحية إزاء الاختزال المادي، تظل جهوداً «</w:t>
      </w:r>
      <w:proofErr w:type="spellStart"/>
      <w:r>
        <w:rPr>
          <w:color w:val="222222"/>
        </w:rPr>
        <w:t>تلفيقية</w:t>
      </w:r>
      <w:proofErr w:type="spellEnd"/>
      <w:r>
        <w:rPr>
          <w:color w:val="222222"/>
        </w:rPr>
        <w:t xml:space="preserve">» تحاول استعادة الروحي من داخل المنظومة </w:t>
      </w:r>
      <w:proofErr w:type="spellStart"/>
      <w:r>
        <w:rPr>
          <w:color w:val="222222"/>
        </w:rPr>
        <w:t>الإنسانوية</w:t>
      </w:r>
      <w:proofErr w:type="spellEnd"/>
      <w:r>
        <w:rPr>
          <w:color w:val="222222"/>
        </w:rPr>
        <w:t xml:space="preserve"> العلمانية ذاتها، دون سند نصي متعالٍ يضبط تعريف الروح وحدودها ووظيفتها. وهنا يستحضر الزراع نقد المفكر السوداني مالك بدري في كتابه «معضلة علماء النفس المسلمين»، الذي بيّن أن استعارة المفاهيم الغربية عن الروح والمعنى -- دون تأصيلها من داخل المنظومة الإسلامية -- تُنتج علماً نفسياً «مهجَّناً» يفتقر إلى الاتساق الأنطولوجي [29]. فالفارق</w:t>
      </w:r>
      <w:r>
        <w:rPr>
          <w:color w:val="222222"/>
        </w:rPr>
        <w:t xml:space="preserve"> الحاسم بين هذه المحاولات الغربية والنموذج الاستخلافي ليس في الاعتراف بوجود بُعد روحي -- فهذا مشترك -- بل في مصدر تعريفه وضوابط معرفته: هل هو بناء إنساني مستنبَط، أم «أمر» إلهي موحى يُستسلَم لغيبيته المعلنة في النص ذاته؟</w:t>
      </w:r>
    </w:p>
    <w:p w14:paraId="1D613018" w14:textId="77777777" w:rsidR="00F915BD" w:rsidRDefault="0081309E">
      <w:r>
        <w:br w:type="page"/>
      </w:r>
    </w:p>
    <w:p w14:paraId="347EB84D" w14:textId="77777777" w:rsidR="00F915BD" w:rsidRDefault="0081309E">
      <w:pPr>
        <w:pStyle w:val="1"/>
        <w:pBdr>
          <w:bottom w:val="single" w:sz="12" w:space="6" w:color="9C7A25"/>
        </w:pBdr>
        <w:bidi/>
        <w:spacing w:before="480" w:after="240"/>
        <w:jc w:val="right"/>
      </w:pPr>
      <w:r>
        <w:rPr>
          <w:sz w:val="32"/>
          <w:szCs w:val="32"/>
        </w:rPr>
        <w:t>الفصل الثاني: الروح والنفس والجسد: الأنطولوجيا الثلاثية في النموذج الاستخلافي</w:t>
      </w:r>
    </w:p>
    <w:p w14:paraId="7C71228F" w14:textId="77777777" w:rsidR="00F915BD" w:rsidRDefault="0081309E">
      <w:pPr>
        <w:pStyle w:val="2"/>
        <w:bidi/>
        <w:spacing w:before="320" w:after="160"/>
        <w:jc w:val="right"/>
      </w:pPr>
      <w:r>
        <w:rPr>
          <w:sz w:val="27"/>
          <w:szCs w:val="27"/>
        </w:rPr>
        <w:t>2.1 التمييز المنهجي بين الروح والنفس</w:t>
      </w:r>
    </w:p>
    <w:p w14:paraId="1B47B7D2" w14:textId="77777777" w:rsidR="00F915BD" w:rsidRDefault="0081309E">
      <w:pPr>
        <w:spacing w:after="200" w:line="336" w:lineRule="auto"/>
        <w:jc w:val="both"/>
      </w:pPr>
      <w:r>
        <w:rPr>
          <w:color w:val="222222"/>
        </w:rPr>
        <w:t>من أهم إسهامات الزراع المنهجية تمييزه الدقيق والواضح بين الروح (</w:t>
      </w:r>
      <w:proofErr w:type="spellStart"/>
      <w:r>
        <w:rPr>
          <w:color w:val="222222"/>
        </w:rPr>
        <w:t>Rūḥ</w:t>
      </w:r>
      <w:proofErr w:type="spellEnd"/>
      <w:r>
        <w:rPr>
          <w:color w:val="222222"/>
        </w:rPr>
        <w:t>) والنفس (</w:t>
      </w:r>
      <w:proofErr w:type="spellStart"/>
      <w:r>
        <w:rPr>
          <w:color w:val="222222"/>
        </w:rPr>
        <w:t>Nafs</w:t>
      </w:r>
      <w:proofErr w:type="spellEnd"/>
      <w:r>
        <w:rPr>
          <w:color w:val="222222"/>
        </w:rPr>
        <w:t>)، وهو تمييز لا نجده بهذه الحدة الاصطلاحية عند كثير من الكتابات المعاصرة في علم النفس الإسلامي، التي كثيراً ما تستعمل اللفظين مترادفين. وهذا التمييز -- كما يؤكد الزراع -- ليس مجرد ترف لفظي أو فلسفي، بل هو ضرورة أنطولوجية ومنهجية لفهم طبيعة الإنسان وتفسير ازدواجية استعداده الأخلاقي:</w:t>
      </w:r>
    </w:p>
    <w:p w14:paraId="2963AE1C" w14:textId="77777777" w:rsidR="00F915BD" w:rsidRDefault="0081309E">
      <w:pPr>
        <w:spacing w:after="140" w:line="330" w:lineRule="auto"/>
        <w:ind w:right="420"/>
        <w:jc w:val="both"/>
      </w:pPr>
      <w:r>
        <w:rPr>
          <w:b/>
          <w:bCs/>
          <w:color w:val="9C7A25"/>
        </w:rPr>
        <w:t xml:space="preserve">◆ </w:t>
      </w:r>
      <w:r>
        <w:rPr>
          <w:color w:val="222222"/>
        </w:rPr>
        <w:t>الروح: هي الجانب الغيبي السامي الذي يتصل بعالم الأمر الإلهي مباشرة. وهي غير قابلة للدراسة التجريبية أو التحليل البشري المباشر، لأن علمها «قليل» ومستتر في الغيب الإلهي [9-11]. وهي -- كما يُعبَّر عنها -- «سر الله في الإنسان» [2، 16]، ثابتة لا تتغير كماً ولا كيفاً منذ النفخة إلى الموت.</w:t>
      </w:r>
    </w:p>
    <w:p w14:paraId="701B3233" w14:textId="77777777" w:rsidR="00F915BD" w:rsidRDefault="0081309E">
      <w:pPr>
        <w:spacing w:after="140" w:line="330" w:lineRule="auto"/>
        <w:ind w:right="420"/>
        <w:jc w:val="both"/>
      </w:pPr>
      <w:r>
        <w:rPr>
          <w:b/>
          <w:bCs/>
          <w:color w:val="9C7A25"/>
        </w:rPr>
        <w:t xml:space="preserve">◆ </w:t>
      </w:r>
      <w:r>
        <w:rPr>
          <w:color w:val="222222"/>
        </w:rPr>
        <w:t xml:space="preserve">النفس: هي الكيان التجريبي الديناميكي الذي يتحرك في العالم ويتفاعل معه، وهي مسرح الصراع بين نوازع الخير والشر. وهي قابلة للدراسة والملاحظة والتحليل النفسي، وهي تتقلب بين مستوياتها الثلاثة القرآنية: «الأمّارة» (يوسف: 53)، </w:t>
      </w:r>
      <w:proofErr w:type="spellStart"/>
      <w:r>
        <w:rPr>
          <w:color w:val="222222"/>
        </w:rPr>
        <w:t>و«اللوّامة</w:t>
      </w:r>
      <w:proofErr w:type="spellEnd"/>
      <w:r>
        <w:rPr>
          <w:color w:val="222222"/>
        </w:rPr>
        <w:t>» (القيامة: 2)، و«المطمئنة» (الفجر: 27-28).</w:t>
      </w:r>
    </w:p>
    <w:p w14:paraId="5E61BA0C" w14:textId="77777777" w:rsidR="00F915BD" w:rsidRDefault="0081309E">
      <w:pPr>
        <w:spacing w:after="200" w:line="336" w:lineRule="auto"/>
        <w:jc w:val="both"/>
      </w:pPr>
      <w:r>
        <w:rPr>
          <w:color w:val="222222"/>
        </w:rPr>
        <w:t>وهذا التمييز -- بين الروح (الغيبية، الثابتة، السامية، الواحدة الماهية في كل إنسان) والنفس (التجريبية، المتغيرة، المتقلبة، المتفاوتة درجة بين إنسان وآخر) -- هو أساس النموذج الهرمي القرآني بأكمله. وبدونه، كما يقول الزراع، يختلط كل شيء، ويصعب فهم كيف يمكن للإنسان أن يكون «مزدوج الاستعداد» (فجور وتقوى، الشمس: 8) وقابلاً في الوقت ذاته للتغيير والتحول من حال إلى حال، رغم أن جوهره الروحي واحد لا يتبدل.</w:t>
      </w:r>
    </w:p>
    <w:p w14:paraId="662B515F" w14:textId="77777777" w:rsidR="00F915BD" w:rsidRDefault="0081309E">
      <w:pPr>
        <w:spacing w:after="200" w:line="336" w:lineRule="auto"/>
        <w:jc w:val="both"/>
      </w:pPr>
      <w:r>
        <w:rPr>
          <w:color w:val="222222"/>
        </w:rPr>
        <w:t xml:space="preserve">ولتوضيح هذا التمييز بمزيد من الدقة، يمكن القول إن العلاقة بين الروح والنفس أشبه بعلاقة «المصدر» بـ«المسار»: فالروح مصدر ثابت واحد ينفخه الله في كل جنين (كما ورد في حديث ابن مسعود المتفق عليه في نفخ الروح بعد الأطوار الأربعة في الرحم)، بينما النفس مسار متحرك يتشكل عبر تفاعل هذا المصدر الروحي مع الجسد والبيئة والاختيار الحر، فتنتج عنه شخصية فريدة قابلة للصعود نحو الاطمئنان أو الهبوط نحو </w:t>
      </w:r>
      <w:proofErr w:type="spellStart"/>
      <w:r>
        <w:rPr>
          <w:color w:val="222222"/>
        </w:rPr>
        <w:t>الأمّارية</w:t>
      </w:r>
      <w:proofErr w:type="spellEnd"/>
      <w:r>
        <w:rPr>
          <w:color w:val="222222"/>
        </w:rPr>
        <w:t>.</w:t>
      </w:r>
    </w:p>
    <w:p w14:paraId="26DDA2BF" w14:textId="77777777" w:rsidR="00F915BD" w:rsidRDefault="0081309E">
      <w:pPr>
        <w:pStyle w:val="2"/>
        <w:bidi/>
        <w:spacing w:before="320" w:after="160"/>
        <w:jc w:val="right"/>
      </w:pPr>
      <w:r>
        <w:rPr>
          <w:sz w:val="27"/>
          <w:szCs w:val="27"/>
        </w:rPr>
        <w:t xml:space="preserve">2.2 الروح والجسد: النفخة والطين </w:t>
      </w:r>
      <w:proofErr w:type="spellStart"/>
      <w:r>
        <w:rPr>
          <w:sz w:val="27"/>
          <w:szCs w:val="27"/>
        </w:rPr>
        <w:t>والاستخلاف</w:t>
      </w:r>
      <w:proofErr w:type="spellEnd"/>
    </w:p>
    <w:p w14:paraId="1FB94F2F" w14:textId="77777777" w:rsidR="00F915BD" w:rsidRDefault="0081309E">
      <w:pPr>
        <w:spacing w:after="200" w:line="336" w:lineRule="auto"/>
        <w:jc w:val="both"/>
      </w:pPr>
      <w:r>
        <w:rPr>
          <w:color w:val="222222"/>
        </w:rPr>
        <w:t>الروح -- في النموذج الاستخلافي -- هي ما يمنح الجسد (الطين) حياته ومعناه معاً، لا حياته البيولوجية فحسب. وهي -- كما يعبّر عنها الزراع -- «النفخة الإلهية» التي حوّلت الطين إلى خليفة:</w:t>
      </w:r>
    </w:p>
    <w:p w14:paraId="231F70BA" w14:textId="77777777" w:rsidR="00F915BD" w:rsidRDefault="0081309E">
      <w:pPr>
        <w:pBdr>
          <w:top w:val="single" w:sz="8" w:space="8" w:color="9C7A25"/>
          <w:left w:val="single" w:sz="8" w:space="8" w:color="9C7A25"/>
          <w:bottom w:val="single" w:sz="8" w:space="8" w:color="9C7A25"/>
          <w:right w:val="single" w:sz="8" w:space="8" w:color="9C7A25"/>
        </w:pBdr>
        <w:shd w:val="clear" w:color="auto" w:fill="F3ECD8"/>
        <w:spacing w:before="200" w:after="200"/>
        <w:jc w:val="center"/>
      </w:pPr>
      <w:r>
        <w:rPr>
          <w:b/>
          <w:bCs/>
          <w:color w:val="1B2A4A"/>
          <w:sz w:val="27"/>
          <w:szCs w:val="27"/>
        </w:rPr>
        <w:t>﴿ فَإِذَا سَوَّيْتُهُ وَنَفَخْتُ فِيهِ مِن رُّوحِي فَقَعُوا لَهُ سَاجِدِينَ ﴾</w:t>
      </w:r>
      <w:r>
        <w:rPr>
          <w:i/>
          <w:iCs/>
          <w:color w:val="0F6B72"/>
          <w:sz w:val="22"/>
          <w:szCs w:val="22"/>
        </w:rPr>
        <w:t xml:space="preserve">   [الحجر: 29]</w:t>
      </w:r>
    </w:p>
    <w:p w14:paraId="08346152" w14:textId="77777777" w:rsidR="00F915BD" w:rsidRDefault="0081309E">
      <w:pPr>
        <w:spacing w:after="200" w:line="336" w:lineRule="auto"/>
        <w:jc w:val="both"/>
      </w:pPr>
      <w:r>
        <w:rPr>
          <w:color w:val="222222"/>
        </w:rPr>
        <w:t xml:space="preserve">وهذه الإضافة -- «روحي» -- هي إضافة تشريف وتعظيم (إضافة تشريفية </w:t>
      </w:r>
      <w:proofErr w:type="spellStart"/>
      <w:r>
        <w:rPr>
          <w:color w:val="222222"/>
        </w:rPr>
        <w:t>Iḍāfat</w:t>
      </w:r>
      <w:proofErr w:type="spellEnd"/>
      <w:r>
        <w:rPr>
          <w:color w:val="222222"/>
        </w:rPr>
        <w:t xml:space="preserve"> </w:t>
      </w:r>
      <w:proofErr w:type="spellStart"/>
      <w:r>
        <w:rPr>
          <w:color w:val="222222"/>
        </w:rPr>
        <w:t>Tashrīf</w:t>
      </w:r>
      <w:proofErr w:type="spellEnd"/>
      <w:r>
        <w:rPr>
          <w:color w:val="222222"/>
        </w:rPr>
        <w:t xml:space="preserve">)، على نسق «بيت الله» و«ناقة الله»، ولا تعني -- بأي حال -- أن الروح جزء من ذات الله تعالى الله عن ذلك علواً كبيراً، بل تعني أنها مخلوقة له سبحانه ومضافة إليه إضافة ملك وتشريف واصطفاء، تماماً كما أن «بيت الله» ليس مسكناً له تعالى بل بيتاً مشرَّفاً بالنسبة إليه. وهذا الفارق العقدي الدقيق -- الذي يشدد عليه الزراع تبعاً لجمهور المفسرين -- يحصّن النموذج الاستخلافي من الانزلاق نحو أي تصور حلولي أو </w:t>
      </w:r>
      <w:proofErr w:type="spellStart"/>
      <w:r>
        <w:rPr>
          <w:color w:val="222222"/>
        </w:rPr>
        <w:t>وحدوجودي</w:t>
      </w:r>
      <w:proofErr w:type="spellEnd"/>
      <w:r>
        <w:rPr>
          <w:color w:val="222222"/>
        </w:rPr>
        <w:t xml:space="preserve"> (</w:t>
      </w:r>
      <w:proofErr w:type="spellStart"/>
      <w:r>
        <w:rPr>
          <w:color w:val="222222"/>
        </w:rPr>
        <w:t>Pantheistic</w:t>
      </w:r>
      <w:proofErr w:type="spellEnd"/>
      <w:r>
        <w:rPr>
          <w:color w:val="222222"/>
        </w:rPr>
        <w:t>) لعلاقة الروح بالذات الإلهية.</w:t>
      </w:r>
    </w:p>
    <w:p w14:paraId="5C8640C8" w14:textId="77777777" w:rsidR="00F915BD" w:rsidRDefault="0081309E">
      <w:pPr>
        <w:spacing w:after="200" w:line="336" w:lineRule="auto"/>
        <w:jc w:val="both"/>
      </w:pPr>
      <w:r>
        <w:rPr>
          <w:color w:val="222222"/>
        </w:rPr>
        <w:t>والجسد -- من دون الروح -- هو طين ومادة فانية لا قيمة استخلافية لها في ذاتها، كما تشهد بذلك أطوار الخلق القرآنية (من سلالة من طين، ثم نطفة، ثم علقة...) التي تسبق مرحلة النفخ. والروح -- من دون الجسد -- لا تستطيع أن تمارس الاستخلاف في الأرض، إذ إن التكليف والابتلاء يستلزمان وجوداً زمانياً-مكانياً يُمارَس فيه الاختيار والفعل. والزواج بين الروح والجسد -- في هذه الحياة الدنيا -- هو شرط إمكان الاستخلاف والابتلاء والتكليف جميعاً، وهو زواج مؤقت ينتهي بالموت الذي هو -- في التصور الاستخلافي -- مفارقة الروح للجسد لا فن</w:t>
      </w:r>
      <w:r>
        <w:rPr>
          <w:color w:val="222222"/>
        </w:rPr>
        <w:t>اءها [6]، تمهيداً لإعادة الاجتماع بهما يوم البعث في نشأة أخرى.</w:t>
      </w:r>
    </w:p>
    <w:p w14:paraId="25702920" w14:textId="77777777" w:rsidR="00F915BD" w:rsidRDefault="0081309E">
      <w:pPr>
        <w:pStyle w:val="2"/>
        <w:bidi/>
        <w:spacing w:before="320" w:after="160"/>
        <w:jc w:val="right"/>
      </w:pPr>
      <w:r>
        <w:rPr>
          <w:sz w:val="27"/>
          <w:szCs w:val="27"/>
        </w:rPr>
        <w:t>2.3 الروح والقلب والفطرة: نقاط الاتصال والتداخل</w:t>
      </w:r>
    </w:p>
    <w:p w14:paraId="5AE67CC0" w14:textId="77777777" w:rsidR="00F915BD" w:rsidRDefault="0081309E">
      <w:pPr>
        <w:spacing w:after="200" w:line="336" w:lineRule="auto"/>
        <w:jc w:val="both"/>
      </w:pPr>
      <w:r>
        <w:rPr>
          <w:color w:val="222222"/>
        </w:rPr>
        <w:t>إذا كانت الروح غيبية وغير قابلة للمعرفة المباشرة، فكيف نشعر بها؟ وكيف تؤثر في النفس والجسد وهي من عالم مغاير كلياً؟ هنا يأتي دور القلب والفطرة كنقاط اتصال ووسائط عملية بين الروح (عالم الأمر) والنفس (عالم الخلق):</w:t>
      </w:r>
    </w:p>
    <w:p w14:paraId="574CC091" w14:textId="77777777" w:rsidR="00F915BD" w:rsidRDefault="0081309E">
      <w:pPr>
        <w:spacing w:after="140" w:line="330" w:lineRule="auto"/>
        <w:ind w:right="420"/>
        <w:jc w:val="both"/>
      </w:pPr>
      <w:r>
        <w:rPr>
          <w:b/>
          <w:bCs/>
          <w:color w:val="9C7A25"/>
        </w:rPr>
        <w:t xml:space="preserve">◆ </w:t>
      </w:r>
      <w:r>
        <w:rPr>
          <w:color w:val="222222"/>
        </w:rPr>
        <w:t>الفطرة: القاعدة الفطرية (</w:t>
      </w:r>
      <w:proofErr w:type="spellStart"/>
      <w:r>
        <w:rPr>
          <w:color w:val="222222"/>
        </w:rPr>
        <w:t>Moral</w:t>
      </w:r>
      <w:proofErr w:type="spellEnd"/>
      <w:r>
        <w:rPr>
          <w:color w:val="222222"/>
        </w:rPr>
        <w:t xml:space="preserve"> OS بتعبير الزراع) التي أودعها الله في كل إنسان هي نقطة التماس الأولى بين الروح والنفس. فـ«الإلهام المزدوج» (فجور وتقوى) هو الأثر الذي تتركه الروح في النفس عند تخلّقها، وهو ما يفسر لماذا لا تُمحى بذرة العودة إلى الله مهما بلغ الانحراف أو الغفلة أو الإلحاد النظري [21].</w:t>
      </w:r>
    </w:p>
    <w:p w14:paraId="36846D51" w14:textId="77777777" w:rsidR="00F915BD" w:rsidRDefault="0081309E">
      <w:pPr>
        <w:spacing w:after="140" w:line="330" w:lineRule="auto"/>
        <w:ind w:right="420"/>
        <w:jc w:val="both"/>
      </w:pPr>
      <w:r>
        <w:rPr>
          <w:b/>
          <w:bCs/>
          <w:color w:val="9C7A25"/>
        </w:rPr>
        <w:t xml:space="preserve">◆ </w:t>
      </w:r>
      <w:r>
        <w:rPr>
          <w:color w:val="222222"/>
        </w:rPr>
        <w:t>القلب: هو -- في الاصطلاح الاستخلافي -- «المسرح الوجودي» الذي تلتقي فيه مستويات النفس الثلاثة (الأمّارة، اللوّامة، المطمئنة) مع النفخة الروحية الإلهية. وهو -- كما يعبّر عنه الزراع -- «المجمع» والبوتقة التي تنصهر فيها كل هذه الطاقات والتأثيرات [17، 18]، وهو ما يفسر التعبير القرآني الدقيق: ﴿إِلَّا مَنْ أَتَى اللَّهَ بِقَلْبٍ سَلِيمٍ﴾ [الشعراء: 89]، إذ إن سلامة القلب هي معيار النجاة يوم القيامة، لا سلامة العقل النظري ولا قوة الجسد.</w:t>
      </w:r>
    </w:p>
    <w:p w14:paraId="116292D2" w14:textId="77777777" w:rsidR="00F915BD" w:rsidRDefault="0081309E">
      <w:pPr>
        <w:spacing w:after="200" w:line="336" w:lineRule="auto"/>
        <w:jc w:val="both"/>
      </w:pPr>
      <w:r>
        <w:rPr>
          <w:color w:val="222222"/>
        </w:rPr>
        <w:t>والمحاسبي -- في «الرعاية لحقوق الله» -- سبق إلى تفصيل هذه الجدلية بين القلب ومنازعه الداخلية، حين ميّز بين خواطر النفس وخواطر الشيطان وخواطر الملك (الإلهام الرباني)، في تصنيف دقيق للحركة الداخلية للقلب يُعد من أبكر المحاولات الإسلامية لما يمكن تسميته اليوم بـ«</w:t>
      </w:r>
      <w:proofErr w:type="spellStart"/>
      <w:r>
        <w:rPr>
          <w:color w:val="222222"/>
        </w:rPr>
        <w:t>ظاهراتية</w:t>
      </w:r>
      <w:proofErr w:type="spellEnd"/>
      <w:r>
        <w:rPr>
          <w:color w:val="222222"/>
        </w:rPr>
        <w:t xml:space="preserve"> الوعي الأخلاقي» (</w:t>
      </w:r>
      <w:proofErr w:type="spellStart"/>
      <w:r>
        <w:rPr>
          <w:color w:val="222222"/>
        </w:rPr>
        <w:t>Phenomenology</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Moral</w:t>
      </w:r>
      <w:proofErr w:type="spellEnd"/>
      <w:r>
        <w:rPr>
          <w:color w:val="222222"/>
        </w:rPr>
        <w:t xml:space="preserve"> </w:t>
      </w:r>
      <w:proofErr w:type="spellStart"/>
      <w:r>
        <w:rPr>
          <w:color w:val="222222"/>
        </w:rPr>
        <w:t>Consciousness</w:t>
      </w:r>
      <w:proofErr w:type="spellEnd"/>
      <w:r>
        <w:rPr>
          <w:color w:val="222222"/>
        </w:rPr>
        <w:t>) [18].</w:t>
      </w:r>
    </w:p>
    <w:p w14:paraId="0DA74654" w14:textId="77777777" w:rsidR="00F915BD" w:rsidRDefault="0081309E">
      <w:pPr>
        <w:pStyle w:val="2"/>
        <w:bidi/>
        <w:spacing w:before="320" w:after="160"/>
        <w:jc w:val="right"/>
      </w:pPr>
      <w:r>
        <w:rPr>
          <w:sz w:val="27"/>
          <w:szCs w:val="27"/>
        </w:rPr>
        <w:t>2.4 نقد الاختزالية: الروح ليست الوعي ولا العقل ولا الهوية النفسية</w:t>
      </w:r>
    </w:p>
    <w:p w14:paraId="6541B54B" w14:textId="77777777" w:rsidR="00F915BD" w:rsidRDefault="0081309E">
      <w:pPr>
        <w:spacing w:after="200" w:line="336" w:lineRule="auto"/>
        <w:jc w:val="both"/>
      </w:pPr>
      <w:r>
        <w:rPr>
          <w:color w:val="222222"/>
        </w:rPr>
        <w:t xml:space="preserve">من أهم الإضافات النقدية التي </w:t>
      </w:r>
      <w:proofErr w:type="spellStart"/>
      <w:r>
        <w:rPr>
          <w:color w:val="222222"/>
        </w:rPr>
        <w:t>يقتضيها</w:t>
      </w:r>
      <w:proofErr w:type="spellEnd"/>
      <w:r>
        <w:rPr>
          <w:color w:val="222222"/>
        </w:rPr>
        <w:t xml:space="preserve"> التعمق في هذا الموضوع التمييز بين الروح -- بالمعنى القرآني -- وبين ثلاثة مفاهيم غربية معاصرة كثيراً ما تُخلَط بها: «الوعي» (</w:t>
      </w:r>
      <w:proofErr w:type="spellStart"/>
      <w:r>
        <w:rPr>
          <w:color w:val="222222"/>
        </w:rPr>
        <w:t>Consciousness</w:t>
      </w:r>
      <w:proofErr w:type="spellEnd"/>
      <w:r>
        <w:rPr>
          <w:color w:val="222222"/>
        </w:rPr>
        <w:t>)، و«العقل» (</w:t>
      </w:r>
      <w:proofErr w:type="spellStart"/>
      <w:r>
        <w:rPr>
          <w:color w:val="222222"/>
        </w:rPr>
        <w:t>Mind</w:t>
      </w:r>
      <w:proofErr w:type="spellEnd"/>
      <w:r>
        <w:rPr>
          <w:color w:val="222222"/>
        </w:rPr>
        <w:t>)، و«الهوية النفسية» (</w:t>
      </w:r>
      <w:proofErr w:type="spellStart"/>
      <w:r>
        <w:rPr>
          <w:color w:val="222222"/>
        </w:rPr>
        <w:t>Self</w:t>
      </w:r>
      <w:proofErr w:type="spellEnd"/>
      <w:r>
        <w:rPr>
          <w:color w:val="222222"/>
        </w:rPr>
        <w:t>/</w:t>
      </w:r>
      <w:proofErr w:type="spellStart"/>
      <w:r>
        <w:rPr>
          <w:color w:val="222222"/>
        </w:rPr>
        <w:t>Identity</w:t>
      </w:r>
      <w:proofErr w:type="spellEnd"/>
      <w:r>
        <w:rPr>
          <w:color w:val="222222"/>
        </w:rPr>
        <w:t>). فالوعي -- في فلسفة العقل المعاصرة -- هو موضوع ما يُعرف بـ«المشكلة الصعبة للوعي» (</w:t>
      </w:r>
      <w:proofErr w:type="spellStart"/>
      <w:r>
        <w:rPr>
          <w:color w:val="222222"/>
        </w:rPr>
        <w:t>Hard</w:t>
      </w:r>
      <w:proofErr w:type="spellEnd"/>
      <w:r>
        <w:rPr>
          <w:color w:val="222222"/>
        </w:rPr>
        <w:t xml:space="preserve"> </w:t>
      </w:r>
      <w:proofErr w:type="spellStart"/>
      <w:r>
        <w:rPr>
          <w:color w:val="222222"/>
        </w:rPr>
        <w:t>Problem</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Consciousness</w:t>
      </w:r>
      <w:proofErr w:type="spellEnd"/>
      <w:r>
        <w:rPr>
          <w:color w:val="222222"/>
        </w:rPr>
        <w:t xml:space="preserve">) التي صاغها ديفيد </w:t>
      </w:r>
      <w:proofErr w:type="spellStart"/>
      <w:r>
        <w:rPr>
          <w:color w:val="222222"/>
        </w:rPr>
        <w:t>تشالمرز</w:t>
      </w:r>
      <w:proofErr w:type="spellEnd"/>
      <w:r>
        <w:rPr>
          <w:color w:val="222222"/>
        </w:rPr>
        <w:t>: لماذا تترافق العمليات الفيزيائية في الدماغ مع تجربة ذاتية شعورية (</w:t>
      </w:r>
      <w:proofErr w:type="spellStart"/>
      <w:r>
        <w:rPr>
          <w:color w:val="222222"/>
        </w:rPr>
        <w:t>Qualia</w:t>
      </w:r>
      <w:proofErr w:type="spellEnd"/>
      <w:r>
        <w:rPr>
          <w:color w:val="222222"/>
        </w:rPr>
        <w:t xml:space="preserve">) أصلاً؟ وقد بيّن </w:t>
      </w:r>
      <w:proofErr w:type="spellStart"/>
      <w:r>
        <w:rPr>
          <w:color w:val="222222"/>
        </w:rPr>
        <w:t>تشالمرز</w:t>
      </w:r>
      <w:proofErr w:type="spellEnd"/>
      <w:r>
        <w:rPr>
          <w:color w:val="222222"/>
        </w:rPr>
        <w:t xml:space="preserve"> أن كل التفسيرات الوظيفية للدماغ -- مهما دقّت -- تفشل في تفسير «لماذا» توجد ا</w:t>
      </w:r>
      <w:r>
        <w:rPr>
          <w:color w:val="222222"/>
        </w:rPr>
        <w:t>لتجربة الذاتية أصلاً لا فقط «كيف» تعمل آلياتها، وهو ما يفتح -- من داخل الفلسفة التحليلية الغربية ذاتها -- ثغرة في البرنامج المادي الاختزالي [25].</w:t>
      </w:r>
    </w:p>
    <w:p w14:paraId="24D4E19A" w14:textId="77777777" w:rsidR="00F915BD" w:rsidRDefault="0081309E">
      <w:pPr>
        <w:spacing w:after="200" w:line="336" w:lineRule="auto"/>
        <w:jc w:val="both"/>
      </w:pPr>
      <w:r>
        <w:rPr>
          <w:color w:val="222222"/>
        </w:rPr>
        <w:t xml:space="preserve">غير أن الزراع ينبّه إلى أن الروح -- بالمعنى القرآني -- أعمق من مجرد كونها «تفسيراً» للوعي أو حلاً لمشكلته الصعبة؛ فهي ليست خاصية ناشئة عن تعقيد الدماغ (كما في نظريات الانبثاق </w:t>
      </w:r>
      <w:proofErr w:type="spellStart"/>
      <w:r>
        <w:rPr>
          <w:color w:val="222222"/>
        </w:rPr>
        <w:t>Emergentism</w:t>
      </w:r>
      <w:proofErr w:type="spellEnd"/>
      <w:r>
        <w:rPr>
          <w:color w:val="222222"/>
        </w:rPr>
        <w:t xml:space="preserve">)، ولا هي مطابقة للوعي أو للعقل أو للهوية النفسية (الأنا) التي تتشكل تاريخياً عبر الذاكرة والتجربة. فالوعي والعقل والهوية كلها من وظائف النفس المتغيرة القابلة للدراسة والفحص (كما تُظهر أبحاث أنطونيو </w:t>
      </w:r>
      <w:proofErr w:type="spellStart"/>
      <w:r>
        <w:rPr>
          <w:color w:val="222222"/>
        </w:rPr>
        <w:t>داماسيو</w:t>
      </w:r>
      <w:proofErr w:type="spellEnd"/>
      <w:r>
        <w:rPr>
          <w:color w:val="222222"/>
        </w:rPr>
        <w:t xml:space="preserve"> حول العلامات الجسدية </w:t>
      </w:r>
      <w:proofErr w:type="spellStart"/>
      <w:r>
        <w:rPr>
          <w:color w:val="222222"/>
        </w:rPr>
        <w:t>Somatic</w:t>
      </w:r>
      <w:proofErr w:type="spellEnd"/>
      <w:r>
        <w:rPr>
          <w:color w:val="222222"/>
        </w:rPr>
        <w:t xml:space="preserve"> </w:t>
      </w:r>
      <w:proofErr w:type="spellStart"/>
      <w:r>
        <w:rPr>
          <w:color w:val="222222"/>
        </w:rPr>
        <w:t>Markers</w:t>
      </w:r>
      <w:proofErr w:type="spellEnd"/>
      <w:r>
        <w:rPr>
          <w:color w:val="222222"/>
        </w:rPr>
        <w:t xml:space="preserve"> ودورها في القرار الأخلاقي [22])، أما الروح فهي المصدر الثابت الذي يمنح هذه الوظائف كلها إمكان وجودها أصلاً، دون أن تكون هي بنفسها إحداها. وبعبارة أدق: النفس بمستوياتها ووظائفها المعرفية والوجدانية هي «ما تفعله» الروح في الجسد عبر الزمن، لا الروح نفسها.</w:t>
      </w:r>
    </w:p>
    <w:p w14:paraId="15DFA53E" w14:textId="77777777" w:rsidR="00F915BD" w:rsidRDefault="0081309E">
      <w:r>
        <w:br w:type="page"/>
      </w:r>
    </w:p>
    <w:p w14:paraId="3FD2FC43" w14:textId="77777777" w:rsidR="00F915BD" w:rsidRDefault="0081309E">
      <w:pPr>
        <w:pStyle w:val="1"/>
        <w:pBdr>
          <w:bottom w:val="single" w:sz="12" w:space="6" w:color="9C7A25"/>
        </w:pBdr>
        <w:bidi/>
        <w:spacing w:before="480" w:after="240"/>
        <w:jc w:val="right"/>
      </w:pPr>
      <w:r>
        <w:rPr>
          <w:sz w:val="32"/>
          <w:szCs w:val="32"/>
        </w:rPr>
        <w:t>الفصل الثالث: الوظائف الوجودية للروح: مبدأ الحياة ومبدأ الشوق ومبدأ التكريم</w:t>
      </w:r>
    </w:p>
    <w:p w14:paraId="1C246DC9" w14:textId="77777777" w:rsidR="00F915BD" w:rsidRDefault="0081309E">
      <w:pPr>
        <w:pStyle w:val="2"/>
        <w:bidi/>
        <w:spacing w:before="320" w:after="160"/>
        <w:jc w:val="right"/>
      </w:pPr>
      <w:r>
        <w:rPr>
          <w:sz w:val="27"/>
          <w:szCs w:val="27"/>
        </w:rPr>
        <w:t>3.1 الروح ومبدأ الحياة: منح الوجود والتدبير</w:t>
      </w:r>
    </w:p>
    <w:p w14:paraId="3C946A86" w14:textId="77777777" w:rsidR="00F915BD" w:rsidRDefault="0081309E">
      <w:pPr>
        <w:spacing w:after="200" w:line="336" w:lineRule="auto"/>
        <w:jc w:val="both"/>
      </w:pPr>
      <w:r>
        <w:rPr>
          <w:color w:val="222222"/>
        </w:rPr>
        <w:t xml:space="preserve">الوظيفة الأولى والأساسية للروح -- كما يحددها الزراع -- هي مبدأ الحياة: فالروح هي التي تمنح الجسد حياته وتدبيره، وبمفارقتها عند الموت ينتهي الجسد إلى التحلل والفناء [6]. وهذا المعنى تؤكده النصوص النبوية في وصف قبض الروح وصعودها، مما يدل على أنها كيان قائم بذاته له وجود مستقل عن الجسد لا مجرد وظيفة عصبية تنطفئ </w:t>
      </w:r>
      <w:proofErr w:type="spellStart"/>
      <w:r>
        <w:rPr>
          <w:color w:val="222222"/>
        </w:rPr>
        <w:t>بانطفاء</w:t>
      </w:r>
      <w:proofErr w:type="spellEnd"/>
      <w:r>
        <w:rPr>
          <w:color w:val="222222"/>
        </w:rPr>
        <w:t xml:space="preserve"> الدماغ.</w:t>
      </w:r>
    </w:p>
    <w:p w14:paraId="24C75A7E" w14:textId="77777777" w:rsidR="00F915BD" w:rsidRDefault="0081309E">
      <w:pPr>
        <w:spacing w:after="200" w:line="336" w:lineRule="auto"/>
        <w:jc w:val="both"/>
      </w:pPr>
      <w:r>
        <w:rPr>
          <w:color w:val="222222"/>
        </w:rPr>
        <w:t>وهذا -- في علم النفس الاستخلافي -- يعني أن الحياة ليست نتاجاً للعمليات الكيميائية والفيزيائية فقط، كما تفترض «الفرضية الحيوية-الفيزيائية الصرفة» (</w:t>
      </w:r>
      <w:proofErr w:type="spellStart"/>
      <w:r>
        <w:rPr>
          <w:color w:val="222222"/>
        </w:rPr>
        <w:t>Physicalist</w:t>
      </w:r>
      <w:proofErr w:type="spellEnd"/>
      <w:r>
        <w:rPr>
          <w:color w:val="222222"/>
        </w:rPr>
        <w:t xml:space="preserve"> </w:t>
      </w:r>
      <w:proofErr w:type="spellStart"/>
      <w:r>
        <w:rPr>
          <w:color w:val="222222"/>
        </w:rPr>
        <w:t>Hypothesis</w:t>
      </w:r>
      <w:proofErr w:type="spellEnd"/>
      <w:r>
        <w:rPr>
          <w:color w:val="222222"/>
        </w:rPr>
        <w:t>) السائدة في علم الأحياء المعاصر، بل هي -- في العمق -- هبة إلهية وسرّ مكنون لا يُختزل في تفاعل الجزيئات. والدماغ والقلب والأعضاء -- رغم أهميتها الوظيفية القصوى وكونها «شرط» ظهور الحياة العضوية -- هي أدوات ووسائط تعبّر الروح من خلالها عن نفسها في العالم المادي، لا مصدر الحياة ذاته ولا علته الفاعلة الأولى.</w:t>
      </w:r>
    </w:p>
    <w:p w14:paraId="0EE75603" w14:textId="77777777" w:rsidR="00F915BD" w:rsidRDefault="0081309E">
      <w:pPr>
        <w:spacing w:after="200" w:line="336" w:lineRule="auto"/>
        <w:jc w:val="both"/>
      </w:pPr>
      <w:r>
        <w:rPr>
          <w:color w:val="222222"/>
        </w:rPr>
        <w:t>ويميّز الزراع هنا بين ثلاثة مستويات من السببية يخلط بينها الاختزال المادي: «السببية الآلية» (كيف تعمل الخلايا العصبية)، و«السببية الوظيفية» (كيف ينتج عن ذلك سلوك منظم)، و«السببية الوجودية» (لماذا يوجد شيء اسمه حياة وشعور أصلاً بدل ألا يوجد شيء). وعلم الأعصاب -- مهما تقدّم -- يجيب فقط عن المستويين الأولين، بينما يظل المستوى الثالث ميداناً للروح بوصفها «أمراً» لا «شيئاً» قابلاً للتفكيك التجريبي.</w:t>
      </w:r>
    </w:p>
    <w:p w14:paraId="5BDB7A71" w14:textId="77777777" w:rsidR="00F915BD" w:rsidRDefault="0081309E">
      <w:pPr>
        <w:pStyle w:val="2"/>
        <w:bidi/>
        <w:spacing w:before="320" w:after="160"/>
        <w:jc w:val="right"/>
      </w:pPr>
      <w:r>
        <w:rPr>
          <w:sz w:val="27"/>
          <w:szCs w:val="27"/>
        </w:rPr>
        <w:t>3.2 الروح ومبدأ الشوق: الحنين إلى الأصل</w:t>
      </w:r>
    </w:p>
    <w:p w14:paraId="0DF53A96" w14:textId="77777777" w:rsidR="00F915BD" w:rsidRDefault="0081309E">
      <w:pPr>
        <w:spacing w:after="200" w:line="336" w:lineRule="auto"/>
        <w:jc w:val="both"/>
      </w:pPr>
      <w:r>
        <w:rPr>
          <w:color w:val="222222"/>
        </w:rPr>
        <w:t>الوظيفة الثانية للروح -- كما يحللها الزراع -- هي مبدأ الشوق والحنين: فالروح التي نُفخت من الله تشتاق إليه، وتحنّ إلى مصدرها، ولا تجد طمأنينتها وسكينتها إلا في ذكره والقرب منه [19، 20]، وهو المعنى الذي تختزله الآية الجامعة:</w:t>
      </w:r>
    </w:p>
    <w:p w14:paraId="13D557CC" w14:textId="77777777" w:rsidR="00F915BD" w:rsidRDefault="0081309E">
      <w:pPr>
        <w:pBdr>
          <w:top w:val="single" w:sz="8" w:space="8" w:color="9C7A25"/>
          <w:left w:val="single" w:sz="8" w:space="8" w:color="9C7A25"/>
          <w:bottom w:val="single" w:sz="8" w:space="8" w:color="9C7A25"/>
          <w:right w:val="single" w:sz="8" w:space="8" w:color="9C7A25"/>
        </w:pBdr>
        <w:shd w:val="clear" w:color="auto" w:fill="F3ECD8"/>
        <w:spacing w:before="200" w:after="200"/>
        <w:jc w:val="center"/>
      </w:pPr>
      <w:r>
        <w:rPr>
          <w:b/>
          <w:bCs/>
          <w:color w:val="1B2A4A"/>
          <w:sz w:val="27"/>
          <w:szCs w:val="27"/>
        </w:rPr>
        <w:t>﴿ أَلَا بِذِكْرِ اللَّهِ تَطْمَئِنُّ الْقُلُوبُ ﴾</w:t>
      </w:r>
      <w:r>
        <w:rPr>
          <w:i/>
          <w:iCs/>
          <w:color w:val="0F6B72"/>
          <w:sz w:val="22"/>
          <w:szCs w:val="22"/>
        </w:rPr>
        <w:t xml:space="preserve">   [الرعد: 28]</w:t>
      </w:r>
    </w:p>
    <w:p w14:paraId="7A95F5A3" w14:textId="77777777" w:rsidR="00F915BD" w:rsidRDefault="0081309E">
      <w:pPr>
        <w:spacing w:after="200" w:line="336" w:lineRule="auto"/>
        <w:jc w:val="both"/>
      </w:pPr>
      <w:r>
        <w:rPr>
          <w:color w:val="222222"/>
        </w:rPr>
        <w:t xml:space="preserve">وهذا الشوق الوجودي العميق -- الذي يشعر به كل إنسان، حتى الملحد الذي ينكر الله بلسانه ويشعر بالفراغ </w:t>
      </w:r>
      <w:proofErr w:type="spellStart"/>
      <w:r>
        <w:rPr>
          <w:color w:val="222222"/>
        </w:rPr>
        <w:t>واللامعنى</w:t>
      </w:r>
      <w:proofErr w:type="spellEnd"/>
      <w:r>
        <w:rPr>
          <w:color w:val="222222"/>
        </w:rPr>
        <w:t xml:space="preserve"> في قلبه -- هو، في النموذج الاستخلافي، الدليل الفطري على وجود الله واتصال الإنسان به. إنه الأثر الذي تتركه النفخة الإلهية في الطين البشري، وهو ما يفسر ظاهرة التديّن العالمية (كما وثّقها ويليام جيمس في «أصناف التجربة الدينية» من زوايا وصفية بحتة) والبحث الدائم عن المعنى والمتعالي، حتى في أشد المجتمعات علمانية.</w:t>
      </w:r>
    </w:p>
    <w:p w14:paraId="65FD67D2" w14:textId="77777777" w:rsidR="00F915BD" w:rsidRDefault="0081309E">
      <w:pPr>
        <w:spacing w:after="200" w:line="336" w:lineRule="auto"/>
        <w:jc w:val="both"/>
      </w:pPr>
      <w:r>
        <w:rPr>
          <w:color w:val="222222"/>
        </w:rPr>
        <w:t xml:space="preserve">ويربط الزراع بين هذا «الشوق» عند </w:t>
      </w:r>
      <w:proofErr w:type="spellStart"/>
      <w:r>
        <w:rPr>
          <w:color w:val="222222"/>
        </w:rPr>
        <w:t>فرانكل</w:t>
      </w:r>
      <w:proofErr w:type="spellEnd"/>
      <w:r>
        <w:rPr>
          <w:color w:val="222222"/>
        </w:rPr>
        <w:t xml:space="preserve"> و«إرادة المعنى»، لكنه يشير إلى فارق جوهري: </w:t>
      </w:r>
      <w:proofErr w:type="spellStart"/>
      <w:r>
        <w:rPr>
          <w:color w:val="222222"/>
        </w:rPr>
        <w:t>فرانكل</w:t>
      </w:r>
      <w:proofErr w:type="spellEnd"/>
      <w:r>
        <w:rPr>
          <w:color w:val="222222"/>
        </w:rPr>
        <w:t xml:space="preserve"> يصف الظاهرة (وجود حاجة إنسانية عالمية للمعنى) دون أن يحدد مصدرها المتعالي تحديداً عقدياً ملزماً، تاركاً الباب مفتوحاً لتعريفات متعددة للمعنى قد تتصادم فيما بينها؛ أما النموذج الاستخلافي فيحدد -- بنص الوحي -- أن هذا الشوق لا يسكن إلا بذكر الله تحديداً، وأن أي إشباع بديل (نجاح مادي، شهرة، لذة) هو تسكين مؤقت يعيد الفراغ إلى الظهور عاجلاً أم آجلاً، وهو ما يفسّر إكلينيكياً ظاهرة «الاكتئاب الوجودي في قمة النجاح» التي </w:t>
      </w:r>
      <w:proofErr w:type="spellStart"/>
      <w:r>
        <w:rPr>
          <w:color w:val="222222"/>
        </w:rPr>
        <w:t>يواجهها</w:t>
      </w:r>
      <w:proofErr w:type="spellEnd"/>
      <w:r>
        <w:rPr>
          <w:color w:val="222222"/>
        </w:rPr>
        <w:t xml:space="preserve"> كثير من المرضى الميسورين ماديّاً</w:t>
      </w:r>
      <w:r>
        <w:rPr>
          <w:color w:val="222222"/>
        </w:rPr>
        <w:t>.</w:t>
      </w:r>
    </w:p>
    <w:p w14:paraId="4584DC00" w14:textId="77777777" w:rsidR="00F915BD" w:rsidRDefault="0081309E">
      <w:pPr>
        <w:pStyle w:val="2"/>
        <w:bidi/>
        <w:spacing w:before="320" w:after="160"/>
        <w:jc w:val="right"/>
      </w:pPr>
      <w:r>
        <w:rPr>
          <w:sz w:val="27"/>
          <w:szCs w:val="27"/>
        </w:rPr>
        <w:t>3.3 الروح ومبدأ التكريم والأمانة: أساس الكرامة الإنسانية</w:t>
      </w:r>
    </w:p>
    <w:p w14:paraId="14F8B761" w14:textId="77777777" w:rsidR="00F915BD" w:rsidRDefault="0081309E">
      <w:pPr>
        <w:spacing w:after="200" w:line="336" w:lineRule="auto"/>
        <w:jc w:val="both"/>
      </w:pPr>
      <w:r>
        <w:rPr>
          <w:color w:val="222222"/>
        </w:rPr>
        <w:t>تضيف هذه الدراسة الموسعة وظيفة ثالثة للروح لم يفردها البحث الأصلي بمبحث مستقل، رغم تأصيلها الضمني في النموذج الاستخلافي: مبدأ التكريم والأمانة. فالروح -- بوصفها نفخة من أمر الله -- هي أساس الكرامة الإنسانية غير المشروطة (</w:t>
      </w:r>
      <w:proofErr w:type="spellStart"/>
      <w:r>
        <w:rPr>
          <w:color w:val="222222"/>
        </w:rPr>
        <w:t>Unconditional</w:t>
      </w:r>
      <w:proofErr w:type="spellEnd"/>
      <w:r>
        <w:rPr>
          <w:color w:val="222222"/>
        </w:rPr>
        <w:t xml:space="preserve"> </w:t>
      </w:r>
      <w:proofErr w:type="spellStart"/>
      <w:r>
        <w:rPr>
          <w:color w:val="222222"/>
        </w:rPr>
        <w:t>Human</w:t>
      </w:r>
      <w:proofErr w:type="spellEnd"/>
      <w:r>
        <w:rPr>
          <w:color w:val="222222"/>
        </w:rPr>
        <w:t xml:space="preserve"> </w:t>
      </w:r>
      <w:proofErr w:type="spellStart"/>
      <w:r>
        <w:rPr>
          <w:color w:val="222222"/>
        </w:rPr>
        <w:t>Dignity</w:t>
      </w:r>
      <w:proofErr w:type="spellEnd"/>
      <w:r>
        <w:rPr>
          <w:color w:val="222222"/>
        </w:rPr>
        <w:t>)، كما تشهد بذلك آية التكريم العامة:</w:t>
      </w:r>
    </w:p>
    <w:p w14:paraId="249FD3BD" w14:textId="77777777" w:rsidR="00F915BD" w:rsidRDefault="0081309E">
      <w:pPr>
        <w:pBdr>
          <w:top w:val="single" w:sz="8" w:space="8" w:color="9C7A25"/>
          <w:left w:val="single" w:sz="8" w:space="8" w:color="9C7A25"/>
          <w:bottom w:val="single" w:sz="8" w:space="8" w:color="9C7A25"/>
          <w:right w:val="single" w:sz="8" w:space="8" w:color="9C7A25"/>
        </w:pBdr>
        <w:shd w:val="clear" w:color="auto" w:fill="F3ECD8"/>
        <w:spacing w:before="200" w:after="200"/>
        <w:jc w:val="center"/>
      </w:pPr>
      <w:r>
        <w:rPr>
          <w:b/>
          <w:bCs/>
          <w:color w:val="1B2A4A"/>
          <w:sz w:val="27"/>
          <w:szCs w:val="27"/>
        </w:rPr>
        <w:t>﴿ وَلَقَدْ كَرَّمْنَا بَنِي آدَمَ ﴾</w:t>
      </w:r>
      <w:r>
        <w:rPr>
          <w:i/>
          <w:iCs/>
          <w:color w:val="0F6B72"/>
          <w:sz w:val="22"/>
          <w:szCs w:val="22"/>
        </w:rPr>
        <w:t xml:space="preserve">   [الإسراء: 70]</w:t>
      </w:r>
    </w:p>
    <w:p w14:paraId="228AC8C9" w14:textId="77777777" w:rsidR="00F915BD" w:rsidRDefault="0081309E">
      <w:pPr>
        <w:spacing w:after="200" w:line="336" w:lineRule="auto"/>
        <w:jc w:val="both"/>
      </w:pPr>
      <w:r>
        <w:rPr>
          <w:color w:val="222222"/>
        </w:rPr>
        <w:t xml:space="preserve">وهذا التكريم -- بخلاف نظريات «الكرامة» في الفلسفة الأخلاقية الغربية الحديثة (كنظرية </w:t>
      </w:r>
      <w:proofErr w:type="spellStart"/>
      <w:r>
        <w:rPr>
          <w:color w:val="222222"/>
        </w:rPr>
        <w:t>كانط</w:t>
      </w:r>
      <w:proofErr w:type="spellEnd"/>
      <w:r>
        <w:rPr>
          <w:color w:val="222222"/>
        </w:rPr>
        <w:t xml:space="preserve"> في «الكرامة» المؤسَّسة على العقلانية والاستقلالية الذاتية </w:t>
      </w:r>
      <w:proofErr w:type="spellStart"/>
      <w:r>
        <w:rPr>
          <w:color w:val="222222"/>
        </w:rPr>
        <w:t>Autonomy</w:t>
      </w:r>
      <w:proofErr w:type="spellEnd"/>
      <w:r>
        <w:rPr>
          <w:color w:val="222222"/>
        </w:rPr>
        <w:t>) -- ليس مشروطاً بامتلاك قدرات عقلية أو إنجازات معينة، بل هو ثابت لكل إنسان بحكم حمله للروح، بصرف النظر عن عمره أو صحته العقلية أو وضعه الاجتماعي. وهذا يمنح النموذج الاستخلافي أساساً أنطولوجياً أمتن لحماية الفئات الأضعف (الأجنة، ذوو الإعاقة الذهنية الشديدة، المحتضرون) من الأسس التعاقدية أو النفعية التي قد تُقصيهم من دائرة «الكرامة» إذا غابت عنهم شروط العقلانية والاستقلالية.</w:t>
      </w:r>
    </w:p>
    <w:p w14:paraId="414599AA" w14:textId="77777777" w:rsidR="00F915BD" w:rsidRDefault="0081309E">
      <w:pPr>
        <w:spacing w:after="200" w:line="336" w:lineRule="auto"/>
        <w:jc w:val="both"/>
      </w:pPr>
      <w:r>
        <w:rPr>
          <w:color w:val="222222"/>
        </w:rPr>
        <w:t xml:space="preserve">ويرتبط هذا التكريم بمفهوم «الأمانة» القرآني في قوله تعالى: ﴿إِنَّا عَرَضْنَا الْأَمَانَةَ عَلَى السَّمَاوَاتِ وَالْأَرْضِ وَالْجِبَالِ فَأَبَيْنَ أَن يَحْمِلْنَهَا وَأَشْفَقْنَ مِنْهَا وَحَمَلَهَا الْإِنسَانُ﴾ [الأحزاب: 72]، حيث تُقرأ هذه الآية -- في النموذج الاستخلافي -- بوصفها إشارة إلى أن حَمْل الروح للأمر الإلهي هو ذاته حمل الأمانة: مسؤولية وجودية هائلة قَبِلها الإنسان دون سائر المخلوقات، وهي مصدر شرفه ومصدر عبئه الوجودي في آن، وهو ما يفسّر -- نفسياً -- التوتر البنيوي الملازم للوجود الإنساني بين الطموح </w:t>
      </w:r>
      <w:r>
        <w:rPr>
          <w:color w:val="222222"/>
        </w:rPr>
        <w:t>إلى الكمال والشعور الدائم بالتقصير.</w:t>
      </w:r>
    </w:p>
    <w:p w14:paraId="2624F603" w14:textId="77777777" w:rsidR="00F915BD" w:rsidRDefault="0081309E">
      <w:r>
        <w:br w:type="page"/>
      </w:r>
    </w:p>
    <w:p w14:paraId="72FE901A" w14:textId="77777777" w:rsidR="00F915BD" w:rsidRDefault="0081309E">
      <w:pPr>
        <w:pStyle w:val="1"/>
        <w:pBdr>
          <w:bottom w:val="single" w:sz="12" w:space="6" w:color="9C7A25"/>
        </w:pBdr>
        <w:bidi/>
        <w:spacing w:before="480" w:after="240"/>
        <w:jc w:val="right"/>
      </w:pPr>
      <w:r>
        <w:rPr>
          <w:sz w:val="32"/>
          <w:szCs w:val="32"/>
        </w:rPr>
        <w:t xml:space="preserve">الفصل الرابع: موقع الروح في النموذج الهرمي: الطابق الغيبي والظل </w:t>
      </w:r>
      <w:proofErr w:type="spellStart"/>
      <w:r>
        <w:rPr>
          <w:sz w:val="32"/>
          <w:szCs w:val="32"/>
        </w:rPr>
        <w:t>المفيء</w:t>
      </w:r>
      <w:proofErr w:type="spellEnd"/>
    </w:p>
    <w:p w14:paraId="2AEB2C6F" w14:textId="77777777" w:rsidR="00F915BD" w:rsidRDefault="0081309E">
      <w:pPr>
        <w:pStyle w:val="2"/>
        <w:bidi/>
        <w:spacing w:before="320" w:after="160"/>
        <w:jc w:val="right"/>
      </w:pPr>
      <w:r>
        <w:rPr>
          <w:sz w:val="27"/>
          <w:szCs w:val="27"/>
        </w:rPr>
        <w:t>4.1 الطابق الغيبي: مقام الأمر الإلهي</w:t>
      </w:r>
    </w:p>
    <w:p w14:paraId="1B1462E3" w14:textId="77777777" w:rsidR="00F915BD" w:rsidRDefault="0081309E">
      <w:pPr>
        <w:spacing w:after="200" w:line="336" w:lineRule="auto"/>
        <w:jc w:val="both"/>
      </w:pPr>
      <w:r>
        <w:rPr>
          <w:color w:val="222222"/>
        </w:rPr>
        <w:t>في النموذج الهرمي القرآني -- كما يصفه الزراع -- تمثل الروح «الطابق الغيبي» الذي يعلو مستويات النفس الثلاثة (الأمّارة، اللوّامة، المطمئنة) [16، 17]. وهذا الطابق -- كما يشير الزراع -- لا يخضع لنفس القوانين التي تحكم المستويات الأخرى؛ فمستويات النفس تخضع لمنطق «الصيرورة» (التحول من حال إلى حال بالمجاهدة والتزكية)، أما الطابق الروحي فثابت لا يعلو ولا يهبط في ذاته، وإنما الذي يعلو ويهبط هو مدى «انكشافه» أو «احتجابه» عن وعي النفس.</w:t>
      </w:r>
    </w:p>
    <w:p w14:paraId="782259A8" w14:textId="77777777" w:rsidR="00F915BD" w:rsidRDefault="0081309E">
      <w:pPr>
        <w:spacing w:after="200" w:line="336" w:lineRule="auto"/>
        <w:jc w:val="both"/>
      </w:pPr>
      <w:r>
        <w:rPr>
          <w:color w:val="222222"/>
        </w:rPr>
        <w:t xml:space="preserve">وهذا </w:t>
      </w:r>
      <w:proofErr w:type="spellStart"/>
      <w:r>
        <w:rPr>
          <w:color w:val="222222"/>
        </w:rPr>
        <w:t>التموقع</w:t>
      </w:r>
      <w:proofErr w:type="spellEnd"/>
      <w:r>
        <w:rPr>
          <w:color w:val="222222"/>
        </w:rPr>
        <w:t xml:space="preserve"> العلوي للروح يعطيها سلطة وتأثيراً على المستويات الأدنى دون أن يُلغي حرية النفس واختيارها، في توازن دقيق بين «التسيير» و«التخيير» يتجنب به النموذج الاستخلافي كلاً من الجبرية الصارمة التي تُسقط المسؤولية الأخلاقية، والاستقلالية المطلقة التي تُنكر أي أثر غيبي في بنية الإنسان. فالروح -- عبر الفطرة والقلب -- تُلهم النفس الخير والتقوى، وتدفعها نحو التزكية والارتقاء؛ وهي، في الوقت نفسه، تتأثر بآثار اختيارات النفس وأفعالها من حيث انكشافها لا من حيث ذاتها: فالذنوب والمعاصي تراكم «الصدأ» على القلب وتحجب نور ا</w:t>
      </w:r>
      <w:r>
        <w:rPr>
          <w:color w:val="222222"/>
        </w:rPr>
        <w:t xml:space="preserve">لروح عن وعي النفس (وهو المعنى الذي تحمله الآية: ﴿كَلَّا بَلْ رَانَ </w:t>
      </w:r>
      <w:proofErr w:type="spellStart"/>
      <w:r>
        <w:rPr>
          <w:color w:val="222222"/>
        </w:rPr>
        <w:t>عَلَىٰ</w:t>
      </w:r>
      <w:proofErr w:type="spellEnd"/>
      <w:r>
        <w:rPr>
          <w:color w:val="222222"/>
        </w:rPr>
        <w:t xml:space="preserve"> قُلُوبِهِم مَّا كَانُوا يَكْسِبُونَ﴾ [المطففين: 14])، بينما الطاعات والقُربات تصقل القلب وتزيده نقاءً وصفاءً فتزداد وظائف الروح انكشافاً لوعي صاحبها.</w:t>
      </w:r>
    </w:p>
    <w:p w14:paraId="58D66EE7" w14:textId="77777777" w:rsidR="00F915BD" w:rsidRDefault="0081309E">
      <w:pPr>
        <w:pStyle w:val="2"/>
        <w:bidi/>
        <w:spacing w:before="320" w:after="160"/>
        <w:jc w:val="right"/>
      </w:pPr>
      <w:r>
        <w:rPr>
          <w:sz w:val="27"/>
          <w:szCs w:val="27"/>
        </w:rPr>
        <w:t xml:space="preserve">4.2 الظل </w:t>
      </w:r>
      <w:proofErr w:type="spellStart"/>
      <w:r>
        <w:rPr>
          <w:sz w:val="27"/>
          <w:szCs w:val="27"/>
        </w:rPr>
        <w:t>المفيء</w:t>
      </w:r>
      <w:proofErr w:type="spellEnd"/>
      <w:r>
        <w:rPr>
          <w:sz w:val="27"/>
          <w:szCs w:val="27"/>
        </w:rPr>
        <w:t>: الإحاطة والمعنى</w:t>
      </w:r>
    </w:p>
    <w:p w14:paraId="35696AE9" w14:textId="77777777" w:rsidR="00F915BD" w:rsidRDefault="0081309E">
      <w:pPr>
        <w:spacing w:after="200" w:line="336" w:lineRule="auto"/>
        <w:jc w:val="both"/>
      </w:pPr>
      <w:r>
        <w:rPr>
          <w:color w:val="222222"/>
        </w:rPr>
        <w:t xml:space="preserve">يصف الزراع الروح -- في علاقتها بالنفس -- بأنها «الظل </w:t>
      </w:r>
      <w:proofErr w:type="spellStart"/>
      <w:r>
        <w:rPr>
          <w:color w:val="222222"/>
        </w:rPr>
        <w:t>المفيء</w:t>
      </w:r>
      <w:proofErr w:type="spellEnd"/>
      <w:r>
        <w:rPr>
          <w:color w:val="222222"/>
        </w:rPr>
        <w:t>»: «الجانب الغيبي الذي يحيط بها ويمنحها الحياة والمعنى، دون أن تدركه النفس في ذاته» [18، 19]. وهذا التشبيه -- كما نلاحظ -- بليغ ودقيق فلسفياً: فالظل، كما نعرفه حسّياً، يحيط بالشيء ويكمله ويعطيه بُعداً ثالثاً (بُعد العمق والامتداد)، لكنه -- في الوقت نفسه -- لا يُدرَك في ذاته بمعزل عن الجسم الذي يظلّله (فأنت لا تستطيع أن تمسك بالظل بمعزل عن مصدره)، بل يُدرَك دوماً عبر أثره لا عبر ماهيته المباشرة.</w:t>
      </w:r>
    </w:p>
    <w:p w14:paraId="28374211" w14:textId="77777777" w:rsidR="00F915BD" w:rsidRDefault="0081309E">
      <w:pPr>
        <w:spacing w:after="200" w:line="336" w:lineRule="auto"/>
        <w:jc w:val="both"/>
      </w:pPr>
      <w:r>
        <w:rPr>
          <w:color w:val="222222"/>
        </w:rPr>
        <w:t xml:space="preserve">وكذلك الروح: تحيط بالنفس وتمنحها الحياة والمعنى، لكن النفس -- في حالتها العادية غير الصافية -- لا تستطيع أن تدرك الروح في ذاتها، بل تدرك آثارها وتجلياتها: الشوق، الطمأنينة عند الذكر، القلق الوجودي عند الغفلة، الإحساس بالتكريم والمسؤولية. وهذا يتقاطع منهجياً مع ما تصفه </w:t>
      </w:r>
      <w:proofErr w:type="spellStart"/>
      <w:r>
        <w:rPr>
          <w:color w:val="222222"/>
        </w:rPr>
        <w:t>ظاهراتية</w:t>
      </w:r>
      <w:proofErr w:type="spellEnd"/>
      <w:r>
        <w:rPr>
          <w:color w:val="222222"/>
        </w:rPr>
        <w:t xml:space="preserve"> الدين (</w:t>
      </w:r>
      <w:proofErr w:type="spellStart"/>
      <w:r>
        <w:rPr>
          <w:color w:val="222222"/>
        </w:rPr>
        <w:t>Phenomenology</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Religion</w:t>
      </w:r>
      <w:proofErr w:type="spellEnd"/>
      <w:r>
        <w:rPr>
          <w:color w:val="222222"/>
        </w:rPr>
        <w:t>) بـ«التجربة القدسية غير المباشرة»، مع فارق جوهري هو أن النموذج الاستخلافي لا يعتبر هذه التجارب مجرد «شعور بالمهيب» (</w:t>
      </w:r>
      <w:proofErr w:type="spellStart"/>
      <w:r>
        <w:rPr>
          <w:color w:val="222222"/>
        </w:rPr>
        <w:t>Numinous</w:t>
      </w:r>
      <w:proofErr w:type="spellEnd"/>
      <w:r>
        <w:rPr>
          <w:color w:val="222222"/>
        </w:rPr>
        <w:t xml:space="preserve">) بالمعنى الذي صاغه رودولف </w:t>
      </w:r>
      <w:proofErr w:type="spellStart"/>
      <w:r>
        <w:rPr>
          <w:color w:val="222222"/>
        </w:rPr>
        <w:t>أوتو</w:t>
      </w:r>
      <w:proofErr w:type="spellEnd"/>
      <w:r>
        <w:rPr>
          <w:color w:val="222222"/>
        </w:rPr>
        <w:t>، بل أثراً حقيقياً لكيان غيبي واقعي هو الروح ذاتها، لا مجرد إسقاط نفسي على تجربة داخلية غامضة.</w:t>
      </w:r>
    </w:p>
    <w:p w14:paraId="6AEE3C59" w14:textId="77777777" w:rsidR="00F915BD" w:rsidRDefault="0081309E">
      <w:pPr>
        <w:pStyle w:val="2"/>
        <w:bidi/>
        <w:spacing w:before="320" w:after="160"/>
        <w:jc w:val="right"/>
      </w:pPr>
      <w:r>
        <w:rPr>
          <w:sz w:val="27"/>
          <w:szCs w:val="27"/>
        </w:rPr>
        <w:t>4.3 جدلية العلو والتأثر: الروح بين الثبات والانكشاف</w:t>
      </w:r>
    </w:p>
    <w:p w14:paraId="508E08AF" w14:textId="77777777" w:rsidR="00F915BD" w:rsidRDefault="0081309E">
      <w:pPr>
        <w:spacing w:after="200" w:line="336" w:lineRule="auto"/>
        <w:jc w:val="both"/>
      </w:pPr>
      <w:r>
        <w:rPr>
          <w:color w:val="222222"/>
        </w:rPr>
        <w:t>من الإضافات التي تستدعيها هذه الدراسة الموسعة توضيح جدلية دقيقة قد تبدو، للوهلة الأولى، تناقضاً في النموذج الهرمي: كيف تكون الروح ثابتة سامية «لا تخضع لنفس القوانين» التي تحكم النفس، وفي الوقت نفسه «تتأثر» بالذنوب والطاعات؟ يحل الزراع هذه الجدلية بالتمييز بين مستويين: مستوى «الماهية» (</w:t>
      </w:r>
      <w:proofErr w:type="spellStart"/>
      <w:r>
        <w:rPr>
          <w:color w:val="222222"/>
        </w:rPr>
        <w:t>Essence</w:t>
      </w:r>
      <w:proofErr w:type="spellEnd"/>
      <w:r>
        <w:rPr>
          <w:color w:val="222222"/>
        </w:rPr>
        <w:t>) ومستوى «الانكشاف» (</w:t>
      </w:r>
      <w:proofErr w:type="spellStart"/>
      <w:r>
        <w:rPr>
          <w:color w:val="222222"/>
        </w:rPr>
        <w:t>Manifestation</w:t>
      </w:r>
      <w:proofErr w:type="spellEnd"/>
      <w:r>
        <w:rPr>
          <w:color w:val="222222"/>
        </w:rPr>
        <w:t>/</w:t>
      </w:r>
      <w:proofErr w:type="spellStart"/>
      <w:r>
        <w:rPr>
          <w:color w:val="222222"/>
        </w:rPr>
        <w:t>Disclosure</w:t>
      </w:r>
      <w:proofErr w:type="spellEnd"/>
      <w:r>
        <w:rPr>
          <w:color w:val="222222"/>
        </w:rPr>
        <w:t>). فالروح في ماهيتها لا تتبدل ولا تتدنس ولا تنقص، لأنها من أمر الله الثابت، والدليل أن أفسق الناس وأتقاهم يحملان نفخة روحية واحدة في الأصل؛ لكن انكشاف هذه الروح لوعي صاحبها -- أي مقدار ما يشعر به الإنسان من أثرها في قلبه من طمأنينة ونور وإلهام -- هو الذي يتفاوت صعوداً وهبوطاً بحسب حال القلب من الصفاء أو الران.</w:t>
      </w:r>
    </w:p>
    <w:p w14:paraId="73F0000E" w14:textId="77777777" w:rsidR="00F915BD" w:rsidRDefault="0081309E">
      <w:pPr>
        <w:spacing w:after="200" w:line="336" w:lineRule="auto"/>
        <w:jc w:val="both"/>
      </w:pPr>
      <w:r>
        <w:rPr>
          <w:color w:val="222222"/>
        </w:rPr>
        <w:t>وهذا التمييز -- بين ماهية ثابتة وانكشاف متغير -- يحل إشكالاً عقدياً ونفسياً في آن: فهو يحفظ للروح قداستها وتنزهها عن التلوث المباشر بالمعصية (بخلاف تصورات دينية أخرى تذهب إلى «تدنيس الروح» ذاتها بالخطيئة)، وفي الوقت نفسه يفسّر إكلينيكياً لماذا يشعر العاصي بضيق وقسوة قلب تدريجية (نتيجة احتجاب انكشاف الروح)، ولماذا تبقى إمكانية التوبة والعودة مفتوحة دوماً مهما بلغ الانحراف (لأن الماهية الروحية الأصلية لم تُمسّ).</w:t>
      </w:r>
    </w:p>
    <w:p w14:paraId="593F1B29" w14:textId="77777777" w:rsidR="00F915BD" w:rsidRDefault="0081309E">
      <w:r>
        <w:br w:type="page"/>
      </w:r>
    </w:p>
    <w:p w14:paraId="6501DA52" w14:textId="77777777" w:rsidR="00F915BD" w:rsidRDefault="0081309E">
      <w:pPr>
        <w:pStyle w:val="1"/>
        <w:pBdr>
          <w:bottom w:val="single" w:sz="12" w:space="6" w:color="9C7A25"/>
        </w:pBdr>
        <w:bidi/>
        <w:spacing w:before="480" w:after="240"/>
        <w:jc w:val="right"/>
      </w:pPr>
      <w:r>
        <w:rPr>
          <w:sz w:val="32"/>
          <w:szCs w:val="32"/>
        </w:rPr>
        <w:t>الفصل الخامس: تزكية النفس وصعود الروح: العلاج والتحول والعودة</w:t>
      </w:r>
    </w:p>
    <w:p w14:paraId="1321613F" w14:textId="77777777" w:rsidR="00F915BD" w:rsidRDefault="0081309E">
      <w:pPr>
        <w:pStyle w:val="2"/>
        <w:bidi/>
        <w:spacing w:before="320" w:after="160"/>
        <w:jc w:val="right"/>
      </w:pPr>
      <w:r>
        <w:rPr>
          <w:sz w:val="27"/>
          <w:szCs w:val="27"/>
        </w:rPr>
        <w:t>5.1 التزكية بوصفها صعوداً روحياً: تجاوز الصحة النفسية</w:t>
      </w:r>
    </w:p>
    <w:p w14:paraId="029C5F1E" w14:textId="77777777" w:rsidR="00F915BD" w:rsidRDefault="0081309E">
      <w:pPr>
        <w:spacing w:after="200" w:line="336" w:lineRule="auto"/>
        <w:jc w:val="both"/>
      </w:pPr>
      <w:r>
        <w:rPr>
          <w:color w:val="222222"/>
        </w:rPr>
        <w:t>في النموذج الاستخلافي، التزكية (</w:t>
      </w:r>
      <w:proofErr w:type="spellStart"/>
      <w:r>
        <w:rPr>
          <w:color w:val="222222"/>
        </w:rPr>
        <w:t>Purification</w:t>
      </w:r>
      <w:proofErr w:type="spellEnd"/>
      <w:r>
        <w:rPr>
          <w:color w:val="222222"/>
        </w:rPr>
        <w:t>/</w:t>
      </w:r>
      <w:proofErr w:type="spellStart"/>
      <w:r>
        <w:rPr>
          <w:color w:val="222222"/>
        </w:rPr>
        <w:t>Tazkiyah</w:t>
      </w:r>
      <w:proofErr w:type="spellEnd"/>
      <w:r>
        <w:rPr>
          <w:color w:val="222222"/>
        </w:rPr>
        <w:t>) ليست مجرد تحسين نفسي أو علاج للأعراض على النمط السلوكي المعرفي التقليدي، بل هي -- في جوهرها -- صعود روحي وارتفاع بالنفس نحو ما نُفخ فيها من أمر ربها [17]. إنها رحلة العودة إلى الأصل: تخليص للنفس من الأدران والعلائق التي تحجب نور الروح، وإعادة للاتصال بالمصدر والمعنى، وهو ما تختزله الآية:</w:t>
      </w:r>
    </w:p>
    <w:p w14:paraId="43F9C256" w14:textId="77777777" w:rsidR="00F915BD" w:rsidRDefault="0081309E">
      <w:pPr>
        <w:pBdr>
          <w:top w:val="single" w:sz="8" w:space="8" w:color="9C7A25"/>
          <w:left w:val="single" w:sz="8" w:space="8" w:color="9C7A25"/>
          <w:bottom w:val="single" w:sz="8" w:space="8" w:color="9C7A25"/>
          <w:right w:val="single" w:sz="8" w:space="8" w:color="9C7A25"/>
        </w:pBdr>
        <w:shd w:val="clear" w:color="auto" w:fill="F3ECD8"/>
        <w:spacing w:before="200" w:after="200"/>
        <w:jc w:val="center"/>
      </w:pPr>
      <w:r>
        <w:rPr>
          <w:b/>
          <w:bCs/>
          <w:color w:val="1B2A4A"/>
          <w:sz w:val="27"/>
          <w:szCs w:val="27"/>
        </w:rPr>
        <w:t>﴿ قَدْ أَفْلَحَ مَن زَكَّاهَا وَقَدْ خَابَ مَن دَسَّاهَا ﴾</w:t>
      </w:r>
      <w:r>
        <w:rPr>
          <w:i/>
          <w:iCs/>
          <w:color w:val="0F6B72"/>
          <w:sz w:val="22"/>
          <w:szCs w:val="22"/>
        </w:rPr>
        <w:t xml:space="preserve">   [الشمس: 9-10]</w:t>
      </w:r>
    </w:p>
    <w:p w14:paraId="5FA13F2D" w14:textId="77777777" w:rsidR="00F915BD" w:rsidRDefault="0081309E">
      <w:pPr>
        <w:spacing w:after="200" w:line="336" w:lineRule="auto"/>
        <w:jc w:val="both"/>
      </w:pPr>
      <w:r>
        <w:rPr>
          <w:color w:val="222222"/>
        </w:rPr>
        <w:t>وهذا -- في بروتوكول TLRT (العلاج بحرث المصالحة التحويلية) -- هو الهدف الأسمى من العلاج: ليس مجرد تخفيف الأعراض (القلق، الاكتئاب، الوسواس)، بل تحقيق التحول الوجودي والوصول إلى مقام النفس المطمئنة التي تسكن إلى ربها وتطمئن بذكره. وهذا يميّز البروتوكول -- منهجياً -- عن نماذج العلاج الغربية التي تتخذ من «تخفيف الأعراض» (</w:t>
      </w:r>
      <w:proofErr w:type="spellStart"/>
      <w:r>
        <w:rPr>
          <w:color w:val="222222"/>
        </w:rPr>
        <w:t>Symptom</w:t>
      </w:r>
      <w:proofErr w:type="spellEnd"/>
      <w:r>
        <w:rPr>
          <w:color w:val="222222"/>
        </w:rPr>
        <w:t xml:space="preserve"> </w:t>
      </w:r>
      <w:proofErr w:type="spellStart"/>
      <w:r>
        <w:rPr>
          <w:color w:val="222222"/>
        </w:rPr>
        <w:t>Reduction</w:t>
      </w:r>
      <w:proofErr w:type="spellEnd"/>
      <w:r>
        <w:rPr>
          <w:color w:val="222222"/>
        </w:rPr>
        <w:t>) أو «التوافق الوظيفي» (</w:t>
      </w:r>
      <w:proofErr w:type="spellStart"/>
      <w:r>
        <w:rPr>
          <w:color w:val="222222"/>
        </w:rPr>
        <w:t>Functional</w:t>
      </w:r>
      <w:proofErr w:type="spellEnd"/>
      <w:r>
        <w:rPr>
          <w:color w:val="222222"/>
        </w:rPr>
        <w:t xml:space="preserve"> </w:t>
      </w:r>
      <w:proofErr w:type="spellStart"/>
      <w:r>
        <w:rPr>
          <w:color w:val="222222"/>
        </w:rPr>
        <w:t>Adjustment</w:t>
      </w:r>
      <w:proofErr w:type="spellEnd"/>
      <w:r>
        <w:rPr>
          <w:color w:val="222222"/>
        </w:rPr>
        <w:t>) غايتها القصوى، دون أن تسأل عن الغاية الوجودية الكبرى لهذا التوافق نفسه: توافق مع ماذا؟ ولأي غرض نهائي؟</w:t>
      </w:r>
    </w:p>
    <w:p w14:paraId="48017B56" w14:textId="77777777" w:rsidR="00F915BD" w:rsidRDefault="0081309E">
      <w:pPr>
        <w:pStyle w:val="2"/>
        <w:bidi/>
        <w:spacing w:before="320" w:after="160"/>
        <w:jc w:val="right"/>
      </w:pPr>
      <w:r>
        <w:rPr>
          <w:sz w:val="27"/>
          <w:szCs w:val="27"/>
        </w:rPr>
        <w:t>5.2 آليات التزكية وتفعيل الأضلاع: الذكر والصلاة والإحسان</w:t>
      </w:r>
    </w:p>
    <w:p w14:paraId="7BE571D9" w14:textId="77777777" w:rsidR="00F915BD" w:rsidRDefault="0081309E">
      <w:pPr>
        <w:spacing w:after="200" w:line="336" w:lineRule="auto"/>
        <w:jc w:val="both"/>
      </w:pPr>
      <w:r>
        <w:rPr>
          <w:color w:val="222222"/>
        </w:rPr>
        <w:t>يحدد الزراع -- في بروتوكول TLRT -- آليات محددة لتزكية النفس وتنشيط انكشاف الروح لوعي صاحبها:</w:t>
      </w:r>
    </w:p>
    <w:p w14:paraId="2C4D8958" w14:textId="77777777" w:rsidR="00F915BD" w:rsidRDefault="0081309E">
      <w:pPr>
        <w:spacing w:after="140" w:line="330" w:lineRule="auto"/>
        <w:ind w:right="420"/>
        <w:jc w:val="both"/>
      </w:pPr>
      <w:r>
        <w:rPr>
          <w:b/>
          <w:bCs/>
          <w:color w:val="9C7A25"/>
        </w:rPr>
        <w:t xml:space="preserve">◆ </w:t>
      </w:r>
      <w:r>
        <w:rPr>
          <w:color w:val="222222"/>
        </w:rPr>
        <w:t>الذكر (</w:t>
      </w:r>
      <w:proofErr w:type="spellStart"/>
      <w:r>
        <w:rPr>
          <w:color w:val="222222"/>
        </w:rPr>
        <w:t>Dhikr</w:t>
      </w:r>
      <w:proofErr w:type="spellEnd"/>
      <w:r>
        <w:rPr>
          <w:color w:val="222222"/>
        </w:rPr>
        <w:t xml:space="preserve">): تذكّر الله واستحضار عظمته ورحمته. وهذا -- في النموذج الاستخلافي -- هو الغذاء الأساسي للروح، والوسيلة الأقوى لتطهير القلب من الصدأ والأدران. وهو -- كما أثبتت الدراسات الحديثة في علم الأعصاب الوجداني -- ينشّط الجهاز </w:t>
      </w:r>
      <w:proofErr w:type="spellStart"/>
      <w:r>
        <w:rPr>
          <w:color w:val="222222"/>
        </w:rPr>
        <w:t>الباراسمبثاوي</w:t>
      </w:r>
      <w:proofErr w:type="spellEnd"/>
      <w:r>
        <w:rPr>
          <w:color w:val="222222"/>
        </w:rPr>
        <w:t xml:space="preserve"> المسؤول عن الراحة والاسترخاء، ويقلل من نشاط الجهاز </w:t>
      </w:r>
      <w:proofErr w:type="spellStart"/>
      <w:r>
        <w:rPr>
          <w:color w:val="222222"/>
        </w:rPr>
        <w:t>السمبثاوي</w:t>
      </w:r>
      <w:proofErr w:type="spellEnd"/>
      <w:r>
        <w:rPr>
          <w:color w:val="222222"/>
        </w:rPr>
        <w:t xml:space="preserve"> المسؤول عن التوتر والقلق، وهو ما يقترب مما وصفه جوزيف </w:t>
      </w:r>
      <w:proofErr w:type="spellStart"/>
      <w:r>
        <w:rPr>
          <w:color w:val="222222"/>
        </w:rPr>
        <w:t>لودو</w:t>
      </w:r>
      <w:proofErr w:type="spellEnd"/>
      <w:r>
        <w:rPr>
          <w:color w:val="222222"/>
        </w:rPr>
        <w:t xml:space="preserve"> في «الدماغ الوجداني» من آليات تنظيم الاستجابة الانفعالية عبر مسارات عصبية-قشرية منظِّمة [23].</w:t>
      </w:r>
    </w:p>
    <w:p w14:paraId="359AC405" w14:textId="77777777" w:rsidR="00F915BD" w:rsidRDefault="0081309E">
      <w:pPr>
        <w:spacing w:after="140" w:line="330" w:lineRule="auto"/>
        <w:ind w:right="420"/>
        <w:jc w:val="both"/>
      </w:pPr>
      <w:r>
        <w:rPr>
          <w:b/>
          <w:bCs/>
          <w:color w:val="9C7A25"/>
        </w:rPr>
        <w:t xml:space="preserve">◆ </w:t>
      </w:r>
      <w:r>
        <w:rPr>
          <w:color w:val="222222"/>
        </w:rPr>
        <w:t>الصلاة (</w:t>
      </w:r>
      <w:proofErr w:type="spellStart"/>
      <w:r>
        <w:rPr>
          <w:color w:val="222222"/>
        </w:rPr>
        <w:t>Salat</w:t>
      </w:r>
      <w:proofErr w:type="spellEnd"/>
      <w:r>
        <w:rPr>
          <w:color w:val="222222"/>
        </w:rPr>
        <w:t>): الوقوف بين يدي الله خمس مرات في اليوم. وهذا -- في النموذج الاستخلافي -- هو «إعادة ضبط للمصنع الأخلاقي» (</w:t>
      </w:r>
      <w:proofErr w:type="spellStart"/>
      <w:r>
        <w:rPr>
          <w:color w:val="222222"/>
        </w:rPr>
        <w:t>Moral</w:t>
      </w:r>
      <w:proofErr w:type="spellEnd"/>
      <w:r>
        <w:rPr>
          <w:color w:val="222222"/>
        </w:rPr>
        <w:t xml:space="preserve"> </w:t>
      </w:r>
      <w:proofErr w:type="spellStart"/>
      <w:r>
        <w:rPr>
          <w:color w:val="222222"/>
        </w:rPr>
        <w:t>Factory</w:t>
      </w:r>
      <w:proofErr w:type="spellEnd"/>
      <w:r>
        <w:rPr>
          <w:color w:val="222222"/>
        </w:rPr>
        <w:t xml:space="preserve"> </w:t>
      </w:r>
      <w:proofErr w:type="spellStart"/>
      <w:r>
        <w:rPr>
          <w:color w:val="222222"/>
        </w:rPr>
        <w:t>Reset</w:t>
      </w:r>
      <w:proofErr w:type="spellEnd"/>
      <w:r>
        <w:rPr>
          <w:color w:val="222222"/>
        </w:rPr>
        <w:t>)، وفرصة يومية متكررة لتجديد العهد مع الله واستعادة البوصلة الوجودية، بما يقارب -- من الناحية الوظيفية البحتة -- ما تصفه دراسات دانييل سيغل عن «الدماغ المتيقّظ» من أثر الممارسات التأملية المنتظمة في إعادة تنظيم الشبكات العصبية المسؤولة عن ضبط الانفعال والانتباه [24]، مع فارق جوهري أن الصلاة عبادة توقيفية ذات غاية تعبدية أولاً، لا مجرد تقنية لتنظيم الانفعال.</w:t>
      </w:r>
    </w:p>
    <w:p w14:paraId="0D5EBF7F" w14:textId="77777777" w:rsidR="00F915BD" w:rsidRDefault="0081309E">
      <w:pPr>
        <w:spacing w:after="140" w:line="330" w:lineRule="auto"/>
        <w:ind w:right="420"/>
        <w:jc w:val="both"/>
      </w:pPr>
      <w:r>
        <w:rPr>
          <w:b/>
          <w:bCs/>
          <w:color w:val="9C7A25"/>
        </w:rPr>
        <w:t xml:space="preserve">◆ </w:t>
      </w:r>
      <w:r>
        <w:rPr>
          <w:color w:val="222222"/>
        </w:rPr>
        <w:t>الإحسان (</w:t>
      </w:r>
      <w:proofErr w:type="spellStart"/>
      <w:r>
        <w:rPr>
          <w:color w:val="222222"/>
        </w:rPr>
        <w:t>Ihsan</w:t>
      </w:r>
      <w:proofErr w:type="spellEnd"/>
      <w:r>
        <w:rPr>
          <w:color w:val="222222"/>
        </w:rPr>
        <w:t>): العطاء والخدمة ومساعدة الآخرين. وهذا -- في النموذج الاستخلافي -- هو «الجسر السلوكي» الذي يحوّل طاقة الشوق والحنين (مبدأ الروح) إلى فعل وعمارة وإحسان ملموس في الأرض، بما يربط البُعد الغيبي للتزكية بثمرتها الاجتماعية العمرانية، ويمنع انزلاق التصوف الروحي نحو انعزال سلبي عن مسؤولية الاستخلاف العمراني.</w:t>
      </w:r>
    </w:p>
    <w:p w14:paraId="06E53026" w14:textId="77777777" w:rsidR="00F915BD" w:rsidRDefault="0081309E">
      <w:pPr>
        <w:pStyle w:val="2"/>
        <w:bidi/>
        <w:spacing w:before="320" w:after="160"/>
        <w:jc w:val="right"/>
      </w:pPr>
      <w:r>
        <w:rPr>
          <w:sz w:val="27"/>
          <w:szCs w:val="27"/>
        </w:rPr>
        <w:t>5.3 عوائق الحجاب: الغفلة والذنوب وقسوة القلب</w:t>
      </w:r>
    </w:p>
    <w:p w14:paraId="2174E072" w14:textId="77777777" w:rsidR="00F915BD" w:rsidRDefault="0081309E">
      <w:pPr>
        <w:spacing w:after="200" w:line="336" w:lineRule="auto"/>
        <w:jc w:val="both"/>
      </w:pPr>
      <w:r>
        <w:rPr>
          <w:color w:val="222222"/>
        </w:rPr>
        <w:t>يقابل آليات التزكية الإيجابية -- في تكامل بنيوي يستدعيه المنطق الداخلي للنموذج -- مجموعة من «عوائق الحجاب» التي تحول دون انكشاف الروح لوعي صاحبها، أبرزها ثلاثة: الغفلة (</w:t>
      </w:r>
      <w:proofErr w:type="spellStart"/>
      <w:r>
        <w:rPr>
          <w:color w:val="222222"/>
        </w:rPr>
        <w:t>Ghaflah</w:t>
      </w:r>
      <w:proofErr w:type="spellEnd"/>
      <w:r>
        <w:rPr>
          <w:color w:val="222222"/>
        </w:rPr>
        <w:t>)، وهي انشغال القلب بالدنيا حتى يُنسي صاحبَه أصلَه ومصيرَه، وهي -- في التصور الاستخلافي -- ليست مجرد تشتت انتباه عابر، بل حالة وجودية تراكمية تُثخِن حجاب القلب تدريجياً؛ والذنوب المتكررة التي تراكم «الرين» على القلب كما مرّ في الآية [المطففين: 14]؛ وقسوة القلب (</w:t>
      </w:r>
      <w:proofErr w:type="spellStart"/>
      <w:r>
        <w:rPr>
          <w:color w:val="222222"/>
        </w:rPr>
        <w:t>Qaswat</w:t>
      </w:r>
      <w:proofErr w:type="spellEnd"/>
      <w:r>
        <w:rPr>
          <w:color w:val="222222"/>
        </w:rPr>
        <w:t xml:space="preserve"> </w:t>
      </w:r>
      <w:proofErr w:type="spellStart"/>
      <w:r>
        <w:rPr>
          <w:color w:val="222222"/>
        </w:rPr>
        <w:t>al-Qalb</w:t>
      </w:r>
      <w:proofErr w:type="spellEnd"/>
      <w:r>
        <w:rPr>
          <w:color w:val="222222"/>
        </w:rPr>
        <w:t xml:space="preserve">)، وهي المآل النهائي لتراكم الغفلة والذنوب معاً، حين يفقد القلب حساسيته للتذكير والموعظة، وهي الحالة التي حذّر منها القرآن بقوله: ﴿ثُمَّ قَسَتْ قُلُوبُكُم مِّن بَعْدِ </w:t>
      </w:r>
      <w:proofErr w:type="spellStart"/>
      <w:r>
        <w:rPr>
          <w:color w:val="222222"/>
        </w:rPr>
        <w:t>ذَٰلِكَ</w:t>
      </w:r>
      <w:proofErr w:type="spellEnd"/>
      <w:r>
        <w:rPr>
          <w:color w:val="222222"/>
        </w:rPr>
        <w:t xml:space="preserve"> فَهِيَ كَالْحِجَارَةِ﴾ [البقرة: 74].</w:t>
      </w:r>
    </w:p>
    <w:p w14:paraId="1BD34990" w14:textId="77777777" w:rsidR="00F915BD" w:rsidRDefault="0081309E">
      <w:pPr>
        <w:spacing w:after="200" w:line="336" w:lineRule="auto"/>
        <w:jc w:val="both"/>
      </w:pPr>
      <w:r>
        <w:rPr>
          <w:color w:val="222222"/>
        </w:rPr>
        <w:t>والملاحظة الإكلينيكية المهمة التي يبنيها الزراع على هذا التصنيف أن هذه العوائق -- في بروتوكول TLRT -- لا تُعامَل بوصفها «خطايا» أخلاقية فحسب تستوجب اللوم، بل بوصفها أيضاً «حواجز وظيفية» قابلة للتفكيك العلاجي المتدرج عبر آليات التزكية الثلاث، بما يمنح المريض أفقاً للتغيير بدل الشعور بالإدانة الجامدة التي قد تُعمّق -- من الناحية النفسية -- الحجاب بدل أن تفككه.</w:t>
      </w:r>
    </w:p>
    <w:p w14:paraId="13B9CC1E" w14:textId="77777777" w:rsidR="00F915BD" w:rsidRDefault="0081309E">
      <w:r>
        <w:br w:type="page"/>
      </w:r>
    </w:p>
    <w:p w14:paraId="59D85438" w14:textId="77777777" w:rsidR="00F915BD" w:rsidRDefault="0081309E">
      <w:pPr>
        <w:pStyle w:val="1"/>
        <w:pBdr>
          <w:bottom w:val="single" w:sz="12" w:space="6" w:color="9C7A25"/>
        </w:pBdr>
        <w:bidi/>
        <w:spacing w:before="480" w:after="240"/>
        <w:jc w:val="right"/>
      </w:pPr>
      <w:r>
        <w:rPr>
          <w:sz w:val="32"/>
          <w:szCs w:val="32"/>
        </w:rPr>
        <w:t>الفصل السادس: قراءة نقدية مقارنة: الروح بين النموذج الاستخلافي وعلم النفس الغربي المعاصر</w:t>
      </w:r>
    </w:p>
    <w:p w14:paraId="5B23C075" w14:textId="77777777" w:rsidR="00F915BD" w:rsidRDefault="0081309E">
      <w:pPr>
        <w:pStyle w:val="2"/>
        <w:bidi/>
        <w:spacing w:before="320" w:after="160"/>
        <w:jc w:val="right"/>
      </w:pPr>
      <w:r>
        <w:rPr>
          <w:sz w:val="27"/>
          <w:szCs w:val="27"/>
        </w:rPr>
        <w:t>6.1 يونغ والروح الرمزية: التقاء في العَرَض وافتراق في الجوهر</w:t>
      </w:r>
    </w:p>
    <w:p w14:paraId="059B39B9" w14:textId="77777777" w:rsidR="00F915BD" w:rsidRDefault="0081309E">
      <w:pPr>
        <w:spacing w:after="200" w:line="336" w:lineRule="auto"/>
        <w:jc w:val="both"/>
      </w:pPr>
      <w:r>
        <w:rPr>
          <w:color w:val="222222"/>
        </w:rPr>
        <w:t xml:space="preserve">يلتقي يونغ مع النموذج الاستخلافي في نقطة منهجية مهمة: كلاهما يرفض اختزال الإنسان في اللاوعي الغريزي </w:t>
      </w:r>
      <w:proofErr w:type="spellStart"/>
      <w:r>
        <w:rPr>
          <w:color w:val="222222"/>
        </w:rPr>
        <w:t>الفرويدي</w:t>
      </w:r>
      <w:proofErr w:type="spellEnd"/>
      <w:r>
        <w:rPr>
          <w:color w:val="222222"/>
        </w:rPr>
        <w:t xml:space="preserve"> المحض، وكلاهما يمنح البُعد الروحي/الرمزي مكانة مركزية في الصحة النفسية، حتى إن يونغ صرّح في مراسلاته الشهيرة بأن كثيراً من مرضاه في منتصف العمر لم يكونوا يعانون من اضطراب إكلينيكي بالمعنى </w:t>
      </w:r>
      <w:proofErr w:type="spellStart"/>
      <w:r>
        <w:rPr>
          <w:color w:val="222222"/>
        </w:rPr>
        <w:t>الفرويدي</w:t>
      </w:r>
      <w:proofErr w:type="spellEnd"/>
      <w:r>
        <w:rPr>
          <w:color w:val="222222"/>
        </w:rPr>
        <w:t>، بل من «فقدان منظور ديني» (</w:t>
      </w:r>
      <w:proofErr w:type="spellStart"/>
      <w:r>
        <w:rPr>
          <w:color w:val="222222"/>
        </w:rPr>
        <w:t>Loss</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Religious</w:t>
      </w:r>
      <w:proofErr w:type="spellEnd"/>
      <w:r>
        <w:rPr>
          <w:color w:val="222222"/>
        </w:rPr>
        <w:t xml:space="preserve"> </w:t>
      </w:r>
      <w:proofErr w:type="spellStart"/>
      <w:r>
        <w:rPr>
          <w:color w:val="222222"/>
        </w:rPr>
        <w:t>Outlook</w:t>
      </w:r>
      <w:proofErr w:type="spellEnd"/>
      <w:r>
        <w:rPr>
          <w:color w:val="222222"/>
        </w:rPr>
        <w:t>) [26]. غير أن الافتراق الجوهري بين النموذجين حاسم: فـ«الذات» (</w:t>
      </w:r>
      <w:proofErr w:type="spellStart"/>
      <w:r>
        <w:rPr>
          <w:color w:val="222222"/>
        </w:rPr>
        <w:t>Self</w:t>
      </w:r>
      <w:proofErr w:type="spellEnd"/>
      <w:r>
        <w:rPr>
          <w:color w:val="222222"/>
        </w:rPr>
        <w:t xml:space="preserve">) عند يونغ بنية </w:t>
      </w:r>
      <w:proofErr w:type="spellStart"/>
      <w:r>
        <w:rPr>
          <w:color w:val="222222"/>
        </w:rPr>
        <w:t>أركيتايبية</w:t>
      </w:r>
      <w:proofErr w:type="spellEnd"/>
      <w:r>
        <w:rPr>
          <w:color w:val="222222"/>
        </w:rPr>
        <w:t xml:space="preserve"> (</w:t>
      </w:r>
      <w:proofErr w:type="spellStart"/>
      <w:r>
        <w:rPr>
          <w:color w:val="222222"/>
        </w:rPr>
        <w:t>Archetype</w:t>
      </w:r>
      <w:proofErr w:type="spellEnd"/>
      <w:r>
        <w:rPr>
          <w:color w:val="222222"/>
        </w:rPr>
        <w:t>) كامنة في اللاوعي الجماعي، تُدرَك عبر الرموز والأحلام والأساطير، وهي -- من حيث المبدأ المنهجي -- بناء نفسي-أنثروبولوجي لا كيان غيبي متعالٍ منفصل الوج</w:t>
      </w:r>
      <w:r>
        <w:rPr>
          <w:color w:val="222222"/>
        </w:rPr>
        <w:t>ود عن النفس؛ أما الروح عند الزراع فهي -- كما تقدّم -- «أمر» رباني موحى، منفصل الوجود عن النفس وإن كان متصلاً بها وظيفياً، ولا يُختزل في بنية رمزية نفسية مهما بلغت عمقاً.</w:t>
      </w:r>
    </w:p>
    <w:p w14:paraId="2F02334B" w14:textId="77777777" w:rsidR="00F915BD" w:rsidRDefault="0081309E">
      <w:pPr>
        <w:spacing w:after="200" w:line="336" w:lineRule="auto"/>
        <w:jc w:val="both"/>
      </w:pPr>
      <w:r>
        <w:rPr>
          <w:color w:val="222222"/>
        </w:rPr>
        <w:t xml:space="preserve">وبعبارة أدق: يونغ يصف «الحاجة إلى الرمز الديني» بوصفها وظيفة نفسية ضرورية للتوازن (وهو ما يسميه «التفريد» </w:t>
      </w:r>
      <w:proofErr w:type="spellStart"/>
      <w:r>
        <w:rPr>
          <w:color w:val="222222"/>
        </w:rPr>
        <w:t>Individuation</w:t>
      </w:r>
      <w:proofErr w:type="spellEnd"/>
      <w:r>
        <w:rPr>
          <w:color w:val="222222"/>
        </w:rPr>
        <w:t>)، دون أن يلتزم بصدق مرجعية هذا الرمز خارج النفس ذاتها؛ أما النموذج الاستخلافي فيقرّر أن هذا الشوق الرمزي إنما هو صدى لحقيقة روحية موضوعية قائمة فعلاً وراء النفس، لا مجرد نتاج بنيوي لها. وهذا الفارق -- بين «الوظيفية النفسية» (</w:t>
      </w:r>
      <w:proofErr w:type="spellStart"/>
      <w:r>
        <w:rPr>
          <w:color w:val="222222"/>
        </w:rPr>
        <w:t>Psychological</w:t>
      </w:r>
      <w:proofErr w:type="spellEnd"/>
      <w:r>
        <w:rPr>
          <w:color w:val="222222"/>
        </w:rPr>
        <w:t xml:space="preserve"> </w:t>
      </w:r>
      <w:proofErr w:type="spellStart"/>
      <w:r>
        <w:rPr>
          <w:color w:val="222222"/>
        </w:rPr>
        <w:t>Functionalism</w:t>
      </w:r>
      <w:proofErr w:type="spellEnd"/>
      <w:r>
        <w:rPr>
          <w:color w:val="222222"/>
        </w:rPr>
        <w:t>) و«الواقعية الأنطولوجية» (</w:t>
      </w:r>
      <w:proofErr w:type="spellStart"/>
      <w:r>
        <w:rPr>
          <w:color w:val="222222"/>
        </w:rPr>
        <w:t>Ontological</w:t>
      </w:r>
      <w:proofErr w:type="spellEnd"/>
      <w:r>
        <w:rPr>
          <w:color w:val="222222"/>
        </w:rPr>
        <w:t xml:space="preserve"> </w:t>
      </w:r>
      <w:proofErr w:type="spellStart"/>
      <w:r>
        <w:rPr>
          <w:color w:val="222222"/>
        </w:rPr>
        <w:t>Realism</w:t>
      </w:r>
      <w:proofErr w:type="spellEnd"/>
      <w:r>
        <w:rPr>
          <w:color w:val="222222"/>
        </w:rPr>
        <w:t>) -- هو خط الفصل الحاسم بين معظم محاولات علم النفس الغربي لاستعادة الروحي والنموذج الاستخلافي.</w:t>
      </w:r>
    </w:p>
    <w:p w14:paraId="027689DC" w14:textId="77777777" w:rsidR="00F915BD" w:rsidRDefault="0081309E">
      <w:pPr>
        <w:pStyle w:val="2"/>
        <w:bidi/>
        <w:spacing w:before="320" w:after="160"/>
        <w:jc w:val="right"/>
      </w:pPr>
      <w:r>
        <w:rPr>
          <w:sz w:val="27"/>
          <w:szCs w:val="27"/>
        </w:rPr>
        <w:t xml:space="preserve">6.2 </w:t>
      </w:r>
      <w:proofErr w:type="spellStart"/>
      <w:r>
        <w:rPr>
          <w:sz w:val="27"/>
          <w:szCs w:val="27"/>
        </w:rPr>
        <w:t>فرانكل</w:t>
      </w:r>
      <w:proofErr w:type="spellEnd"/>
      <w:r>
        <w:rPr>
          <w:sz w:val="27"/>
          <w:szCs w:val="27"/>
        </w:rPr>
        <w:t xml:space="preserve"> والبعد </w:t>
      </w:r>
      <w:proofErr w:type="spellStart"/>
      <w:r>
        <w:rPr>
          <w:sz w:val="27"/>
          <w:szCs w:val="27"/>
        </w:rPr>
        <w:t>النووسي</w:t>
      </w:r>
      <w:proofErr w:type="spellEnd"/>
      <w:r>
        <w:rPr>
          <w:sz w:val="27"/>
          <w:szCs w:val="27"/>
        </w:rPr>
        <w:t>: تقارب في الوظيفة وتباين في الضبط المعياري</w:t>
      </w:r>
    </w:p>
    <w:p w14:paraId="18936696" w14:textId="77777777" w:rsidR="00F915BD" w:rsidRDefault="0081309E">
      <w:pPr>
        <w:spacing w:after="200" w:line="336" w:lineRule="auto"/>
        <w:jc w:val="both"/>
      </w:pPr>
      <w:r>
        <w:rPr>
          <w:color w:val="222222"/>
        </w:rPr>
        <w:t xml:space="preserve">سبقت الإشارة إلى تقاطع </w:t>
      </w:r>
      <w:proofErr w:type="spellStart"/>
      <w:r>
        <w:rPr>
          <w:color w:val="222222"/>
        </w:rPr>
        <w:t>فرانكل</w:t>
      </w:r>
      <w:proofErr w:type="spellEnd"/>
      <w:r>
        <w:rPr>
          <w:color w:val="222222"/>
        </w:rPr>
        <w:t xml:space="preserve"> مع الزراع في مفهوم «الشوق»/«إرادة المعنى» [27، 28]. ويمكن هنا تعميق المقارنة: </w:t>
      </w:r>
      <w:proofErr w:type="spellStart"/>
      <w:r>
        <w:rPr>
          <w:color w:val="222222"/>
        </w:rPr>
        <w:t>فرانكل</w:t>
      </w:r>
      <w:proofErr w:type="spellEnd"/>
      <w:r>
        <w:rPr>
          <w:color w:val="222222"/>
        </w:rPr>
        <w:t xml:space="preserve"> يترك تعريف «المعنى» مفتوحاً نسبياً لكل فرد يكتشفه عبر ثلاث قنوات (العمل الخلّاق، التجربة والحب، الموقف من المعاناة الحتمية)، وهو منهج علاجي براغماتي متعدد المرجعيات يصلح للتطبيق عبر خلفيات دينية وعلمانية متنوعة على السواء، وهي ميزته العملية الكبرى. أما النموذج الاستخلافي فيربط المعنى بمرجعية معيارية واحدة محددة سلفاً بالوحي: لا معنى مستقراً حقيقياً إلا في العلاقة بالله </w:t>
      </w:r>
      <w:proofErr w:type="spellStart"/>
      <w:r>
        <w:rPr>
          <w:color w:val="222222"/>
        </w:rPr>
        <w:t>والاستخلاف</w:t>
      </w:r>
      <w:proofErr w:type="spellEnd"/>
      <w:r>
        <w:rPr>
          <w:color w:val="222222"/>
        </w:rPr>
        <w:t xml:space="preserve"> في أرضه، وما عداه تسكين مؤقت. وهذا يم</w:t>
      </w:r>
      <w:r>
        <w:rPr>
          <w:color w:val="222222"/>
        </w:rPr>
        <w:t xml:space="preserve">نح النموذج الاستخلافي عمقاً عقدياً واتساقاً داخلياً أكبر لمن يشاركه الإطار الإيماني، لكنه -- من زاوية المقارنة المنهجية النزيهة -- يجعله أقل قابلية للتعميم العلاجي عبر خلفيات دينية متعددة مقارنة بمرونة نموذج </w:t>
      </w:r>
      <w:proofErr w:type="spellStart"/>
      <w:r>
        <w:rPr>
          <w:color w:val="222222"/>
        </w:rPr>
        <w:t>فرانكل</w:t>
      </w:r>
      <w:proofErr w:type="spellEnd"/>
      <w:r>
        <w:rPr>
          <w:color w:val="222222"/>
        </w:rPr>
        <w:t>، وهي ملاحظة منهجية تستحق مزيداً من البحث التطبيقي المقارن.</w:t>
      </w:r>
    </w:p>
    <w:p w14:paraId="69D33BAB" w14:textId="77777777" w:rsidR="00F915BD" w:rsidRDefault="0081309E">
      <w:pPr>
        <w:pStyle w:val="2"/>
        <w:bidi/>
        <w:spacing w:before="320" w:after="160"/>
        <w:jc w:val="right"/>
      </w:pPr>
      <w:r>
        <w:rPr>
          <w:sz w:val="27"/>
          <w:szCs w:val="27"/>
        </w:rPr>
        <w:t>6.3 مشكلة الوعي الصعبة وحدود الاختزال المادي: شهادة من داخل فلسفة العقل</w:t>
      </w:r>
    </w:p>
    <w:p w14:paraId="67A50249" w14:textId="77777777" w:rsidR="00F915BD" w:rsidRDefault="0081309E">
      <w:pPr>
        <w:spacing w:after="200" w:line="336" w:lineRule="auto"/>
        <w:jc w:val="both"/>
      </w:pPr>
      <w:r>
        <w:rPr>
          <w:color w:val="222222"/>
        </w:rPr>
        <w:t xml:space="preserve">سبق أن أشرنا إلى «المشكلة الصعبة للوعي» عند </w:t>
      </w:r>
      <w:proofErr w:type="spellStart"/>
      <w:r>
        <w:rPr>
          <w:color w:val="222222"/>
        </w:rPr>
        <w:t>تشالمرز</w:t>
      </w:r>
      <w:proofErr w:type="spellEnd"/>
      <w:r>
        <w:rPr>
          <w:color w:val="222222"/>
        </w:rPr>
        <w:t xml:space="preserve"> [25]. ويكتسب استحضارها هنا أهمية استراتيجية للنموذج الاستخلافي: فهي تثبت -- من داخل الفلسفة التحليلية الغربية العلمانية ذاتها، لا من موقف ديني مسبق -- أن البرنامج المادي الاختزالي عاجز بنيوياً عن تفسير وجود التجربة الذاتية الشعورية أصلاً، لا فقط عن تفسير تفاصيلها. وهذا يمنح النموذج الاستخلافي حليفاً فلسفياً غير متوقع: فحين يقول </w:t>
      </w:r>
      <w:proofErr w:type="spellStart"/>
      <w:r>
        <w:rPr>
          <w:color w:val="222222"/>
        </w:rPr>
        <w:t>تشالمرز</w:t>
      </w:r>
      <w:proofErr w:type="spellEnd"/>
      <w:r>
        <w:rPr>
          <w:color w:val="222222"/>
        </w:rPr>
        <w:t xml:space="preserve"> إن «الوعي» ربما يكون خاصية أساسية غير قابلة للاختزال في الفيزياء الحالية (على نسق الكتلة أو الشحنة الكهربائية)، فإنه -- وإن لم يقصد ذلك -- يفتح الباب فلسفياً أمام إمك</w:t>
      </w:r>
      <w:r>
        <w:rPr>
          <w:color w:val="222222"/>
        </w:rPr>
        <w:t>ان وجود مبادئ غير مادية في تكوين الإنسان، وهو ما يتسق -- من بعيد -- مع الموقف القرآني القائل بأن الروح «من أمر ربي» لا من عالم الخلق المادي القابل للتفسير الفيزيائي الكامل.</w:t>
      </w:r>
    </w:p>
    <w:p w14:paraId="40558B54" w14:textId="77777777" w:rsidR="00F915BD" w:rsidRDefault="0081309E">
      <w:pPr>
        <w:spacing w:after="200" w:line="336" w:lineRule="auto"/>
        <w:jc w:val="both"/>
      </w:pPr>
      <w:r>
        <w:rPr>
          <w:color w:val="222222"/>
        </w:rPr>
        <w:t xml:space="preserve">غير أن الأمانة العلمية تقتضي التنبيه إلى أن </w:t>
      </w:r>
      <w:proofErr w:type="spellStart"/>
      <w:r>
        <w:rPr>
          <w:color w:val="222222"/>
        </w:rPr>
        <w:t>تشالمرز</w:t>
      </w:r>
      <w:proofErr w:type="spellEnd"/>
      <w:r>
        <w:rPr>
          <w:color w:val="222222"/>
        </w:rPr>
        <w:t xml:space="preserve"> نفسه لا يستنتج من «صعوبة» المشكلة وجود روح بالمعنى الديني، بل يطرح بدائل فلسفية متعددة (منها «الحيادية المزدوجة الجانب» </w:t>
      </w:r>
      <w:proofErr w:type="spellStart"/>
      <w:r>
        <w:rPr>
          <w:color w:val="222222"/>
        </w:rPr>
        <w:t>Panpsychism</w:t>
      </w:r>
      <w:proofErr w:type="spellEnd"/>
      <w:r>
        <w:rPr>
          <w:color w:val="222222"/>
        </w:rPr>
        <w:t xml:space="preserve"> وغيرها) تبقى، في مجملها، داخل أفق الفلسفة </w:t>
      </w:r>
      <w:proofErr w:type="spellStart"/>
      <w:r>
        <w:rPr>
          <w:color w:val="222222"/>
        </w:rPr>
        <w:t>الطبيعانية</w:t>
      </w:r>
      <w:proofErr w:type="spellEnd"/>
      <w:r>
        <w:rPr>
          <w:color w:val="222222"/>
        </w:rPr>
        <w:t xml:space="preserve"> الموسّعة لا خارجه بالضرورة. فالاستشهاد به هنا استشهاد بحدود العجز المادي المُعترف بها من الداخل، لا استعارة لنتيجته الفلسفية النهائية، وهو فارق منهجي ينبغي أن يُراعى في أي استثمار مقارن لهذا النوع من الأدبيات الفلسفية الغربية.</w:t>
      </w:r>
    </w:p>
    <w:p w14:paraId="2CCEE311" w14:textId="77777777" w:rsidR="00F915BD" w:rsidRDefault="0081309E">
      <w:pPr>
        <w:pStyle w:val="2"/>
        <w:bidi/>
        <w:spacing w:before="320" w:after="160"/>
        <w:jc w:val="right"/>
      </w:pPr>
      <w:r>
        <w:rPr>
          <w:sz w:val="27"/>
          <w:szCs w:val="27"/>
        </w:rPr>
        <w:t>6.4 نقد مالك بدري: من التغريب إلى التأصيل</w:t>
      </w:r>
    </w:p>
    <w:p w14:paraId="17E9DCF1" w14:textId="77777777" w:rsidR="00F915BD" w:rsidRDefault="0081309E">
      <w:pPr>
        <w:spacing w:after="200" w:line="336" w:lineRule="auto"/>
        <w:jc w:val="both"/>
      </w:pPr>
      <w:r>
        <w:rPr>
          <w:color w:val="222222"/>
        </w:rPr>
        <w:t xml:space="preserve">يختم هذا الفصل بالعودة إلى نقد مالك بدري [29]، الذي حذّر -- منذ أواخر السبعينيات -- من خطورة استيراد علم النفس الغربي بمناهجه وأدواته ومفاهيمه دون فحص أنطولوجي لأسسه الفلسفية الكامنة (المادية والدارونية </w:t>
      </w:r>
      <w:proofErr w:type="spellStart"/>
      <w:r>
        <w:rPr>
          <w:color w:val="222222"/>
        </w:rPr>
        <w:t>والفرويدية</w:t>
      </w:r>
      <w:proofErr w:type="spellEnd"/>
      <w:r>
        <w:rPr>
          <w:color w:val="222222"/>
        </w:rPr>
        <w:t>)، داعياً إلى «أسلمة المعرفة النفسية» (</w:t>
      </w:r>
      <w:proofErr w:type="spellStart"/>
      <w:r>
        <w:rPr>
          <w:color w:val="222222"/>
        </w:rPr>
        <w:t>Islamization</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Psychological</w:t>
      </w:r>
      <w:proofErr w:type="spellEnd"/>
      <w:r>
        <w:rPr>
          <w:color w:val="222222"/>
        </w:rPr>
        <w:t xml:space="preserve"> </w:t>
      </w:r>
      <w:proofErr w:type="spellStart"/>
      <w:r>
        <w:rPr>
          <w:color w:val="222222"/>
        </w:rPr>
        <w:t>Knowledge</w:t>
      </w:r>
      <w:proofErr w:type="spellEnd"/>
      <w:r>
        <w:rPr>
          <w:color w:val="222222"/>
        </w:rPr>
        <w:t xml:space="preserve">) عبر إعادة بناء المفهومية النفسية من داخل التصور الإسلامي للإنسان لا عبر ترقيع المفاهيم الغربية بمصطلحات إسلامية شكلية. ويمكن القول إن النموذج الاستخلافي عند الزراع يمثل استجابة متأخرة -- لكنها متقدمة منهجياً -- لهذا النداء: فهو لا يكتفي برفض الاختزال المادي، بل يعيد بناء أنطولوجيا كاملة للإنسان (روح، نفس، قلب، فطرة، جسد) من داخل النص القرآني أولاً، ثم يستدعي الأدبيات الغربية (فلسفية ونفسية وعصبية) بوصفها مادة للمقارنة </w:t>
      </w:r>
      <w:r>
        <w:rPr>
          <w:color w:val="222222"/>
        </w:rPr>
        <w:t>النقدية والتفكيك، لا مصدراً أولياً للمفهومية ذاتها -- وهو بالضبط المسار المنهجي الذي طالب به بدري ولم يكتمل تفصيله التطبيقي في زمانه.</w:t>
      </w:r>
    </w:p>
    <w:p w14:paraId="01CDD442" w14:textId="77777777" w:rsidR="00F915BD" w:rsidRDefault="0081309E">
      <w:r>
        <w:br w:type="page"/>
      </w:r>
    </w:p>
    <w:p w14:paraId="50549F20" w14:textId="77777777" w:rsidR="00F915BD" w:rsidRDefault="0081309E">
      <w:pPr>
        <w:pStyle w:val="1"/>
        <w:pBdr>
          <w:bottom w:val="single" w:sz="12" w:space="6" w:color="9C7A25"/>
        </w:pBdr>
        <w:bidi/>
        <w:spacing w:before="480" w:after="240"/>
        <w:jc w:val="right"/>
      </w:pPr>
      <w:r>
        <w:rPr>
          <w:sz w:val="32"/>
          <w:szCs w:val="32"/>
        </w:rPr>
        <w:t>خاتمة: الروح -- سرّ الله وبوابة الاستخلاف</w:t>
      </w:r>
    </w:p>
    <w:p w14:paraId="59695C7A" w14:textId="77777777" w:rsidR="00F915BD" w:rsidRDefault="0081309E">
      <w:pPr>
        <w:spacing w:after="200" w:line="336" w:lineRule="auto"/>
        <w:jc w:val="both"/>
      </w:pPr>
      <w:r>
        <w:rPr>
          <w:color w:val="222222"/>
        </w:rPr>
        <w:t xml:space="preserve">في نهاية هذه الدراسة الموسعة والمعمّقة، نخلص إلى أن مفهوم الروح -- كما يقدّمه الزراع في نظريته الاستخلافية -- هو مفهوم ثري وعميق ومتعدد الأبعاد، تتضافر في تأصيله ثلاثة مصادر متكاملة: النص القرآني بوصفه المرجعية الحاكمة والفاصلة، والتراث الفلسفي والصوفي الإسلامي (من ابن سينا </w:t>
      </w:r>
      <w:proofErr w:type="spellStart"/>
      <w:r>
        <w:rPr>
          <w:color w:val="222222"/>
        </w:rPr>
        <w:t>والسهروردي</w:t>
      </w:r>
      <w:proofErr w:type="spellEnd"/>
      <w:r>
        <w:rPr>
          <w:color w:val="222222"/>
        </w:rPr>
        <w:t xml:space="preserve"> وصدر </w:t>
      </w:r>
      <w:proofErr w:type="spellStart"/>
      <w:r>
        <w:rPr>
          <w:color w:val="222222"/>
        </w:rPr>
        <w:t>المتألهين</w:t>
      </w:r>
      <w:proofErr w:type="spellEnd"/>
      <w:r>
        <w:rPr>
          <w:color w:val="222222"/>
        </w:rPr>
        <w:t xml:space="preserve"> إلى الغزالي وابن القيم وابن عربي والمحاسبي) بوصفه ذخيرة مفهومية للتعميق والتفصيل، وعلم النفس والفلسفة الغربيين المعاصرين (من يونغ </w:t>
      </w:r>
      <w:proofErr w:type="spellStart"/>
      <w:r>
        <w:rPr>
          <w:color w:val="222222"/>
        </w:rPr>
        <w:t>وفرانكل</w:t>
      </w:r>
      <w:proofErr w:type="spellEnd"/>
      <w:r>
        <w:rPr>
          <w:color w:val="222222"/>
        </w:rPr>
        <w:t xml:space="preserve"> إلى </w:t>
      </w:r>
      <w:proofErr w:type="spellStart"/>
      <w:r>
        <w:rPr>
          <w:color w:val="222222"/>
        </w:rPr>
        <w:t>تشالمرز</w:t>
      </w:r>
      <w:proofErr w:type="spellEnd"/>
      <w:r>
        <w:rPr>
          <w:color w:val="222222"/>
        </w:rPr>
        <w:t xml:space="preserve"> </w:t>
      </w:r>
      <w:proofErr w:type="spellStart"/>
      <w:r>
        <w:rPr>
          <w:color w:val="222222"/>
        </w:rPr>
        <w:t>وداماسيو</w:t>
      </w:r>
      <w:proofErr w:type="spellEnd"/>
      <w:r>
        <w:rPr>
          <w:color w:val="222222"/>
        </w:rPr>
        <w:t>) بوصفهما مادة للمقارنة النقدية التي تُبرز خصوصية النموذج الاستخلافي وتُظهر حدود البدائل الأخرى دون إقصاء لقيمتها الجزئية.</w:t>
      </w:r>
    </w:p>
    <w:p w14:paraId="3A0D9A99" w14:textId="77777777" w:rsidR="00F915BD" w:rsidRDefault="0081309E">
      <w:pPr>
        <w:spacing w:after="200" w:line="336" w:lineRule="auto"/>
        <w:jc w:val="both"/>
      </w:pPr>
      <w:r>
        <w:rPr>
          <w:color w:val="222222"/>
        </w:rPr>
        <w:t xml:space="preserve">إنه يتجاوز -- بكثير -- المفهوم المادي الضيق للروح، ويعيد الاعتبار للجانب الغيبي والسامي في الإنسان، عبر تمييز منهجي دقيق بين الروح (الثابتة، الغيبية، الواحدة الماهية) والنفس (المتغيرة، التجريبية، المتفاوتة)، وعبر تحديد وظائف الروح الثلاث: مبدأ الحياة، ومبدأ الشوق، ومبدأ التكريم والأمانة، وعبر بيان موقعها العلوي في النموذج الهرمي بوصفها «الطابق الغيبي» و«الظل </w:t>
      </w:r>
      <w:proofErr w:type="spellStart"/>
      <w:r>
        <w:rPr>
          <w:color w:val="222222"/>
        </w:rPr>
        <w:t>المفيء</w:t>
      </w:r>
      <w:proofErr w:type="spellEnd"/>
      <w:r>
        <w:rPr>
          <w:color w:val="222222"/>
        </w:rPr>
        <w:t>» المحيط بالنفس.</w:t>
      </w:r>
    </w:p>
    <w:p w14:paraId="36F0B719" w14:textId="77777777" w:rsidR="00F915BD" w:rsidRDefault="0081309E">
      <w:pPr>
        <w:spacing w:after="200" w:line="336" w:lineRule="auto"/>
        <w:jc w:val="both"/>
      </w:pPr>
      <w:r>
        <w:rPr>
          <w:color w:val="222222"/>
        </w:rPr>
        <w:t>فالروح -- في هذا النموذج -- ليست مجرد شبح أو وهم، بل هي سرّ الله في الإنسان، والقوة التي تحوّل «الطين» إلى «خليفة»، والمحرك الخفي للشوق والحب والإبداع والتضحية والتكريم. وهي -- كما يؤكد الزراع -- ما يعطي للتزكية ثقلاً وجودياً يتجاوز مجرد الصحة النفسية التقليدية، ويجعل من العلاج النفسي، في أعمق تجلياته، مساراً روحياً نحو العودة إلى الأصل.</w:t>
      </w:r>
    </w:p>
    <w:p w14:paraId="4BAD19EA" w14:textId="77777777" w:rsidR="00F915BD" w:rsidRDefault="0081309E">
      <w:pPr>
        <w:spacing w:after="200" w:line="336" w:lineRule="auto"/>
        <w:jc w:val="both"/>
      </w:pPr>
      <w:r>
        <w:rPr>
          <w:color w:val="222222"/>
        </w:rPr>
        <w:t>والهدف الأسمى من العلاج -- في بروتوكول TLRT -- هو إعادة الاتصال بهذه الروح، وتحريرها من الأغلال والحُجب التي تكبّلها (الغفلة والذنوب وقسوة القلب)، عبر آليات التزكية الثلاث (الذكر والصلاة والإحسان)، وإطلاق طاقاتها في عمارة الأرض وخدمة الخلق. وهذا -- في النهاية -- هو جوهر الاستخلاف وسرّ الحياة الطيبة، وهو أفق بحثي مفتوح يستدعي مزيداً من الدراسات التطبيقية والإكلينيكية التي تختبر أثر هذا التصور النظري في واقع الممارسة العلاجية.</w:t>
      </w:r>
    </w:p>
    <w:p w14:paraId="4AC80C0F" w14:textId="77777777" w:rsidR="00F915BD" w:rsidRDefault="0081309E">
      <w:pPr>
        <w:pBdr>
          <w:top w:val="single" w:sz="8" w:space="8" w:color="9C7A25"/>
          <w:left w:val="single" w:sz="8" w:space="8" w:color="9C7A25"/>
          <w:bottom w:val="single" w:sz="8" w:space="8" w:color="9C7A25"/>
          <w:right w:val="single" w:sz="8" w:space="8" w:color="9C7A25"/>
        </w:pBdr>
        <w:shd w:val="clear" w:color="auto" w:fill="F3ECD8"/>
        <w:spacing w:before="200" w:after="200"/>
        <w:jc w:val="center"/>
      </w:pPr>
      <w:r>
        <w:rPr>
          <w:b/>
          <w:bCs/>
          <w:color w:val="1B2A4A"/>
          <w:sz w:val="27"/>
          <w:szCs w:val="27"/>
        </w:rPr>
        <w:t>﴿ وَنَفَخْتُ فِيهِ مِن رُّوحِي ﴾</w:t>
      </w:r>
      <w:r>
        <w:rPr>
          <w:i/>
          <w:iCs/>
          <w:color w:val="0F6B72"/>
          <w:sz w:val="22"/>
          <w:szCs w:val="22"/>
        </w:rPr>
        <w:t xml:space="preserve">   [الحجر: 29]</w:t>
      </w:r>
    </w:p>
    <w:p w14:paraId="7783846C" w14:textId="77777777" w:rsidR="00F915BD" w:rsidRDefault="0081309E">
      <w:r>
        <w:br w:type="page"/>
      </w:r>
    </w:p>
    <w:p w14:paraId="0B7C0F6F" w14:textId="77777777" w:rsidR="00F915BD" w:rsidRDefault="0081309E">
      <w:pPr>
        <w:pStyle w:val="1"/>
        <w:pBdr>
          <w:bottom w:val="single" w:sz="12" w:space="6" w:color="9C7A25"/>
        </w:pBdr>
        <w:bidi/>
        <w:spacing w:before="480" w:after="240"/>
        <w:jc w:val="right"/>
      </w:pPr>
      <w:r>
        <w:rPr>
          <w:sz w:val="32"/>
          <w:szCs w:val="32"/>
        </w:rPr>
        <w:t>المراجع والمصادر</w:t>
      </w:r>
    </w:p>
    <w:p w14:paraId="3168D3E4" w14:textId="77777777" w:rsidR="00F915BD" w:rsidRDefault="0081309E">
      <w:pPr>
        <w:spacing w:before="260" w:after="140"/>
        <w:jc w:val="right"/>
      </w:pPr>
      <w:r>
        <w:rPr>
          <w:b/>
          <w:bCs/>
          <w:color w:val="0F6B72"/>
        </w:rPr>
        <w:t>أولاً: المصادر الأساسية (النموذج الاستخلافي)</w:t>
      </w:r>
    </w:p>
    <w:p w14:paraId="1D959F02" w14:textId="77777777" w:rsidR="00F915BD" w:rsidRDefault="0081309E">
      <w:pPr>
        <w:spacing w:after="140" w:line="300" w:lineRule="auto"/>
        <w:ind w:right="260" w:hanging="260"/>
        <w:jc w:val="both"/>
      </w:pPr>
      <w:r>
        <w:rPr>
          <w:color w:val="222222"/>
          <w:sz w:val="23"/>
          <w:szCs w:val="23"/>
        </w:rPr>
        <w:t>1. الزراع، عبد السلام. (2026). العلاج بحرث المصالحة التحويلية (TLRT): الدليل النظري والإكلينيكي. (الطبعة التجريبية الأولى).</w:t>
      </w:r>
    </w:p>
    <w:p w14:paraId="1001C6A7" w14:textId="77777777" w:rsidR="00F915BD" w:rsidRDefault="0081309E">
      <w:pPr>
        <w:spacing w:after="140" w:line="300" w:lineRule="auto"/>
        <w:ind w:right="260" w:hanging="260"/>
        <w:jc w:val="both"/>
      </w:pPr>
      <w:r>
        <w:rPr>
          <w:color w:val="222222"/>
          <w:sz w:val="23"/>
          <w:szCs w:val="23"/>
        </w:rPr>
        <w:t>2. الزراع، عبد السلام. (2026). الفصام الأخلاقي ومصدر الأزمات النفسية: قراءة في ضوء نظرية TLRT.</w:t>
      </w:r>
    </w:p>
    <w:p w14:paraId="2F2EAD9D" w14:textId="77777777" w:rsidR="00F915BD" w:rsidRDefault="0081309E">
      <w:pPr>
        <w:spacing w:after="140" w:line="300" w:lineRule="auto"/>
        <w:ind w:right="260" w:hanging="260"/>
        <w:jc w:val="both"/>
      </w:pPr>
      <w:r>
        <w:rPr>
          <w:color w:val="222222"/>
          <w:sz w:val="23"/>
          <w:szCs w:val="23"/>
        </w:rPr>
        <w:t xml:space="preserve">3. الزراع، عبد السلام. (2026). </w:t>
      </w:r>
      <w:proofErr w:type="spellStart"/>
      <w:r>
        <w:rPr>
          <w:color w:val="222222"/>
          <w:sz w:val="23"/>
          <w:szCs w:val="23"/>
        </w:rPr>
        <w:t>التمثلات</w:t>
      </w:r>
      <w:proofErr w:type="spellEnd"/>
      <w:r>
        <w:rPr>
          <w:color w:val="222222"/>
          <w:sz w:val="23"/>
          <w:szCs w:val="23"/>
        </w:rPr>
        <w:t xml:space="preserve"> الداخلية للإله: من نظرية </w:t>
      </w:r>
      <w:proofErr w:type="spellStart"/>
      <w:r>
        <w:rPr>
          <w:color w:val="222222"/>
          <w:sz w:val="23"/>
          <w:szCs w:val="23"/>
        </w:rPr>
        <w:t>ريزوتو</w:t>
      </w:r>
      <w:proofErr w:type="spellEnd"/>
      <w:r>
        <w:rPr>
          <w:color w:val="222222"/>
          <w:sz w:val="23"/>
          <w:szCs w:val="23"/>
        </w:rPr>
        <w:t xml:space="preserve"> إلى إعادة بناء صورة الله في TLRT.</w:t>
      </w:r>
    </w:p>
    <w:p w14:paraId="2CC73BAD" w14:textId="77777777" w:rsidR="00F915BD" w:rsidRDefault="0081309E">
      <w:pPr>
        <w:spacing w:after="140" w:line="300" w:lineRule="auto"/>
        <w:ind w:right="260" w:hanging="260"/>
        <w:jc w:val="both"/>
      </w:pPr>
      <w:r>
        <w:rPr>
          <w:color w:val="222222"/>
          <w:sz w:val="23"/>
          <w:szCs w:val="23"/>
        </w:rPr>
        <w:t>4. الزراع، عبد السلام. (2026). نموذج قياس الشعور بالذنب: مقاربة تكاملية متعددة الأبعاد.</w:t>
      </w:r>
    </w:p>
    <w:p w14:paraId="724914F1" w14:textId="77777777" w:rsidR="00F915BD" w:rsidRDefault="0081309E">
      <w:pPr>
        <w:spacing w:before="260" w:after="140"/>
        <w:jc w:val="right"/>
      </w:pPr>
      <w:r>
        <w:rPr>
          <w:b/>
          <w:bCs/>
          <w:color w:val="0F6B72"/>
        </w:rPr>
        <w:t>ثانياً: المصدر النصي الأول</w:t>
      </w:r>
    </w:p>
    <w:p w14:paraId="78B54B1F" w14:textId="77777777" w:rsidR="00F915BD" w:rsidRDefault="0081309E">
      <w:pPr>
        <w:spacing w:after="140" w:line="300" w:lineRule="auto"/>
        <w:ind w:right="260" w:hanging="260"/>
        <w:jc w:val="both"/>
      </w:pPr>
      <w:r>
        <w:rPr>
          <w:color w:val="222222"/>
          <w:sz w:val="23"/>
          <w:szCs w:val="23"/>
        </w:rPr>
        <w:t>5. القرآن الكريم.</w:t>
      </w:r>
    </w:p>
    <w:p w14:paraId="5E0FE1EA" w14:textId="77777777" w:rsidR="00F915BD" w:rsidRDefault="0081309E">
      <w:pPr>
        <w:spacing w:before="260" w:after="140"/>
        <w:jc w:val="right"/>
      </w:pPr>
      <w:r>
        <w:rPr>
          <w:b/>
          <w:bCs/>
          <w:color w:val="0F6B72"/>
        </w:rPr>
        <w:t>ثالثاً: مراجع في الفلسفة اليونانية والغربية الكلاسيكية للروح والنفس</w:t>
      </w:r>
    </w:p>
    <w:p w14:paraId="225ABF60"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6. Aristotle. (1986). De Anima (On the Soul) (H. Lawson-Tancred, Trans.). London: Penguin Classics.</w:t>
      </w:r>
    </w:p>
    <w:p w14:paraId="0E6C98E6"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7. Plato. (2009). Phaedo (D. Gallop, Trans.). Oxford: Oxford University Press.</w:t>
      </w:r>
    </w:p>
    <w:p w14:paraId="77326CEB"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8. Plotinus. (1992). The Enneads (S. MacKenna, Trans.). Burdett, NY: Larson Publications.</w:t>
      </w:r>
    </w:p>
    <w:p w14:paraId="64896A81"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9. Descartes, R. (1641/1996). Meditations on First Philosophy (J. Cottingham, Trans.). Cambridge: Cambridge University Press.</w:t>
      </w:r>
    </w:p>
    <w:p w14:paraId="06C7CFBA"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10. Bergson, H. (1907). L'évolution créatrice. Paris: Félix Alcan.</w:t>
      </w:r>
    </w:p>
    <w:p w14:paraId="3A78C586" w14:textId="77777777" w:rsidR="00F915BD" w:rsidRDefault="0081309E">
      <w:pPr>
        <w:spacing w:before="260" w:after="140"/>
        <w:jc w:val="right"/>
      </w:pPr>
      <w:r>
        <w:rPr>
          <w:b/>
          <w:bCs/>
          <w:color w:val="0F6B72"/>
        </w:rPr>
        <w:t>رابعاً: مراجع في الفلسفة الإسلامية العقلية والإشراقية</w:t>
      </w:r>
    </w:p>
    <w:p w14:paraId="463E6CF0" w14:textId="77777777" w:rsidR="00F915BD" w:rsidRDefault="0081309E">
      <w:pPr>
        <w:spacing w:after="140" w:line="300" w:lineRule="auto"/>
        <w:ind w:right="260" w:hanging="260"/>
        <w:jc w:val="both"/>
      </w:pPr>
      <w:r>
        <w:rPr>
          <w:color w:val="222222"/>
          <w:sz w:val="23"/>
          <w:szCs w:val="23"/>
        </w:rPr>
        <w:t xml:space="preserve">11. ابن سينا، أبو علي الحسين. (1959). الشفاء (علم النفس) -- </w:t>
      </w:r>
      <w:proofErr w:type="spellStart"/>
      <w:r>
        <w:rPr>
          <w:color w:val="222222"/>
          <w:sz w:val="23"/>
          <w:szCs w:val="23"/>
        </w:rPr>
        <w:t>Avicenna's</w:t>
      </w:r>
      <w:proofErr w:type="spellEnd"/>
      <w:r>
        <w:rPr>
          <w:color w:val="222222"/>
          <w:sz w:val="23"/>
          <w:szCs w:val="23"/>
        </w:rPr>
        <w:t xml:space="preserve"> </w:t>
      </w:r>
      <w:proofErr w:type="spellStart"/>
      <w:r>
        <w:rPr>
          <w:color w:val="222222"/>
          <w:sz w:val="23"/>
          <w:szCs w:val="23"/>
        </w:rPr>
        <w:t>De</w:t>
      </w:r>
      <w:proofErr w:type="spellEnd"/>
      <w:r>
        <w:rPr>
          <w:color w:val="222222"/>
          <w:sz w:val="23"/>
          <w:szCs w:val="23"/>
        </w:rPr>
        <w:t xml:space="preserve"> </w:t>
      </w:r>
      <w:proofErr w:type="spellStart"/>
      <w:r>
        <w:rPr>
          <w:color w:val="222222"/>
          <w:sz w:val="23"/>
          <w:szCs w:val="23"/>
        </w:rPr>
        <w:t>Anima</w:t>
      </w:r>
      <w:proofErr w:type="spellEnd"/>
      <w:r>
        <w:rPr>
          <w:color w:val="222222"/>
          <w:sz w:val="23"/>
          <w:szCs w:val="23"/>
        </w:rPr>
        <w:t xml:space="preserve"> (</w:t>
      </w:r>
      <w:proofErr w:type="spellStart"/>
      <w:r>
        <w:rPr>
          <w:color w:val="222222"/>
          <w:sz w:val="23"/>
          <w:szCs w:val="23"/>
        </w:rPr>
        <w:t>Arabic</w:t>
      </w:r>
      <w:proofErr w:type="spellEnd"/>
      <w:r>
        <w:rPr>
          <w:color w:val="222222"/>
          <w:sz w:val="23"/>
          <w:szCs w:val="23"/>
        </w:rPr>
        <w:t xml:space="preserve"> </w:t>
      </w:r>
      <w:proofErr w:type="spellStart"/>
      <w:r>
        <w:rPr>
          <w:color w:val="222222"/>
          <w:sz w:val="23"/>
          <w:szCs w:val="23"/>
        </w:rPr>
        <w:t>Text</w:t>
      </w:r>
      <w:proofErr w:type="spellEnd"/>
      <w:r>
        <w:rPr>
          <w:color w:val="222222"/>
          <w:sz w:val="23"/>
          <w:szCs w:val="23"/>
        </w:rPr>
        <w:t xml:space="preserve">): </w:t>
      </w:r>
      <w:proofErr w:type="spellStart"/>
      <w:r>
        <w:rPr>
          <w:color w:val="222222"/>
          <w:sz w:val="23"/>
          <w:szCs w:val="23"/>
        </w:rPr>
        <w:t>Being</w:t>
      </w:r>
      <w:proofErr w:type="spellEnd"/>
      <w:r>
        <w:rPr>
          <w:color w:val="222222"/>
          <w:sz w:val="23"/>
          <w:szCs w:val="23"/>
        </w:rPr>
        <w:t xml:space="preserve"> </w:t>
      </w:r>
      <w:proofErr w:type="spellStart"/>
      <w:r>
        <w:rPr>
          <w:color w:val="222222"/>
          <w:sz w:val="23"/>
          <w:szCs w:val="23"/>
        </w:rPr>
        <w:t>the</w:t>
      </w:r>
      <w:proofErr w:type="spellEnd"/>
      <w:r>
        <w:rPr>
          <w:color w:val="222222"/>
          <w:sz w:val="23"/>
          <w:szCs w:val="23"/>
        </w:rPr>
        <w:t xml:space="preserve"> </w:t>
      </w:r>
      <w:proofErr w:type="spellStart"/>
      <w:r>
        <w:rPr>
          <w:color w:val="222222"/>
          <w:sz w:val="23"/>
          <w:szCs w:val="23"/>
        </w:rPr>
        <w:t>Psychological</w:t>
      </w:r>
      <w:proofErr w:type="spellEnd"/>
      <w:r>
        <w:rPr>
          <w:color w:val="222222"/>
          <w:sz w:val="23"/>
          <w:szCs w:val="23"/>
        </w:rPr>
        <w:t xml:space="preserve"> </w:t>
      </w:r>
      <w:proofErr w:type="spellStart"/>
      <w:r>
        <w:rPr>
          <w:color w:val="222222"/>
          <w:sz w:val="23"/>
          <w:szCs w:val="23"/>
        </w:rPr>
        <w:t>Part</w:t>
      </w:r>
      <w:proofErr w:type="spellEnd"/>
      <w:r>
        <w:rPr>
          <w:color w:val="222222"/>
          <w:sz w:val="23"/>
          <w:szCs w:val="23"/>
        </w:rPr>
        <w:t xml:space="preserve"> </w:t>
      </w:r>
      <w:proofErr w:type="spellStart"/>
      <w:r>
        <w:rPr>
          <w:color w:val="222222"/>
          <w:sz w:val="23"/>
          <w:szCs w:val="23"/>
        </w:rPr>
        <w:t>of</w:t>
      </w:r>
      <w:proofErr w:type="spellEnd"/>
      <w:r>
        <w:rPr>
          <w:color w:val="222222"/>
          <w:sz w:val="23"/>
          <w:szCs w:val="23"/>
        </w:rPr>
        <w:t xml:space="preserve"> </w:t>
      </w:r>
      <w:proofErr w:type="spellStart"/>
      <w:r>
        <w:rPr>
          <w:color w:val="222222"/>
          <w:sz w:val="23"/>
          <w:szCs w:val="23"/>
        </w:rPr>
        <w:t>Kitāb</w:t>
      </w:r>
      <w:proofErr w:type="spellEnd"/>
      <w:r>
        <w:rPr>
          <w:color w:val="222222"/>
          <w:sz w:val="23"/>
          <w:szCs w:val="23"/>
        </w:rPr>
        <w:t xml:space="preserve"> </w:t>
      </w:r>
      <w:proofErr w:type="spellStart"/>
      <w:r>
        <w:rPr>
          <w:color w:val="222222"/>
          <w:sz w:val="23"/>
          <w:szCs w:val="23"/>
        </w:rPr>
        <w:t>al-Shifā</w:t>
      </w:r>
      <w:proofErr w:type="spellEnd"/>
      <w:r>
        <w:rPr>
          <w:color w:val="222222"/>
          <w:sz w:val="23"/>
          <w:szCs w:val="23"/>
        </w:rPr>
        <w:t xml:space="preserve">'. تحقيق: F. </w:t>
      </w:r>
      <w:proofErr w:type="spellStart"/>
      <w:r>
        <w:rPr>
          <w:color w:val="222222"/>
          <w:sz w:val="23"/>
          <w:szCs w:val="23"/>
        </w:rPr>
        <w:t>Rahman</w:t>
      </w:r>
      <w:proofErr w:type="spellEnd"/>
      <w:r>
        <w:rPr>
          <w:color w:val="222222"/>
          <w:sz w:val="23"/>
          <w:szCs w:val="23"/>
        </w:rPr>
        <w:t xml:space="preserve">. لندن: </w:t>
      </w:r>
      <w:proofErr w:type="spellStart"/>
      <w:r>
        <w:rPr>
          <w:color w:val="222222"/>
          <w:sz w:val="23"/>
          <w:szCs w:val="23"/>
        </w:rPr>
        <w:t>Oxford</w:t>
      </w:r>
      <w:proofErr w:type="spellEnd"/>
      <w:r>
        <w:rPr>
          <w:color w:val="222222"/>
          <w:sz w:val="23"/>
          <w:szCs w:val="23"/>
        </w:rPr>
        <w:t xml:space="preserve"> </w:t>
      </w:r>
      <w:proofErr w:type="spellStart"/>
      <w:r>
        <w:rPr>
          <w:color w:val="222222"/>
          <w:sz w:val="23"/>
          <w:szCs w:val="23"/>
        </w:rPr>
        <w:t>University</w:t>
      </w:r>
      <w:proofErr w:type="spellEnd"/>
      <w:r>
        <w:rPr>
          <w:color w:val="222222"/>
          <w:sz w:val="23"/>
          <w:szCs w:val="23"/>
        </w:rPr>
        <w:t xml:space="preserve"> </w:t>
      </w:r>
      <w:proofErr w:type="spellStart"/>
      <w:r>
        <w:rPr>
          <w:color w:val="222222"/>
          <w:sz w:val="23"/>
          <w:szCs w:val="23"/>
        </w:rPr>
        <w:t>Press</w:t>
      </w:r>
      <w:proofErr w:type="spellEnd"/>
      <w:r>
        <w:rPr>
          <w:color w:val="222222"/>
          <w:sz w:val="23"/>
          <w:szCs w:val="23"/>
        </w:rPr>
        <w:t>.</w:t>
      </w:r>
    </w:p>
    <w:p w14:paraId="63E6030F" w14:textId="77777777" w:rsidR="00F915BD" w:rsidRDefault="0081309E">
      <w:pPr>
        <w:spacing w:after="140" w:line="300" w:lineRule="auto"/>
        <w:ind w:right="260" w:hanging="260"/>
        <w:jc w:val="both"/>
      </w:pPr>
      <w:r>
        <w:rPr>
          <w:color w:val="222222"/>
          <w:sz w:val="23"/>
          <w:szCs w:val="23"/>
        </w:rPr>
        <w:t xml:space="preserve">12. ابن رشد، أبو الوليد محمد. (2009). تلخيص كتاب النفس -- </w:t>
      </w:r>
      <w:proofErr w:type="spellStart"/>
      <w:r>
        <w:rPr>
          <w:color w:val="222222"/>
          <w:sz w:val="23"/>
          <w:szCs w:val="23"/>
        </w:rPr>
        <w:t>Averroes</w:t>
      </w:r>
      <w:proofErr w:type="spellEnd"/>
      <w:r>
        <w:rPr>
          <w:color w:val="222222"/>
          <w:sz w:val="23"/>
          <w:szCs w:val="23"/>
        </w:rPr>
        <w:t xml:space="preserve">' </w:t>
      </w:r>
      <w:proofErr w:type="spellStart"/>
      <w:r>
        <w:rPr>
          <w:color w:val="222222"/>
          <w:sz w:val="23"/>
          <w:szCs w:val="23"/>
        </w:rPr>
        <w:t>Long</w:t>
      </w:r>
      <w:proofErr w:type="spellEnd"/>
      <w:r>
        <w:rPr>
          <w:color w:val="222222"/>
          <w:sz w:val="23"/>
          <w:szCs w:val="23"/>
        </w:rPr>
        <w:t xml:space="preserve"> </w:t>
      </w:r>
      <w:proofErr w:type="spellStart"/>
      <w:r>
        <w:rPr>
          <w:color w:val="222222"/>
          <w:sz w:val="23"/>
          <w:szCs w:val="23"/>
        </w:rPr>
        <w:t>Commentary</w:t>
      </w:r>
      <w:proofErr w:type="spellEnd"/>
      <w:r>
        <w:rPr>
          <w:color w:val="222222"/>
          <w:sz w:val="23"/>
          <w:szCs w:val="23"/>
        </w:rPr>
        <w:t xml:space="preserve"> </w:t>
      </w:r>
      <w:proofErr w:type="spellStart"/>
      <w:r>
        <w:rPr>
          <w:color w:val="222222"/>
          <w:sz w:val="23"/>
          <w:szCs w:val="23"/>
        </w:rPr>
        <w:t>on</w:t>
      </w:r>
      <w:proofErr w:type="spellEnd"/>
      <w:r>
        <w:rPr>
          <w:color w:val="222222"/>
          <w:sz w:val="23"/>
          <w:szCs w:val="23"/>
        </w:rPr>
        <w:t xml:space="preserve"> </w:t>
      </w:r>
      <w:proofErr w:type="spellStart"/>
      <w:r>
        <w:rPr>
          <w:color w:val="222222"/>
          <w:sz w:val="23"/>
          <w:szCs w:val="23"/>
        </w:rPr>
        <w:t>the</w:t>
      </w:r>
      <w:proofErr w:type="spellEnd"/>
      <w:r>
        <w:rPr>
          <w:color w:val="222222"/>
          <w:sz w:val="23"/>
          <w:szCs w:val="23"/>
        </w:rPr>
        <w:t xml:space="preserve"> </w:t>
      </w:r>
      <w:proofErr w:type="spellStart"/>
      <w:r>
        <w:rPr>
          <w:color w:val="222222"/>
          <w:sz w:val="23"/>
          <w:szCs w:val="23"/>
        </w:rPr>
        <w:t>De</w:t>
      </w:r>
      <w:proofErr w:type="spellEnd"/>
      <w:r>
        <w:rPr>
          <w:color w:val="222222"/>
          <w:sz w:val="23"/>
          <w:szCs w:val="23"/>
        </w:rPr>
        <w:t xml:space="preserve"> </w:t>
      </w:r>
      <w:proofErr w:type="spellStart"/>
      <w:r>
        <w:rPr>
          <w:color w:val="222222"/>
          <w:sz w:val="23"/>
          <w:szCs w:val="23"/>
        </w:rPr>
        <w:t>Anima</w:t>
      </w:r>
      <w:proofErr w:type="spellEnd"/>
      <w:r>
        <w:rPr>
          <w:color w:val="222222"/>
          <w:sz w:val="23"/>
          <w:szCs w:val="23"/>
        </w:rPr>
        <w:t xml:space="preserve"> </w:t>
      </w:r>
      <w:proofErr w:type="spellStart"/>
      <w:r>
        <w:rPr>
          <w:color w:val="222222"/>
          <w:sz w:val="23"/>
          <w:szCs w:val="23"/>
        </w:rPr>
        <w:t>of</w:t>
      </w:r>
      <w:proofErr w:type="spellEnd"/>
      <w:r>
        <w:rPr>
          <w:color w:val="222222"/>
          <w:sz w:val="23"/>
          <w:szCs w:val="23"/>
        </w:rPr>
        <w:t xml:space="preserve"> </w:t>
      </w:r>
      <w:proofErr w:type="spellStart"/>
      <w:r>
        <w:rPr>
          <w:color w:val="222222"/>
          <w:sz w:val="23"/>
          <w:szCs w:val="23"/>
        </w:rPr>
        <w:t>Aristotle</w:t>
      </w:r>
      <w:proofErr w:type="spellEnd"/>
      <w:r>
        <w:rPr>
          <w:color w:val="222222"/>
          <w:sz w:val="23"/>
          <w:szCs w:val="23"/>
        </w:rPr>
        <w:t xml:space="preserve"> (R. C. </w:t>
      </w:r>
      <w:proofErr w:type="spellStart"/>
      <w:r>
        <w:rPr>
          <w:color w:val="222222"/>
          <w:sz w:val="23"/>
          <w:szCs w:val="23"/>
        </w:rPr>
        <w:t>Taylor</w:t>
      </w:r>
      <w:proofErr w:type="spellEnd"/>
      <w:r>
        <w:rPr>
          <w:color w:val="222222"/>
          <w:sz w:val="23"/>
          <w:szCs w:val="23"/>
        </w:rPr>
        <w:t xml:space="preserve">, </w:t>
      </w:r>
      <w:proofErr w:type="spellStart"/>
      <w:r>
        <w:rPr>
          <w:color w:val="222222"/>
          <w:sz w:val="23"/>
          <w:szCs w:val="23"/>
        </w:rPr>
        <w:t>Trans</w:t>
      </w:r>
      <w:proofErr w:type="spellEnd"/>
      <w:r>
        <w:rPr>
          <w:color w:val="222222"/>
          <w:sz w:val="23"/>
          <w:szCs w:val="23"/>
        </w:rPr>
        <w:t xml:space="preserve">.). </w:t>
      </w:r>
      <w:proofErr w:type="spellStart"/>
      <w:r>
        <w:rPr>
          <w:color w:val="222222"/>
          <w:sz w:val="23"/>
          <w:szCs w:val="23"/>
        </w:rPr>
        <w:t>نيوهيفن</w:t>
      </w:r>
      <w:proofErr w:type="spellEnd"/>
      <w:r>
        <w:rPr>
          <w:color w:val="222222"/>
          <w:sz w:val="23"/>
          <w:szCs w:val="23"/>
        </w:rPr>
        <w:t xml:space="preserve">: </w:t>
      </w:r>
      <w:proofErr w:type="spellStart"/>
      <w:r>
        <w:rPr>
          <w:color w:val="222222"/>
          <w:sz w:val="23"/>
          <w:szCs w:val="23"/>
        </w:rPr>
        <w:t>Yale</w:t>
      </w:r>
      <w:proofErr w:type="spellEnd"/>
      <w:r>
        <w:rPr>
          <w:color w:val="222222"/>
          <w:sz w:val="23"/>
          <w:szCs w:val="23"/>
        </w:rPr>
        <w:t xml:space="preserve"> </w:t>
      </w:r>
      <w:proofErr w:type="spellStart"/>
      <w:r>
        <w:rPr>
          <w:color w:val="222222"/>
          <w:sz w:val="23"/>
          <w:szCs w:val="23"/>
        </w:rPr>
        <w:t>University</w:t>
      </w:r>
      <w:proofErr w:type="spellEnd"/>
      <w:r>
        <w:rPr>
          <w:color w:val="222222"/>
          <w:sz w:val="23"/>
          <w:szCs w:val="23"/>
        </w:rPr>
        <w:t xml:space="preserve"> </w:t>
      </w:r>
      <w:proofErr w:type="spellStart"/>
      <w:r>
        <w:rPr>
          <w:color w:val="222222"/>
          <w:sz w:val="23"/>
          <w:szCs w:val="23"/>
        </w:rPr>
        <w:t>Press</w:t>
      </w:r>
      <w:proofErr w:type="spellEnd"/>
      <w:r>
        <w:rPr>
          <w:color w:val="222222"/>
          <w:sz w:val="23"/>
          <w:szCs w:val="23"/>
        </w:rPr>
        <w:t>.</w:t>
      </w:r>
    </w:p>
    <w:p w14:paraId="0A10486B" w14:textId="77777777" w:rsidR="00F915BD" w:rsidRDefault="0081309E">
      <w:pPr>
        <w:spacing w:after="140" w:line="300" w:lineRule="auto"/>
        <w:ind w:right="260" w:hanging="260"/>
        <w:jc w:val="both"/>
      </w:pPr>
      <w:r>
        <w:rPr>
          <w:color w:val="222222"/>
          <w:sz w:val="23"/>
          <w:szCs w:val="23"/>
        </w:rPr>
        <w:t xml:space="preserve">13. </w:t>
      </w:r>
      <w:proofErr w:type="spellStart"/>
      <w:r>
        <w:rPr>
          <w:color w:val="222222"/>
          <w:sz w:val="23"/>
          <w:szCs w:val="23"/>
        </w:rPr>
        <w:t>السهروردي</w:t>
      </w:r>
      <w:proofErr w:type="spellEnd"/>
      <w:r>
        <w:rPr>
          <w:color w:val="222222"/>
          <w:sz w:val="23"/>
          <w:szCs w:val="23"/>
        </w:rPr>
        <w:t xml:space="preserve">، شهاب الدين يحيى. (1999). حكمة الإشراق -- </w:t>
      </w:r>
      <w:proofErr w:type="spellStart"/>
      <w:r>
        <w:rPr>
          <w:color w:val="222222"/>
          <w:sz w:val="23"/>
          <w:szCs w:val="23"/>
        </w:rPr>
        <w:t>The</w:t>
      </w:r>
      <w:proofErr w:type="spellEnd"/>
      <w:r>
        <w:rPr>
          <w:color w:val="222222"/>
          <w:sz w:val="23"/>
          <w:szCs w:val="23"/>
        </w:rPr>
        <w:t xml:space="preserve"> </w:t>
      </w:r>
      <w:proofErr w:type="spellStart"/>
      <w:r>
        <w:rPr>
          <w:color w:val="222222"/>
          <w:sz w:val="23"/>
          <w:szCs w:val="23"/>
        </w:rPr>
        <w:t>Philosophy</w:t>
      </w:r>
      <w:proofErr w:type="spellEnd"/>
      <w:r>
        <w:rPr>
          <w:color w:val="222222"/>
          <w:sz w:val="23"/>
          <w:szCs w:val="23"/>
        </w:rPr>
        <w:t xml:space="preserve"> </w:t>
      </w:r>
      <w:proofErr w:type="spellStart"/>
      <w:r>
        <w:rPr>
          <w:color w:val="222222"/>
          <w:sz w:val="23"/>
          <w:szCs w:val="23"/>
        </w:rPr>
        <w:t>of</w:t>
      </w:r>
      <w:proofErr w:type="spellEnd"/>
      <w:r>
        <w:rPr>
          <w:color w:val="222222"/>
          <w:sz w:val="23"/>
          <w:szCs w:val="23"/>
        </w:rPr>
        <w:t xml:space="preserve"> </w:t>
      </w:r>
      <w:proofErr w:type="spellStart"/>
      <w:r>
        <w:rPr>
          <w:color w:val="222222"/>
          <w:sz w:val="23"/>
          <w:szCs w:val="23"/>
        </w:rPr>
        <w:t>Illumination</w:t>
      </w:r>
      <w:proofErr w:type="spellEnd"/>
      <w:r>
        <w:rPr>
          <w:color w:val="222222"/>
          <w:sz w:val="23"/>
          <w:szCs w:val="23"/>
        </w:rPr>
        <w:t xml:space="preserve"> (J. </w:t>
      </w:r>
      <w:proofErr w:type="spellStart"/>
      <w:r>
        <w:rPr>
          <w:color w:val="222222"/>
          <w:sz w:val="23"/>
          <w:szCs w:val="23"/>
        </w:rPr>
        <w:t>Walbridge</w:t>
      </w:r>
      <w:proofErr w:type="spellEnd"/>
      <w:r>
        <w:rPr>
          <w:color w:val="222222"/>
          <w:sz w:val="23"/>
          <w:szCs w:val="23"/>
        </w:rPr>
        <w:t xml:space="preserve"> &amp; H. </w:t>
      </w:r>
      <w:proofErr w:type="spellStart"/>
      <w:r>
        <w:rPr>
          <w:color w:val="222222"/>
          <w:sz w:val="23"/>
          <w:szCs w:val="23"/>
        </w:rPr>
        <w:t>Ziai</w:t>
      </w:r>
      <w:proofErr w:type="spellEnd"/>
      <w:r>
        <w:rPr>
          <w:color w:val="222222"/>
          <w:sz w:val="23"/>
          <w:szCs w:val="23"/>
        </w:rPr>
        <w:t xml:space="preserve">, </w:t>
      </w:r>
      <w:proofErr w:type="spellStart"/>
      <w:r>
        <w:rPr>
          <w:color w:val="222222"/>
          <w:sz w:val="23"/>
          <w:szCs w:val="23"/>
        </w:rPr>
        <w:t>Eds</w:t>
      </w:r>
      <w:proofErr w:type="spellEnd"/>
      <w:r>
        <w:rPr>
          <w:color w:val="222222"/>
          <w:sz w:val="23"/>
          <w:szCs w:val="23"/>
        </w:rPr>
        <w:t xml:space="preserve">. &amp; </w:t>
      </w:r>
      <w:proofErr w:type="spellStart"/>
      <w:r>
        <w:rPr>
          <w:color w:val="222222"/>
          <w:sz w:val="23"/>
          <w:szCs w:val="23"/>
        </w:rPr>
        <w:t>Trans</w:t>
      </w:r>
      <w:proofErr w:type="spellEnd"/>
      <w:r>
        <w:rPr>
          <w:color w:val="222222"/>
          <w:sz w:val="23"/>
          <w:szCs w:val="23"/>
        </w:rPr>
        <w:t xml:space="preserve">.). </w:t>
      </w:r>
      <w:proofErr w:type="spellStart"/>
      <w:r>
        <w:rPr>
          <w:color w:val="222222"/>
          <w:sz w:val="23"/>
          <w:szCs w:val="23"/>
        </w:rPr>
        <w:t>بروفو</w:t>
      </w:r>
      <w:proofErr w:type="spellEnd"/>
      <w:r>
        <w:rPr>
          <w:color w:val="222222"/>
          <w:sz w:val="23"/>
          <w:szCs w:val="23"/>
        </w:rPr>
        <w:t xml:space="preserve">: </w:t>
      </w:r>
      <w:proofErr w:type="spellStart"/>
      <w:r>
        <w:rPr>
          <w:color w:val="222222"/>
          <w:sz w:val="23"/>
          <w:szCs w:val="23"/>
        </w:rPr>
        <w:t>Brigham</w:t>
      </w:r>
      <w:proofErr w:type="spellEnd"/>
      <w:r>
        <w:rPr>
          <w:color w:val="222222"/>
          <w:sz w:val="23"/>
          <w:szCs w:val="23"/>
        </w:rPr>
        <w:t xml:space="preserve"> </w:t>
      </w:r>
      <w:proofErr w:type="spellStart"/>
      <w:r>
        <w:rPr>
          <w:color w:val="222222"/>
          <w:sz w:val="23"/>
          <w:szCs w:val="23"/>
        </w:rPr>
        <w:t>Young</w:t>
      </w:r>
      <w:proofErr w:type="spellEnd"/>
      <w:r>
        <w:rPr>
          <w:color w:val="222222"/>
          <w:sz w:val="23"/>
          <w:szCs w:val="23"/>
        </w:rPr>
        <w:t xml:space="preserve"> </w:t>
      </w:r>
      <w:proofErr w:type="spellStart"/>
      <w:r>
        <w:rPr>
          <w:color w:val="222222"/>
          <w:sz w:val="23"/>
          <w:szCs w:val="23"/>
        </w:rPr>
        <w:t>University</w:t>
      </w:r>
      <w:proofErr w:type="spellEnd"/>
      <w:r>
        <w:rPr>
          <w:color w:val="222222"/>
          <w:sz w:val="23"/>
          <w:szCs w:val="23"/>
        </w:rPr>
        <w:t xml:space="preserve"> </w:t>
      </w:r>
      <w:proofErr w:type="spellStart"/>
      <w:r>
        <w:rPr>
          <w:color w:val="222222"/>
          <w:sz w:val="23"/>
          <w:szCs w:val="23"/>
        </w:rPr>
        <w:t>Press</w:t>
      </w:r>
      <w:proofErr w:type="spellEnd"/>
      <w:r>
        <w:rPr>
          <w:color w:val="222222"/>
          <w:sz w:val="23"/>
          <w:szCs w:val="23"/>
        </w:rPr>
        <w:t>.</w:t>
      </w:r>
    </w:p>
    <w:p w14:paraId="2DB6EEEA" w14:textId="77777777" w:rsidR="00F915BD" w:rsidRDefault="0081309E">
      <w:pPr>
        <w:spacing w:after="140" w:line="300" w:lineRule="auto"/>
        <w:ind w:right="260" w:hanging="260"/>
        <w:jc w:val="both"/>
      </w:pPr>
      <w:r>
        <w:rPr>
          <w:color w:val="222222"/>
          <w:sz w:val="23"/>
          <w:szCs w:val="23"/>
        </w:rPr>
        <w:t>14. صدر الدين الشيرازي (الملا صدرا). (د.ت.). الحكمة المتعالية في الأسفار العقلية الأربعة. بيروت: دار إحياء التراث العربي.</w:t>
      </w:r>
    </w:p>
    <w:p w14:paraId="5DF849C4" w14:textId="77777777" w:rsidR="00F915BD" w:rsidRDefault="0081309E">
      <w:pPr>
        <w:spacing w:before="260" w:after="140"/>
        <w:jc w:val="right"/>
      </w:pPr>
      <w:r>
        <w:rPr>
          <w:b/>
          <w:bCs/>
          <w:color w:val="0F6B72"/>
        </w:rPr>
        <w:t>خامساً: مراجع في التراث الإسلامي النصي والصوفي</w:t>
      </w:r>
    </w:p>
    <w:p w14:paraId="1932DE57" w14:textId="77777777" w:rsidR="00F915BD" w:rsidRDefault="0081309E">
      <w:pPr>
        <w:spacing w:after="140" w:line="300" w:lineRule="auto"/>
        <w:ind w:right="260" w:hanging="260"/>
        <w:jc w:val="both"/>
      </w:pPr>
      <w:r>
        <w:rPr>
          <w:color w:val="222222"/>
          <w:sz w:val="23"/>
          <w:szCs w:val="23"/>
        </w:rPr>
        <w:t>15. الغزالي، أبو حامد. (د.ت.). إحياء علوم الدين. بيروت: دار المعرفة.</w:t>
      </w:r>
    </w:p>
    <w:p w14:paraId="4F8865EE" w14:textId="77777777" w:rsidR="00F915BD" w:rsidRDefault="0081309E">
      <w:pPr>
        <w:spacing w:after="140" w:line="300" w:lineRule="auto"/>
        <w:ind w:right="260" w:hanging="260"/>
        <w:jc w:val="both"/>
      </w:pPr>
      <w:r>
        <w:rPr>
          <w:color w:val="222222"/>
          <w:sz w:val="23"/>
          <w:szCs w:val="23"/>
        </w:rPr>
        <w:t>16. ابن القيم الجوزية. (د.ت.). الروح في الكلام على أرواح الأموات والأحياء بالدلائل من الكتاب والسنة. بيروت: دار الكتب العلمية.</w:t>
      </w:r>
    </w:p>
    <w:p w14:paraId="3EBB2963" w14:textId="77777777" w:rsidR="00F915BD" w:rsidRDefault="0081309E">
      <w:pPr>
        <w:spacing w:after="140" w:line="300" w:lineRule="auto"/>
        <w:ind w:right="260" w:hanging="260"/>
        <w:jc w:val="both"/>
      </w:pPr>
      <w:r>
        <w:rPr>
          <w:color w:val="222222"/>
          <w:sz w:val="23"/>
          <w:szCs w:val="23"/>
        </w:rPr>
        <w:t>17. ابن عربي، محيي الدين. (د.ت.). الفتوحات المكية. بيروت: دار صادر.</w:t>
      </w:r>
    </w:p>
    <w:p w14:paraId="2D2F9135" w14:textId="77777777" w:rsidR="00F915BD" w:rsidRDefault="0081309E">
      <w:pPr>
        <w:spacing w:after="140" w:line="300" w:lineRule="auto"/>
        <w:ind w:right="260" w:hanging="260"/>
        <w:jc w:val="both"/>
      </w:pPr>
      <w:r>
        <w:rPr>
          <w:color w:val="222222"/>
          <w:sz w:val="23"/>
          <w:szCs w:val="23"/>
        </w:rPr>
        <w:t>18. المحاسبي، الحارث بن أسد. (د.ت.). الرعاية لحقوق الله. تحقيق: عبد القادر أحمد عطا. بيروت: دار الكتب العلمية.</w:t>
      </w:r>
    </w:p>
    <w:p w14:paraId="14E27AB8" w14:textId="77777777" w:rsidR="00F915BD" w:rsidRDefault="0081309E">
      <w:pPr>
        <w:spacing w:before="260" w:after="140"/>
        <w:jc w:val="right"/>
      </w:pPr>
      <w:r>
        <w:rPr>
          <w:b/>
          <w:bCs/>
          <w:color w:val="0F6B72"/>
        </w:rPr>
        <w:t>سادساً: مراجع في علم الأعصاب وعلم النفس الفسيولوجي والوجداني</w:t>
      </w:r>
    </w:p>
    <w:p w14:paraId="4F8A9DDD"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19. LeDoux, J. E. (1996). The Emotional Brain: The Mysterious Underpinnings of Emotional Life. New York: Simon &amp; Schuster.</w:t>
      </w:r>
    </w:p>
    <w:p w14:paraId="13D709E5"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20. Siegel, D. J. (2007). The Mindful Brain: Reflection and Attunement in the Cultivation of Well-Being. New York: W. W. Norton &amp; Company.</w:t>
      </w:r>
    </w:p>
    <w:p w14:paraId="3BA34B2B"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21. Panksepp, J. (1998). Affective Neuroscience: The Foundations of Human and Animal Emotions. Oxford: Oxford University Press.</w:t>
      </w:r>
    </w:p>
    <w:p w14:paraId="02877436"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22. Damasio, A. R. (1994). Descartes' Error: Emotion, Reason, and the Human Brain. New York: G. P. Putnam's Sons.</w:t>
      </w:r>
    </w:p>
    <w:p w14:paraId="2181E8F3" w14:textId="77777777" w:rsidR="00F915BD" w:rsidRDefault="0081309E">
      <w:pPr>
        <w:spacing w:before="260" w:after="140"/>
        <w:jc w:val="right"/>
      </w:pPr>
      <w:r>
        <w:rPr>
          <w:b/>
          <w:bCs/>
          <w:color w:val="0F6B72"/>
        </w:rPr>
        <w:t>سابعاً: مراجع في الفلسفة الحديثة والمعاصرة وفلسفة العقل</w:t>
      </w:r>
    </w:p>
    <w:p w14:paraId="0FD28800"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23. Heidegger, M. (1927/1962). Being and Time (J. Macquarrie &amp; E. Robinson, Trans.). New York: Harper &amp; Row.</w:t>
      </w:r>
    </w:p>
    <w:p w14:paraId="1AB82AB0"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24. Jaspers, K. (1932/1969). Philosophy (Vols. 1-3) (E. B. Ashton, Trans.). Chicago: University of Chicago Press.</w:t>
      </w:r>
    </w:p>
    <w:p w14:paraId="264A6EBE"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25. Chalmers, D. J. (1996). The Conscious Mind: In Search of a Fundamental Theory. New York: Oxford University Press.</w:t>
      </w:r>
    </w:p>
    <w:p w14:paraId="10872979" w14:textId="77777777" w:rsidR="00F915BD" w:rsidRDefault="0081309E">
      <w:pPr>
        <w:spacing w:before="260" w:after="140"/>
        <w:jc w:val="right"/>
      </w:pPr>
      <w:r>
        <w:rPr>
          <w:b/>
          <w:bCs/>
          <w:color w:val="0F6B72"/>
        </w:rPr>
        <w:t>ثامناً: مراجع في علم النفس الغربي المعاصر ونقده من منظور إسلامي</w:t>
      </w:r>
    </w:p>
    <w:p w14:paraId="2C4EAE25"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26. Jung, C. G. (1933). Modern Man in Search of a Soul (W. S. Dell &amp; C. F. Baynes, Trans.). London: Routledge.</w:t>
      </w:r>
    </w:p>
    <w:p w14:paraId="617B9B34"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27. Frankl, V. E. (1959/2006). Man's Search for Meaning. Boston: Beacon Press.</w:t>
      </w:r>
    </w:p>
    <w:p w14:paraId="5DFE0AF5" w14:textId="77777777" w:rsidR="00F915BD" w:rsidRDefault="0081309E">
      <w:pPr>
        <w:bidi w:val="0"/>
        <w:spacing w:after="140" w:line="300" w:lineRule="auto"/>
        <w:ind w:right="260" w:hanging="260"/>
        <w:jc w:val="both"/>
      </w:pPr>
      <w:r>
        <w:rPr>
          <w:rFonts w:ascii="Times New Roman" w:eastAsia="Times New Roman" w:hAnsi="Times New Roman" w:cs="Times New Roman"/>
          <w:color w:val="222222"/>
          <w:sz w:val="23"/>
          <w:szCs w:val="23"/>
          <w:rtl w:val="0"/>
        </w:rPr>
        <w:t>28. Frankl, V. E. (1975). The Unconscious God: Psychotherapy and Theology. New York: Simon &amp; Schuster.</w:t>
      </w:r>
    </w:p>
    <w:p w14:paraId="75F73683" w14:textId="77777777" w:rsidR="00F915BD" w:rsidRDefault="0081309E">
      <w:pPr>
        <w:spacing w:after="140" w:line="300" w:lineRule="auto"/>
        <w:ind w:right="260" w:hanging="260"/>
        <w:jc w:val="both"/>
      </w:pPr>
      <w:r>
        <w:rPr>
          <w:color w:val="222222"/>
          <w:sz w:val="23"/>
          <w:szCs w:val="23"/>
        </w:rPr>
        <w:t xml:space="preserve">29. </w:t>
      </w:r>
      <w:proofErr w:type="spellStart"/>
      <w:r>
        <w:rPr>
          <w:color w:val="222222"/>
          <w:sz w:val="23"/>
          <w:szCs w:val="23"/>
        </w:rPr>
        <w:t>Badri</w:t>
      </w:r>
      <w:proofErr w:type="spellEnd"/>
      <w:r>
        <w:rPr>
          <w:color w:val="222222"/>
          <w:sz w:val="23"/>
          <w:szCs w:val="23"/>
        </w:rPr>
        <w:t xml:space="preserve">, M. (1979). </w:t>
      </w:r>
      <w:proofErr w:type="spellStart"/>
      <w:r>
        <w:rPr>
          <w:color w:val="222222"/>
          <w:sz w:val="23"/>
          <w:szCs w:val="23"/>
        </w:rPr>
        <w:t>The</w:t>
      </w:r>
      <w:proofErr w:type="spellEnd"/>
      <w:r>
        <w:rPr>
          <w:color w:val="222222"/>
          <w:sz w:val="23"/>
          <w:szCs w:val="23"/>
        </w:rPr>
        <w:t xml:space="preserve"> </w:t>
      </w:r>
      <w:proofErr w:type="spellStart"/>
      <w:r>
        <w:rPr>
          <w:color w:val="222222"/>
          <w:sz w:val="23"/>
          <w:szCs w:val="23"/>
        </w:rPr>
        <w:t>Dilemma</w:t>
      </w:r>
      <w:proofErr w:type="spellEnd"/>
      <w:r>
        <w:rPr>
          <w:color w:val="222222"/>
          <w:sz w:val="23"/>
          <w:szCs w:val="23"/>
        </w:rPr>
        <w:t xml:space="preserve"> </w:t>
      </w:r>
      <w:proofErr w:type="spellStart"/>
      <w:r>
        <w:rPr>
          <w:color w:val="222222"/>
          <w:sz w:val="23"/>
          <w:szCs w:val="23"/>
        </w:rPr>
        <w:t>of</w:t>
      </w:r>
      <w:proofErr w:type="spellEnd"/>
      <w:r>
        <w:rPr>
          <w:color w:val="222222"/>
          <w:sz w:val="23"/>
          <w:szCs w:val="23"/>
        </w:rPr>
        <w:t xml:space="preserve"> </w:t>
      </w:r>
      <w:proofErr w:type="spellStart"/>
      <w:r>
        <w:rPr>
          <w:color w:val="222222"/>
          <w:sz w:val="23"/>
          <w:szCs w:val="23"/>
        </w:rPr>
        <w:t>Muslim</w:t>
      </w:r>
      <w:proofErr w:type="spellEnd"/>
      <w:r>
        <w:rPr>
          <w:color w:val="222222"/>
          <w:sz w:val="23"/>
          <w:szCs w:val="23"/>
        </w:rPr>
        <w:t xml:space="preserve"> </w:t>
      </w:r>
      <w:proofErr w:type="spellStart"/>
      <w:r>
        <w:rPr>
          <w:color w:val="222222"/>
          <w:sz w:val="23"/>
          <w:szCs w:val="23"/>
        </w:rPr>
        <w:t>Psychologists</w:t>
      </w:r>
      <w:proofErr w:type="spellEnd"/>
      <w:r>
        <w:rPr>
          <w:color w:val="222222"/>
          <w:sz w:val="23"/>
          <w:szCs w:val="23"/>
        </w:rPr>
        <w:t xml:space="preserve">. </w:t>
      </w:r>
      <w:proofErr w:type="spellStart"/>
      <w:r>
        <w:rPr>
          <w:color w:val="222222"/>
          <w:sz w:val="23"/>
          <w:szCs w:val="23"/>
        </w:rPr>
        <w:t>London</w:t>
      </w:r>
      <w:proofErr w:type="spellEnd"/>
      <w:r>
        <w:rPr>
          <w:color w:val="222222"/>
          <w:sz w:val="23"/>
          <w:szCs w:val="23"/>
        </w:rPr>
        <w:t xml:space="preserve">: MWH </w:t>
      </w:r>
      <w:proofErr w:type="spellStart"/>
      <w:r>
        <w:rPr>
          <w:color w:val="222222"/>
          <w:sz w:val="23"/>
          <w:szCs w:val="23"/>
        </w:rPr>
        <w:t>London</w:t>
      </w:r>
      <w:proofErr w:type="spellEnd"/>
      <w:r>
        <w:rPr>
          <w:color w:val="222222"/>
          <w:sz w:val="23"/>
          <w:szCs w:val="23"/>
        </w:rPr>
        <w:t xml:space="preserve"> </w:t>
      </w:r>
      <w:proofErr w:type="spellStart"/>
      <w:r>
        <w:rPr>
          <w:color w:val="222222"/>
          <w:sz w:val="23"/>
          <w:szCs w:val="23"/>
        </w:rPr>
        <w:t>Publishers</w:t>
      </w:r>
      <w:proofErr w:type="spellEnd"/>
      <w:r>
        <w:rPr>
          <w:color w:val="222222"/>
          <w:sz w:val="23"/>
          <w:szCs w:val="23"/>
        </w:rPr>
        <w:t>.</w:t>
      </w:r>
    </w:p>
    <w:sectPr w:rsidR="00F915BD">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FE26" w14:textId="77777777" w:rsidR="0081309E" w:rsidRDefault="0081309E">
      <w:r>
        <w:separator/>
      </w:r>
    </w:p>
  </w:endnote>
  <w:endnote w:type="continuationSeparator" w:id="0">
    <w:p w14:paraId="2EA90AB8" w14:textId="77777777" w:rsidR="0081309E" w:rsidRDefault="0081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9FDB" w14:textId="77777777" w:rsidR="00F915BD" w:rsidRDefault="0081309E">
    <w:pPr>
      <w:jc w:val="cente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73530" w14:textId="77777777" w:rsidR="0081309E" w:rsidRDefault="0081309E">
      <w:r>
        <w:separator/>
      </w:r>
    </w:p>
  </w:footnote>
  <w:footnote w:type="continuationSeparator" w:id="0">
    <w:p w14:paraId="1EA95C04" w14:textId="77777777" w:rsidR="0081309E" w:rsidRDefault="00813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15F6F" w14:textId="77777777" w:rsidR="00F915BD" w:rsidRDefault="0081309E">
    <w:pPr>
      <w:jc w:val="center"/>
    </w:pPr>
    <w:r>
      <w:rPr>
        <w:i/>
        <w:iCs/>
        <w:color w:val="0F6B72"/>
        <w:sz w:val="18"/>
        <w:szCs w:val="18"/>
      </w:rPr>
      <w:t>من «النفخة الإلهية» إلى «الشوق الوجودي» — 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951B4"/>
    <w:multiLevelType w:val="hybridMultilevel"/>
    <w:tmpl w:val="FFFFFFFF"/>
    <w:lvl w:ilvl="0" w:tplc="5EEE5FB8">
      <w:start w:val="1"/>
      <w:numFmt w:val="bullet"/>
      <w:lvlText w:val="●"/>
      <w:lvlJc w:val="left"/>
      <w:pPr>
        <w:ind w:left="720" w:hanging="360"/>
      </w:pPr>
    </w:lvl>
    <w:lvl w:ilvl="1" w:tplc="89BA3400">
      <w:start w:val="1"/>
      <w:numFmt w:val="bullet"/>
      <w:lvlText w:val="○"/>
      <w:lvlJc w:val="left"/>
      <w:pPr>
        <w:ind w:left="1440" w:hanging="360"/>
      </w:pPr>
    </w:lvl>
    <w:lvl w:ilvl="2" w:tplc="6B38A062">
      <w:start w:val="1"/>
      <w:numFmt w:val="bullet"/>
      <w:lvlText w:val="■"/>
      <w:lvlJc w:val="left"/>
      <w:pPr>
        <w:ind w:left="2160" w:hanging="360"/>
      </w:pPr>
    </w:lvl>
    <w:lvl w:ilvl="3" w:tplc="5A48F36C">
      <w:start w:val="1"/>
      <w:numFmt w:val="bullet"/>
      <w:lvlText w:val="●"/>
      <w:lvlJc w:val="left"/>
      <w:pPr>
        <w:ind w:left="2880" w:hanging="360"/>
      </w:pPr>
    </w:lvl>
    <w:lvl w:ilvl="4" w:tplc="2AA8CB0C">
      <w:start w:val="1"/>
      <w:numFmt w:val="bullet"/>
      <w:lvlText w:val="○"/>
      <w:lvlJc w:val="left"/>
      <w:pPr>
        <w:ind w:left="3600" w:hanging="360"/>
      </w:pPr>
    </w:lvl>
    <w:lvl w:ilvl="5" w:tplc="0F743982">
      <w:start w:val="1"/>
      <w:numFmt w:val="bullet"/>
      <w:lvlText w:val="■"/>
      <w:lvlJc w:val="left"/>
      <w:pPr>
        <w:ind w:left="4320" w:hanging="360"/>
      </w:pPr>
    </w:lvl>
    <w:lvl w:ilvl="6" w:tplc="93441B1C">
      <w:start w:val="1"/>
      <w:numFmt w:val="bullet"/>
      <w:lvlText w:val="●"/>
      <w:lvlJc w:val="left"/>
      <w:pPr>
        <w:ind w:left="5040" w:hanging="360"/>
      </w:pPr>
    </w:lvl>
    <w:lvl w:ilvl="7" w:tplc="501CB7FA">
      <w:start w:val="1"/>
      <w:numFmt w:val="bullet"/>
      <w:lvlText w:val="●"/>
      <w:lvlJc w:val="left"/>
      <w:pPr>
        <w:ind w:left="5760" w:hanging="360"/>
      </w:pPr>
    </w:lvl>
    <w:lvl w:ilvl="8" w:tplc="90B01ED4">
      <w:start w:val="1"/>
      <w:numFmt w:val="bullet"/>
      <w:lvlText w:val="●"/>
      <w:lvlJc w:val="left"/>
      <w:pPr>
        <w:ind w:left="6480" w:hanging="360"/>
      </w:pPr>
    </w:lvl>
  </w:abstractNum>
  <w:num w:numId="1" w16cid:durableId="9970051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BD"/>
    <w:rsid w:val="0050441F"/>
    <w:rsid w:val="0081309E"/>
    <w:rsid w:val="00F91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9E5D7AE"/>
  <w15:docId w15:val="{467F5A67-235A-BF4A-9E4D-7FD56FC9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5"/>
        <w:szCs w:val="25"/>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b/>
      <w:bCs/>
      <w:color w:val="1B2A4A"/>
    </w:rPr>
  </w:style>
  <w:style w:type="paragraph" w:styleId="2">
    <w:name w:val="heading 2"/>
    <w:uiPriority w:val="9"/>
    <w:unhideWhenUsed/>
    <w:qFormat/>
    <w:pPr>
      <w:outlineLvl w:val="1"/>
    </w:pPr>
    <w:rPr>
      <w:b/>
      <w:bCs/>
      <w:color w:val="0F6B72"/>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5735</Words>
  <Characters>32695</Characters>
  <Application>Microsoft Office Word</Application>
  <DocSecurity>0</DocSecurity>
  <Lines>272</Lines>
  <Paragraphs>76</Paragraphs>
  <ScaleCrop>false</ScaleCrop>
  <Company/>
  <LinksUpToDate>false</LinksUpToDate>
  <CharactersWithSpaces>38354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2</cp:revision>
  <dcterms:created xsi:type="dcterms:W3CDTF">2026-07-10T06:24:00Z</dcterms:created>
  <dcterms:modified xsi:type="dcterms:W3CDTF">2026-07-10T06:24:00Z</dcterms:modified>
</cp:coreProperties>
</file>