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8963B" w14:textId="77777777" w:rsidR="00B52572" w:rsidRDefault="00B52572">
      <w:pPr>
        <w:spacing w:after="600"/>
        <w:rPr>
          <w:rFonts w:cs="Arial" w:hint="cs"/>
        </w:rPr>
      </w:pPr>
    </w:p>
    <w:p w14:paraId="47B81E1D" w14:textId="625682C1" w:rsidR="00B52572" w:rsidRDefault="00000000">
      <w:pPr>
        <w:spacing w:after="200"/>
        <w:jc w:val="center"/>
        <w:rPr>
          <w:rFonts w:cs="Arial"/>
        </w:rPr>
      </w:pPr>
      <w:r>
        <w:rPr>
          <w:b/>
          <w:bCs/>
          <w:color w:val="0F6B6B"/>
        </w:rPr>
        <w:t xml:space="preserve">دراسة أكاديمية </w:t>
      </w:r>
    </w:p>
    <w:p w14:paraId="7D681FB7" w14:textId="77777777" w:rsidR="00B52572" w:rsidRDefault="00000000">
      <w:pPr>
        <w:spacing w:before="200" w:after="120"/>
        <w:jc w:val="center"/>
        <w:rPr>
          <w:rFonts w:cs="Arial"/>
        </w:rPr>
      </w:pPr>
      <w:r>
        <w:rPr>
          <w:b/>
          <w:bCs/>
          <w:color w:val="1B2A4A"/>
          <w:sz w:val="40"/>
          <w:szCs w:val="40"/>
        </w:rPr>
        <w:t>بين «إدارة الواقع» و«هندسة الوجود»:</w:t>
      </w:r>
    </w:p>
    <w:p w14:paraId="1E959FE0" w14:textId="005357F8" w:rsidR="00B52572" w:rsidRDefault="00000000">
      <w:pPr>
        <w:spacing w:after="300"/>
        <w:jc w:val="center"/>
        <w:rPr>
          <w:rFonts w:cs="Arial"/>
        </w:rPr>
      </w:pPr>
      <w:r>
        <w:rPr>
          <w:b/>
          <w:bCs/>
          <w:color w:val="1B2A4A"/>
          <w:sz w:val="30"/>
          <w:szCs w:val="30"/>
        </w:rPr>
        <w:t xml:space="preserve">دراسة في القطيعة </w:t>
      </w:r>
      <w:proofErr w:type="spellStart"/>
      <w:r>
        <w:rPr>
          <w:b/>
          <w:bCs/>
          <w:color w:val="1B2A4A"/>
          <w:sz w:val="30"/>
          <w:szCs w:val="30"/>
        </w:rPr>
        <w:t>الإبستمولوجية</w:t>
      </w:r>
      <w:proofErr w:type="spellEnd"/>
      <w:r>
        <w:rPr>
          <w:b/>
          <w:bCs/>
          <w:color w:val="1B2A4A"/>
          <w:sz w:val="30"/>
          <w:szCs w:val="30"/>
        </w:rPr>
        <w:t xml:space="preserve"> لمفهوم العلم في علم النفس الاستخلافي </w:t>
      </w:r>
    </w:p>
    <w:p w14:paraId="6D231988" w14:textId="13315C4E" w:rsidR="00B52572" w:rsidRDefault="00000000">
      <w:pPr>
        <w:pBdr>
          <w:top w:val="single" w:sz="8" w:space="10" w:color="B8912F"/>
          <w:bottom w:val="single" w:sz="8" w:space="10" w:color="B8912F"/>
        </w:pBdr>
        <w:spacing w:after="500"/>
        <w:jc w:val="center"/>
        <w:rPr>
          <w:rFonts w:cs="Arial"/>
        </w:rPr>
      </w:pPr>
      <w:r>
        <w:rPr>
          <w:i/>
          <w:iCs/>
          <w:color w:val="0F6B6B"/>
          <w:sz w:val="24"/>
          <w:szCs w:val="24"/>
        </w:rPr>
        <w:t xml:space="preserve"> : تعميق تحليلي في الأسس </w:t>
      </w:r>
      <w:proofErr w:type="spellStart"/>
      <w:r>
        <w:rPr>
          <w:i/>
          <w:iCs/>
          <w:color w:val="0F6B6B"/>
          <w:sz w:val="24"/>
          <w:szCs w:val="24"/>
        </w:rPr>
        <w:t>الإبستمولوجية</w:t>
      </w:r>
      <w:proofErr w:type="spellEnd"/>
      <w:r>
        <w:rPr>
          <w:i/>
          <w:iCs/>
          <w:color w:val="0F6B6B"/>
          <w:sz w:val="24"/>
          <w:szCs w:val="24"/>
        </w:rPr>
        <w:t xml:space="preserve"> والتطبيقات الإكلينيكية</w:t>
      </w:r>
    </w:p>
    <w:p w14:paraId="76976958" w14:textId="620766C9" w:rsidR="00B52572" w:rsidRDefault="001764C5">
      <w:pPr>
        <w:spacing w:after="3000"/>
        <w:rPr>
          <w:rFonts w:cs="Arial"/>
        </w:rPr>
      </w:pPr>
      <w:r>
        <w:rPr>
          <w:rFonts w:cs="Arial" w:hint="cs"/>
        </w:rPr>
        <w:t>بقلم : الباحث عبد السلام الزراع</w:t>
      </w:r>
    </w:p>
    <w:p w14:paraId="29B1473C" w14:textId="77777777" w:rsidR="00B52572" w:rsidRDefault="00000000">
      <w:pPr>
        <w:jc w:val="center"/>
        <w:rPr>
          <w:rFonts w:cs="Arial"/>
        </w:rPr>
      </w:pPr>
      <w:r>
        <w:rPr>
          <w:color w:val="1B2A4A"/>
          <w:sz w:val="22"/>
          <w:szCs w:val="22"/>
        </w:rPr>
        <w:t>1447هـ / 2026م</w:t>
      </w:r>
    </w:p>
    <w:p w14:paraId="1106A2CA" w14:textId="77777777" w:rsidR="00B52572" w:rsidRDefault="00000000">
      <w:pPr>
        <w:rPr>
          <w:rFonts w:cs="Arial"/>
        </w:rPr>
      </w:pPr>
      <w:r>
        <w:br w:type="page"/>
      </w:r>
    </w:p>
    <w:p w14:paraId="469FD8A1"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تمهيد موسّع: العلم بوصفه «ساحة الصراع الأنطولوجي» — لماذا لا يمكن «تحييد» المعرفة؟</w:t>
      </w:r>
    </w:p>
    <w:p w14:paraId="7D4669A2" w14:textId="77777777" w:rsidR="00B52572" w:rsidRDefault="00000000">
      <w:pPr>
        <w:spacing w:after="200" w:line="380" w:lineRule="auto"/>
        <w:jc w:val="both"/>
        <w:rPr>
          <w:rFonts w:cs="Arial"/>
        </w:rPr>
      </w:pPr>
      <w:r>
        <w:rPr>
          <w:color w:val="1A1A1A"/>
        </w:rPr>
        <w:t>في عام 1830، نشر الفيلسوف الفرنسي أوغست كونت (</w:t>
      </w:r>
      <w:proofErr w:type="spellStart"/>
      <w:r>
        <w:rPr>
          <w:color w:val="1A1A1A"/>
        </w:rPr>
        <w:t>Auguste</w:t>
      </w:r>
      <w:proofErr w:type="spellEnd"/>
      <w:r>
        <w:rPr>
          <w:color w:val="1A1A1A"/>
        </w:rPr>
        <w:t xml:space="preserve"> </w:t>
      </w:r>
      <w:proofErr w:type="spellStart"/>
      <w:r>
        <w:rPr>
          <w:color w:val="1A1A1A"/>
        </w:rPr>
        <w:t>Comte</w:t>
      </w:r>
      <w:proofErr w:type="spellEnd"/>
      <w:r>
        <w:rPr>
          <w:color w:val="1A1A1A"/>
        </w:rPr>
        <w:t>) كتابه «محاضرات في الفلسفة الوضعية» (</w:t>
      </w:r>
      <w:proofErr w:type="spellStart"/>
      <w:r>
        <w:rPr>
          <w:color w:val="1A1A1A"/>
        </w:rPr>
        <w:t>Cours</w:t>
      </w:r>
      <w:proofErr w:type="spellEnd"/>
      <w:r>
        <w:rPr>
          <w:color w:val="1A1A1A"/>
        </w:rPr>
        <w:t xml:space="preserve"> </w:t>
      </w:r>
      <w:proofErr w:type="spellStart"/>
      <w:r>
        <w:rPr>
          <w:color w:val="1A1A1A"/>
        </w:rPr>
        <w:t>de</w:t>
      </w:r>
      <w:proofErr w:type="spellEnd"/>
      <w:r>
        <w:rPr>
          <w:color w:val="1A1A1A"/>
        </w:rPr>
        <w:t xml:space="preserve"> </w:t>
      </w:r>
      <w:proofErr w:type="spellStart"/>
      <w:r>
        <w:rPr>
          <w:color w:val="1A1A1A"/>
        </w:rPr>
        <w:t>philosophie</w:t>
      </w:r>
      <w:proofErr w:type="spellEnd"/>
      <w:r>
        <w:rPr>
          <w:color w:val="1A1A1A"/>
        </w:rPr>
        <w:t xml:space="preserve"> </w:t>
      </w:r>
      <w:proofErr w:type="spellStart"/>
      <w:r>
        <w:rPr>
          <w:color w:val="1A1A1A"/>
        </w:rPr>
        <w:t>positive</w:t>
      </w:r>
      <w:proofErr w:type="spellEnd"/>
      <w:r>
        <w:rPr>
          <w:color w:val="1A1A1A"/>
        </w:rPr>
        <w:t xml:space="preserve">)، الذي أعلن فيه «قانون الأحوال الثلاثة» الشهير: أن الفكر البشري «يتطور» من «المرحلة اللاهوتية» (تفسير الظواهر بآلهة وقوى غيبية) إلى «المرحلة الميتافيزيقية» (تفسيرها بمبادئ عقلية مجردة) إلى «المرحلة الوضعية» (الاكتفاء بوصف القوانين التجريبية دون بحث في الأصول والغايات). ومنذ تلك اللحظة، «تَرَسخ» في «الوعي الغربي» أن «العلم الحق» هو الذي «يَقطع» كل صلة بـ«الغيب» و«الميتافيزيقا» و«الدين»، </w:t>
      </w:r>
      <w:proofErr w:type="spellStart"/>
      <w:r>
        <w:rPr>
          <w:color w:val="1A1A1A"/>
        </w:rPr>
        <w:t>و«يَقبل</w:t>
      </w:r>
      <w:proofErr w:type="spellEnd"/>
      <w:r>
        <w:rPr>
          <w:color w:val="1A1A1A"/>
        </w:rPr>
        <w:t>» فقط «ما يُمكن» «قياسه» و«التجريب عليه» [6].</w:t>
      </w:r>
    </w:p>
    <w:p w14:paraId="114F6131" w14:textId="77777777" w:rsidR="00B52572" w:rsidRDefault="00000000">
      <w:pPr>
        <w:spacing w:after="200" w:line="380" w:lineRule="auto"/>
        <w:jc w:val="both"/>
        <w:rPr>
          <w:rFonts w:cs="Arial"/>
        </w:rPr>
      </w:pPr>
      <w:r>
        <w:rPr>
          <w:color w:val="1A1A1A"/>
        </w:rPr>
        <w:t xml:space="preserve">غير أن هذا «السرد التطوري» نفسه — كما تكشف قراءة </w:t>
      </w:r>
      <w:proofErr w:type="spellStart"/>
      <w:r>
        <w:rPr>
          <w:color w:val="1A1A1A"/>
        </w:rPr>
        <w:t>إبستمولوجية</w:t>
      </w:r>
      <w:proofErr w:type="spellEnd"/>
      <w:r>
        <w:rPr>
          <w:color w:val="1A1A1A"/>
        </w:rPr>
        <w:t xml:space="preserve"> متأنية — لم يكن أبدًا وصفًا محايدًا لمسار المعرفة الإنسانية، بل كان في جوهره «أطروحة تشريعية» تُقرر سلفًا أي أنماط المعرفة «تستحق» صفة العلمية وأيها يجب إحالتها إلى متحف «الطفولة الفكرية» للبشرية. وهنا يكمن أول مواطن النقد الذي يوجهه علم النفس الاستخلافي: فـ«الحياد» الذي يدّعيه الخطاب الوضعي هو في ذاته موقف غير محايد، لأنه يبدأ من قرار مسبق بإقصاء فئة كاملة من مصادر المعرفة (الوحي، الإلهام، الحدس المعنوي) قبل أن يفحص محتواها أو صدقيتها. وبعبارة أدق: الوضعية لا «تكتشف» أن الميتافيزيقا زائفة، بل «تُعرّف» العلم بطريقة تُخرج الميتافيزيقا من دائرته ابتداءً — وهذا فرق جوهري بين الاكتشاف والتصنيف القسري.</w:t>
      </w:r>
    </w:p>
    <w:p w14:paraId="2D505983" w14:textId="77777777" w:rsidR="00B52572" w:rsidRDefault="00000000">
      <w:pPr>
        <w:spacing w:after="200" w:line="380" w:lineRule="auto"/>
        <w:jc w:val="both"/>
        <w:rPr>
          <w:rFonts w:cs="Arial"/>
        </w:rPr>
      </w:pPr>
      <w:r>
        <w:rPr>
          <w:color w:val="1A1A1A"/>
        </w:rPr>
        <w:t>لكن «هذا التصور» – كما سيُبيّن «علم النفس الاستخلافي» – ليس «حقيقة علمية»، بل هو «خيار فلسفي» و«موقف أنطولوجي» مُسبق. فـ«رفض» «الغيب» ليس «نتيجة» للعلم، بل هو «شرطه» المُسبق. و«قصر» «المعرفة» على «المادة» ليس «اكتشافًا»، بل هو «إقصاء منهجي» لكل ما لا يُختزل في «الكم» و«القياس». وقد سبق توماس كون (</w:t>
      </w:r>
      <w:proofErr w:type="spellStart"/>
      <w:r>
        <w:rPr>
          <w:color w:val="1A1A1A"/>
        </w:rPr>
        <w:t>Thomas</w:t>
      </w:r>
      <w:proofErr w:type="spellEnd"/>
      <w:r>
        <w:rPr>
          <w:color w:val="1A1A1A"/>
        </w:rPr>
        <w:t xml:space="preserve"> </w:t>
      </w:r>
      <w:proofErr w:type="spellStart"/>
      <w:r>
        <w:rPr>
          <w:color w:val="1A1A1A"/>
        </w:rPr>
        <w:t>Kuhn</w:t>
      </w:r>
      <w:proofErr w:type="spellEnd"/>
      <w:r>
        <w:rPr>
          <w:color w:val="1A1A1A"/>
        </w:rPr>
        <w:t>) إلى تفكيك هذا الوهم حين بيّن أن العلم لا يتقدم بتراكم خطي محايد للحقائق، بل عبر «نماذج إرشادية» (</w:t>
      </w:r>
      <w:proofErr w:type="spellStart"/>
      <w:r>
        <w:rPr>
          <w:color w:val="1A1A1A"/>
        </w:rPr>
        <w:t>Paradigms</w:t>
      </w:r>
      <w:proofErr w:type="spellEnd"/>
      <w:r>
        <w:rPr>
          <w:color w:val="1A1A1A"/>
        </w:rPr>
        <w:t>) تُحدد مسبقًا ما هي الأسئلة المشروعة وما هي الأدوات المقبولة للإجابة عنها، بحيث يصبح كل «نموذج إرشادي» — بما فيه النموذج الوضعي نفسه — بناءً اجتماعيًا وتاريخيًا لا حقيقة مطلقة متعالية عن الزمان [7].</w:t>
      </w:r>
    </w:p>
    <w:p w14:paraId="7E86BFB7" w14:textId="16003587" w:rsidR="00B52572" w:rsidRDefault="00000000">
      <w:pPr>
        <w:spacing w:after="200" w:line="380" w:lineRule="auto"/>
        <w:jc w:val="both"/>
        <w:rPr>
          <w:rFonts w:cs="Arial"/>
        </w:rPr>
      </w:pPr>
      <w:r>
        <w:rPr>
          <w:color w:val="1A1A1A"/>
        </w:rPr>
        <w:t xml:space="preserve">وفي السياق ذاته، قدّم إدموند </w:t>
      </w:r>
      <w:proofErr w:type="spellStart"/>
      <w:r>
        <w:rPr>
          <w:color w:val="1A1A1A"/>
        </w:rPr>
        <w:t>هوسرل</w:t>
      </w:r>
      <w:proofErr w:type="spellEnd"/>
      <w:r>
        <w:rPr>
          <w:color w:val="1A1A1A"/>
        </w:rPr>
        <w:t xml:space="preserve"> (</w:t>
      </w:r>
      <w:proofErr w:type="spellStart"/>
      <w:r>
        <w:rPr>
          <w:color w:val="1A1A1A"/>
        </w:rPr>
        <w:t>Edmund</w:t>
      </w:r>
      <w:proofErr w:type="spellEnd"/>
      <w:r>
        <w:rPr>
          <w:color w:val="1A1A1A"/>
        </w:rPr>
        <w:t xml:space="preserve"> </w:t>
      </w:r>
      <w:proofErr w:type="spellStart"/>
      <w:r>
        <w:rPr>
          <w:color w:val="1A1A1A"/>
        </w:rPr>
        <w:t>Husserl</w:t>
      </w:r>
      <w:proofErr w:type="spellEnd"/>
      <w:r>
        <w:rPr>
          <w:color w:val="1A1A1A"/>
        </w:rPr>
        <w:t>) في كتابه «أزمة العلوم الأوروبية» تشخيصًا نافذًا لما سماه «نسيان العالم-الحياة» (</w:t>
      </w:r>
      <w:proofErr w:type="spellStart"/>
      <w:r>
        <w:rPr>
          <w:color w:val="1A1A1A"/>
        </w:rPr>
        <w:t>Lebenswelt</w:t>
      </w:r>
      <w:proofErr w:type="spellEnd"/>
      <w:r>
        <w:rPr>
          <w:color w:val="1A1A1A"/>
        </w:rPr>
        <w:t xml:space="preserve">): فالعلم الحديث، في سعيه إلى </w:t>
      </w:r>
      <w:proofErr w:type="spellStart"/>
      <w:r>
        <w:rPr>
          <w:color w:val="1A1A1A"/>
        </w:rPr>
        <w:t>الرياضنة</w:t>
      </w:r>
      <w:proofErr w:type="spellEnd"/>
      <w:r>
        <w:rPr>
          <w:color w:val="1A1A1A"/>
        </w:rPr>
        <w:t xml:space="preserve"> الشاملة للطبيعة، فصل تدريجيًا بين «العالم المُقاس» (عالم المعادلات والقوانين الفيزيائية) و«العالم المُعاش» (عالم المعنى والقيمة والتجربة الإنسانية المباشرة)، ثم نسي أنه فعل ذلك، فبات يظن أن العالم المُقاس هو الواقع الوحيد، وأن العالم المُعاش وهمٌ ذاتي يجب تجاوزه. هذا «النسيان» — كما </w:t>
      </w:r>
      <w:r w:rsidR="00736D9C">
        <w:rPr>
          <w:rFonts w:cs="Times New Roman" w:hint="cs"/>
          <w:color w:val="1A1A1A"/>
        </w:rPr>
        <w:t>نرى</w:t>
      </w:r>
      <w:r>
        <w:rPr>
          <w:color w:val="1A1A1A"/>
        </w:rPr>
        <w:t xml:space="preserve">  — هو بالضبط ما يقع فيه الإنسان المعاصر حين يبحث عن السعادة في مقاييس الأداء والإنتاجية بينما يفقد اتصاله بمصدر المعنى نفسه [8].</w:t>
      </w:r>
    </w:p>
    <w:p w14:paraId="1275DA7A" w14:textId="77777777" w:rsidR="00B52572" w:rsidRDefault="00000000">
      <w:pPr>
        <w:spacing w:after="200" w:line="380" w:lineRule="auto"/>
        <w:jc w:val="both"/>
        <w:rPr>
          <w:rFonts w:cs="Arial"/>
        </w:rPr>
      </w:pPr>
      <w:r>
        <w:rPr>
          <w:color w:val="1A1A1A"/>
        </w:rPr>
        <w:t>ويضيف مارتن هايدغر (</w:t>
      </w:r>
      <w:proofErr w:type="spellStart"/>
      <w:r>
        <w:rPr>
          <w:color w:val="1A1A1A"/>
        </w:rPr>
        <w:t>Martin</w:t>
      </w:r>
      <w:proofErr w:type="spellEnd"/>
      <w:r>
        <w:rPr>
          <w:color w:val="1A1A1A"/>
        </w:rPr>
        <w:t xml:space="preserve"> </w:t>
      </w:r>
      <w:proofErr w:type="spellStart"/>
      <w:r>
        <w:rPr>
          <w:color w:val="1A1A1A"/>
        </w:rPr>
        <w:t>Heidegger</w:t>
      </w:r>
      <w:proofErr w:type="spellEnd"/>
      <w:r>
        <w:rPr>
          <w:color w:val="1A1A1A"/>
        </w:rPr>
        <w:t>) بُعدًا أعمق حين يميّز بين «التقنية بوصفها أداة» و«التقنية بوصفها إطارًا للكشف» (</w:t>
      </w:r>
      <w:proofErr w:type="spellStart"/>
      <w:r>
        <w:rPr>
          <w:color w:val="1A1A1A"/>
        </w:rPr>
        <w:t>Gestell</w:t>
      </w:r>
      <w:proofErr w:type="spellEnd"/>
      <w:r>
        <w:rPr>
          <w:color w:val="1A1A1A"/>
        </w:rPr>
        <w:t>): فالخطر الحقيقي ليس في الأدوات العلمية والتقنية نفسها، بل في أن تتحول هذه الأدوات إلى العدسة الوحيدة التي يُرى العالم من خلالها، بحيث لا يعود الإنسان يرى في الطبيعة — ولا في ذاته — إلا «مخزونًا احتياطيًا» (</w:t>
      </w:r>
      <w:proofErr w:type="spellStart"/>
      <w:r>
        <w:rPr>
          <w:color w:val="1A1A1A"/>
        </w:rPr>
        <w:t>Bestand</w:t>
      </w:r>
      <w:proofErr w:type="spellEnd"/>
      <w:r>
        <w:rPr>
          <w:color w:val="1A1A1A"/>
        </w:rPr>
        <w:t>) قابلاً للاستثمار والتوظيف والاستهلاك. وهذا بالضبط ما يُحذّر منه علم النفس الاستخلافي حين يرصد تحوّل الإنسان في الحداثة المتأخرة من «خليفة» يُسخِّر الكون لعمارته، إلى «مورد» يُستثمر من قبل منظومات الإنتاج والاستهلاك ذاتها [9].</w:t>
      </w:r>
    </w:p>
    <w:p w14:paraId="4E4B2BB3" w14:textId="00F3D36A" w:rsidR="00B52572" w:rsidRDefault="00000000">
      <w:pPr>
        <w:spacing w:after="200" w:line="380" w:lineRule="auto"/>
        <w:jc w:val="both"/>
        <w:rPr>
          <w:rFonts w:cs="Arial"/>
        </w:rPr>
      </w:pPr>
      <w:r>
        <w:rPr>
          <w:color w:val="1A1A1A"/>
        </w:rPr>
        <w:t>في هذا السياق، يقدم الباحث عبد السلام الزراع – من خلال «نموذج</w:t>
      </w:r>
      <w:r w:rsidR="00C02AE2">
        <w:rPr>
          <w:rFonts w:cs="Times New Roman" w:hint="cs"/>
          <w:color w:val="1A1A1A"/>
        </w:rPr>
        <w:t xml:space="preserve"> </w:t>
      </w:r>
      <w:r>
        <w:rPr>
          <w:color w:val="1A1A1A"/>
        </w:rPr>
        <w:t xml:space="preserve">الاستخلافي» – «نقدًا جذريًا» لأسس «العلم الغربي»، </w:t>
      </w:r>
      <w:proofErr w:type="spellStart"/>
      <w:r>
        <w:rPr>
          <w:color w:val="1A1A1A"/>
        </w:rPr>
        <w:t>و«يُؤسس</w:t>
      </w:r>
      <w:proofErr w:type="spellEnd"/>
      <w:r>
        <w:rPr>
          <w:color w:val="1A1A1A"/>
        </w:rPr>
        <w:t xml:space="preserve">» لـ «قطيعة </w:t>
      </w:r>
      <w:proofErr w:type="spellStart"/>
      <w:r>
        <w:rPr>
          <w:color w:val="1A1A1A"/>
        </w:rPr>
        <w:t>إبستمولوجية</w:t>
      </w:r>
      <w:proofErr w:type="spellEnd"/>
      <w:r>
        <w:rPr>
          <w:color w:val="1A1A1A"/>
        </w:rPr>
        <w:t>» (</w:t>
      </w:r>
      <w:proofErr w:type="spellStart"/>
      <w:r>
        <w:rPr>
          <w:color w:val="1A1A1A"/>
        </w:rPr>
        <w:t>Épistémologique</w:t>
      </w:r>
      <w:proofErr w:type="spellEnd"/>
      <w:r>
        <w:rPr>
          <w:color w:val="1A1A1A"/>
        </w:rPr>
        <w:t xml:space="preserve"> </w:t>
      </w:r>
      <w:proofErr w:type="spellStart"/>
      <w:r>
        <w:rPr>
          <w:color w:val="1A1A1A"/>
        </w:rPr>
        <w:t>Rupture</w:t>
      </w:r>
      <w:proofErr w:type="spellEnd"/>
      <w:r>
        <w:rPr>
          <w:color w:val="1A1A1A"/>
        </w:rPr>
        <w:t>) حقيقية مع «النماذج المادية والوضعية» [1191، 1399، 1404]. هذه «القطيعة» لا تعني «رفض» «منجزات» العلم التجريبي (في الفيزياء، الكيمياء، الأعصاب)، بل تعني «رفض احتكار» هذا العلم لـ«تعريف» «الحقيقة» و«المعرفة»، و«إعادة العلم» إلى «مكانه» الطبيعي كـ«أداة» لفهم «السنن السببية»، لا كـ«بديل» عن «الوحي» و«الفطرة» في الإجابة عن «أسئلة المعنى والغاية».</w:t>
      </w:r>
    </w:p>
    <w:p w14:paraId="34D84067" w14:textId="77777777" w:rsidR="00B52572" w:rsidRDefault="00000000">
      <w:pPr>
        <w:spacing w:after="200" w:line="380" w:lineRule="auto"/>
        <w:jc w:val="both"/>
        <w:rPr>
          <w:rFonts w:cs="Arial"/>
        </w:rPr>
      </w:pPr>
      <w:r>
        <w:rPr>
          <w:color w:val="1A1A1A"/>
        </w:rPr>
        <w:t xml:space="preserve">وتجدر الإشارة إلى أن مصطلح «القطيعة </w:t>
      </w:r>
      <w:proofErr w:type="spellStart"/>
      <w:r>
        <w:rPr>
          <w:color w:val="1A1A1A"/>
        </w:rPr>
        <w:t>الإبستمولوجية</w:t>
      </w:r>
      <w:proofErr w:type="spellEnd"/>
      <w:r>
        <w:rPr>
          <w:color w:val="1A1A1A"/>
        </w:rPr>
        <w:t>» نفسه مُستعار — بشكل واعٍ ونقدي — من تراث فلسفة العلم الفرنسية (</w:t>
      </w:r>
      <w:proofErr w:type="spellStart"/>
      <w:r>
        <w:rPr>
          <w:color w:val="1A1A1A"/>
        </w:rPr>
        <w:t>غاستون</w:t>
      </w:r>
      <w:proofErr w:type="spellEnd"/>
      <w:r>
        <w:rPr>
          <w:color w:val="1A1A1A"/>
        </w:rPr>
        <w:t xml:space="preserve"> </w:t>
      </w:r>
      <w:proofErr w:type="spellStart"/>
      <w:r>
        <w:rPr>
          <w:color w:val="1A1A1A"/>
        </w:rPr>
        <w:t>باشلار</w:t>
      </w:r>
      <w:proofErr w:type="spellEnd"/>
      <w:r>
        <w:rPr>
          <w:color w:val="1A1A1A"/>
        </w:rPr>
        <w:t xml:space="preserve">، ولاحقًا </w:t>
      </w:r>
      <w:proofErr w:type="spellStart"/>
      <w:r>
        <w:rPr>
          <w:color w:val="1A1A1A"/>
        </w:rPr>
        <w:t>ألتوسير</w:t>
      </w:r>
      <w:proofErr w:type="spellEnd"/>
      <w:r>
        <w:rPr>
          <w:color w:val="1A1A1A"/>
        </w:rPr>
        <w:t>)، حيث كانت تعني أصلًا انفصال العلم عن الحس المشترك ومعارف ما قبل العلم. أما في توظيف الزراع، فإن القطيعة تنعكس اتجاهها: فهي ليست قطيعة العلم عن الغيب، بل قطيعة العلم الاستخلافي عن الأيديولوجيا الوضعية التي صادرت حق الغيب في أن يكون مصدرًا معرفيًا مشروعًا. هذا الانعكاس المصطلحي ليس تلاعبًا لفظيًا، بل هو بحد ذاته أطروحة: فهو يقول إن الأصل هو التكامل بين المسطور والمنظور، وأن الوضعية هي الطارئ التاريخي الذي يحتاج إلى «قطيعة» لتجاوزه، لا العكس.</w:t>
      </w:r>
    </w:p>
    <w:p w14:paraId="672B891B" w14:textId="2F49CE8C" w:rsidR="00B52572" w:rsidRDefault="00000000">
      <w:pPr>
        <w:spacing w:after="200" w:line="380" w:lineRule="auto"/>
        <w:jc w:val="both"/>
        <w:rPr>
          <w:rFonts w:cs="Arial"/>
        </w:rPr>
      </w:pPr>
      <w:r>
        <w:rPr>
          <w:color w:val="1A1A1A"/>
        </w:rPr>
        <w:t xml:space="preserve">هذه الدراسة  تسعى إلى تفكيك «القطيعة </w:t>
      </w:r>
      <w:proofErr w:type="spellStart"/>
      <w:r>
        <w:rPr>
          <w:color w:val="1A1A1A"/>
        </w:rPr>
        <w:t>الإبستمولوجية</w:t>
      </w:r>
      <w:proofErr w:type="spellEnd"/>
      <w:r>
        <w:rPr>
          <w:color w:val="1A1A1A"/>
        </w:rPr>
        <w:t xml:space="preserve">» التي </w:t>
      </w:r>
      <w:proofErr w:type="spellStart"/>
      <w:r w:rsidR="0090068E">
        <w:rPr>
          <w:rFonts w:cs="Times New Roman" w:hint="cs"/>
          <w:color w:val="1A1A1A"/>
        </w:rPr>
        <w:t>إ</w:t>
      </w:r>
      <w:r>
        <w:rPr>
          <w:color w:val="1A1A1A"/>
        </w:rPr>
        <w:t>قترحها</w:t>
      </w:r>
      <w:proofErr w:type="spellEnd"/>
      <w:r>
        <w:rPr>
          <w:color w:val="1A1A1A"/>
        </w:rPr>
        <w:t xml:space="preserve"> الزراع على خمسة محاور أساسية، مع مقارنتها بأسس «العلم الغربي»، وتأصيلها في «النموذج الهرمي القرآني»، وتوثيقها بدقة من مصادره ومراجعه. وقد أُضيف في هذه الطبعة الموسّعة محور سادس يتناول التطبيقات المنهجية والإكلينيكية لهذه القطيعة </w:t>
      </w:r>
      <w:proofErr w:type="spellStart"/>
      <w:r>
        <w:rPr>
          <w:color w:val="1A1A1A"/>
        </w:rPr>
        <w:t>الإبستمولوجية</w:t>
      </w:r>
      <w:proofErr w:type="spellEnd"/>
      <w:r>
        <w:rPr>
          <w:color w:val="1A1A1A"/>
        </w:rPr>
        <w:t xml:space="preserve"> ضمن بروتوكول العلاج بحرث المصالحة التحويلية (TLRT)، إلى جانب تعميق تحليلي في كل محور من المحاور الخمسة الأصلية بما يُبرز الأبعاد الفلسفية والتاريخية والسريرية للأطروحة.</w:t>
      </w:r>
    </w:p>
    <w:p w14:paraId="0C37BAE9" w14:textId="77777777" w:rsidR="00B52572" w:rsidRDefault="00000000">
      <w:pPr>
        <w:rPr>
          <w:rFonts w:cs="Arial"/>
        </w:rPr>
      </w:pPr>
      <w:r>
        <w:br w:type="page"/>
      </w:r>
    </w:p>
    <w:p w14:paraId="510A37E9"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الفصل الأول: «مصادر المعرفة» – من «أحادية المادة» إلى «مركزية التوحيد»</w:t>
      </w:r>
    </w:p>
    <w:p w14:paraId="100FD97D" w14:textId="77777777" w:rsidR="00B52572" w:rsidRDefault="00000000">
      <w:pPr>
        <w:pStyle w:val="2"/>
        <w:bidi/>
        <w:spacing w:before="360" w:after="200"/>
        <w:jc w:val="right"/>
        <w:rPr>
          <w:rFonts w:cs="Arial"/>
        </w:rPr>
      </w:pPr>
      <w:r>
        <w:rPr>
          <w:b/>
          <w:bCs/>
          <w:color w:val="0F6B6B"/>
          <w:sz w:val="28"/>
          <w:szCs w:val="28"/>
        </w:rPr>
        <w:t>1.1 «المفهوم الغربي»: «</w:t>
      </w:r>
      <w:proofErr w:type="spellStart"/>
      <w:r>
        <w:rPr>
          <w:b/>
          <w:bCs/>
          <w:color w:val="0F6B6B"/>
          <w:sz w:val="28"/>
          <w:szCs w:val="28"/>
        </w:rPr>
        <w:t>الطبيعانية</w:t>
      </w:r>
      <w:proofErr w:type="spellEnd"/>
      <w:r>
        <w:rPr>
          <w:b/>
          <w:bCs/>
          <w:color w:val="0F6B6B"/>
          <w:sz w:val="28"/>
          <w:szCs w:val="28"/>
        </w:rPr>
        <w:t>» و«الوضعية» و«إغلاق السماء»</w:t>
      </w:r>
    </w:p>
    <w:p w14:paraId="4B173CD8" w14:textId="77777777" w:rsidR="00B52572" w:rsidRDefault="00000000">
      <w:pPr>
        <w:spacing w:after="200" w:line="380" w:lineRule="auto"/>
        <w:jc w:val="both"/>
        <w:rPr>
          <w:rFonts w:cs="Arial"/>
        </w:rPr>
      </w:pPr>
      <w:r>
        <w:rPr>
          <w:color w:val="1A1A1A"/>
        </w:rPr>
        <w:t>«الركيزة» الأولى لـ«لعلم الغربي» – كما تجسدت في «الوضعية» (</w:t>
      </w:r>
      <w:proofErr w:type="spellStart"/>
      <w:r>
        <w:rPr>
          <w:color w:val="1A1A1A"/>
        </w:rPr>
        <w:t>Positivism</w:t>
      </w:r>
      <w:proofErr w:type="spellEnd"/>
      <w:r>
        <w:rPr>
          <w:color w:val="1A1A1A"/>
        </w:rPr>
        <w:t>) و«المادية العلمية» (</w:t>
      </w:r>
      <w:proofErr w:type="spellStart"/>
      <w:r>
        <w:rPr>
          <w:color w:val="1A1A1A"/>
        </w:rPr>
        <w:t>Scientific</w:t>
      </w:r>
      <w:proofErr w:type="spellEnd"/>
      <w:r>
        <w:rPr>
          <w:color w:val="1A1A1A"/>
        </w:rPr>
        <w:t xml:space="preserve"> </w:t>
      </w:r>
      <w:proofErr w:type="spellStart"/>
      <w:r>
        <w:rPr>
          <w:color w:val="1A1A1A"/>
        </w:rPr>
        <w:t>Materialism</w:t>
      </w:r>
      <w:proofErr w:type="spellEnd"/>
      <w:r>
        <w:rPr>
          <w:color w:val="1A1A1A"/>
        </w:rPr>
        <w:t>) – هي أن «المعرفة الحقة» لا «مصدر» لها إلا «الحواس» و«التجربة» و«الملاحظة». وكل «ما يتجاوز» هذا «الإطار» – من «وحي» أو «إلهام» أو «حدس» أو «غيب» – هو «معرفة زائفة» أو «غير علمية». وقد عبّر عن ذلك «كونت» بوضوح حين «جعل» من «المرحلة الوضعية» «ذروة» التطور الفكري، و«نهاية» «الطفولة» اللاهوتية والميتافيزيقية للبشرية.</w:t>
      </w:r>
    </w:p>
    <w:p w14:paraId="5585F94B" w14:textId="77777777" w:rsidR="00B52572" w:rsidRDefault="00000000">
      <w:pPr>
        <w:spacing w:after="200" w:line="380" w:lineRule="auto"/>
        <w:jc w:val="both"/>
        <w:rPr>
          <w:rFonts w:cs="Arial"/>
        </w:rPr>
      </w:pPr>
      <w:r>
        <w:rPr>
          <w:color w:val="1A1A1A"/>
        </w:rPr>
        <w:t>هذا «الإقصاء المنهجي» للغيب – كما يُحلل الزراع – ليس «نتيجة» للعلم، بل هو «شرطه المُسبق» و«خياره الأنطولوجي» الخفي. فالعلم الغربي – منذ «ديكارت» و«غاليليو» – «قرر» أن «يُقسم» «الوجود» إلى «مادة» (قابلة للقياس) و«روح» (غير قابلة للقياس)، وأن «يُسلم» «الأولى» للعلم، و«يترك» «الثانية» للدين (أو للإهمال). وهذا «التقسيم» – كما سيُبيّن «علم النفس الاستخلافي» – ليس «حلًا» للمشكلة، بل هو «مصدرها»: إنه «فصل» بين ما «وصله» الله، و«تمزيق» لوحدة «الوجود» و«المعرفة» [753، 762].</w:t>
      </w:r>
    </w:p>
    <w:p w14:paraId="0FB98F63" w14:textId="77777777" w:rsidR="00B52572" w:rsidRDefault="00000000">
      <w:pPr>
        <w:spacing w:after="200" w:line="380" w:lineRule="auto"/>
        <w:jc w:val="both"/>
        <w:rPr>
          <w:rFonts w:cs="Arial"/>
        </w:rPr>
      </w:pPr>
      <w:r>
        <w:rPr>
          <w:color w:val="1A1A1A"/>
        </w:rPr>
        <w:t xml:space="preserve">ولا بد من التوقف هنا عند الجذر الديكارتي لهذا الانقسام بشيء من التفصيل، لأنه يمثل نقطة التحول التاريخية الفعلية. فحين صاغ روني ديكارت </w:t>
      </w:r>
      <w:proofErr w:type="spellStart"/>
      <w:r>
        <w:rPr>
          <w:color w:val="1A1A1A"/>
        </w:rPr>
        <w:t>ثنائيته</w:t>
      </w:r>
      <w:proofErr w:type="spellEnd"/>
      <w:r>
        <w:rPr>
          <w:color w:val="1A1A1A"/>
        </w:rPr>
        <w:t xml:space="preserve"> الشهيرة بين «الجوهر الممتد» (</w:t>
      </w:r>
      <w:proofErr w:type="spellStart"/>
      <w:r>
        <w:rPr>
          <w:color w:val="1A1A1A"/>
        </w:rPr>
        <w:t>res</w:t>
      </w:r>
      <w:proofErr w:type="spellEnd"/>
      <w:r>
        <w:rPr>
          <w:color w:val="1A1A1A"/>
        </w:rPr>
        <w:t xml:space="preserve"> </w:t>
      </w:r>
      <w:proofErr w:type="spellStart"/>
      <w:r>
        <w:rPr>
          <w:color w:val="1A1A1A"/>
        </w:rPr>
        <w:t>extensa</w:t>
      </w:r>
      <w:proofErr w:type="spellEnd"/>
      <w:r>
        <w:rPr>
          <w:color w:val="1A1A1A"/>
        </w:rPr>
        <w:t>) و«الجوهر المفكر» (</w:t>
      </w:r>
      <w:proofErr w:type="spellStart"/>
      <w:r>
        <w:rPr>
          <w:color w:val="1A1A1A"/>
        </w:rPr>
        <w:t>res</w:t>
      </w:r>
      <w:proofErr w:type="spellEnd"/>
      <w:r>
        <w:rPr>
          <w:color w:val="1A1A1A"/>
        </w:rPr>
        <w:t xml:space="preserve"> </w:t>
      </w:r>
      <w:proofErr w:type="spellStart"/>
      <w:r>
        <w:rPr>
          <w:color w:val="1A1A1A"/>
        </w:rPr>
        <w:t>cogitans</w:t>
      </w:r>
      <w:proofErr w:type="spellEnd"/>
      <w:r>
        <w:rPr>
          <w:color w:val="1A1A1A"/>
        </w:rPr>
        <w:t xml:space="preserve">)، لم يكن يقصد إقصاء الروح، بل كان يسعى — على العكس — إلى حمايتها من اجتياح المنهج الرياضي الجديد، بترك مساحة مستقلة لها بمعزل عن قوانين الحركة الميكانيكية. غير أن المفارقة التاريخية أن هذا «الحل الوقائي» تحوّل مع مرور الوقت إلى فخ: فبمجرد أن أصبحت «العلمية» مرادفة لقابلية الشيء للقياس والتجريب ضمن منطق الامتداد، وجد «الجوهر المفكر» نفسه بلا مكان مشروع في الخريطة العلمية، فتقلّص تدريجيًا من «حقيقة مستقلة» إلى «ظاهرة ثانوية» يُفترض تفسيرها هي الأخرى بلغة المادة والامتداد — وهو المسار الذي بلغ ذروته في المادية </w:t>
      </w:r>
      <w:proofErr w:type="spellStart"/>
      <w:r>
        <w:rPr>
          <w:color w:val="1A1A1A"/>
        </w:rPr>
        <w:t>الأعصابية</w:t>
      </w:r>
      <w:proofErr w:type="spellEnd"/>
      <w:r>
        <w:rPr>
          <w:color w:val="1A1A1A"/>
        </w:rPr>
        <w:t xml:space="preserve"> المعاصرة التي تختزل الوعي إلى نشاط عصبي محض.</w:t>
      </w:r>
    </w:p>
    <w:p w14:paraId="5CBE73F9" w14:textId="77777777" w:rsidR="00B52572" w:rsidRDefault="00000000">
      <w:pPr>
        <w:pStyle w:val="2"/>
        <w:bidi/>
        <w:spacing w:before="360" w:after="200"/>
        <w:jc w:val="right"/>
        <w:rPr>
          <w:rFonts w:cs="Arial"/>
        </w:rPr>
      </w:pPr>
      <w:r>
        <w:rPr>
          <w:b/>
          <w:bCs/>
          <w:color w:val="0F6B6B"/>
          <w:sz w:val="28"/>
          <w:szCs w:val="28"/>
        </w:rPr>
        <w:t>1.2 «البديل الاستخلافي»: «مركزية التوحيد» و«الجمع بين المسطور والمنظور»</w:t>
      </w:r>
    </w:p>
    <w:p w14:paraId="1173FB57" w14:textId="77777777" w:rsidR="00B52572" w:rsidRDefault="00000000">
      <w:pPr>
        <w:spacing w:after="200" w:line="380" w:lineRule="auto"/>
        <w:jc w:val="both"/>
        <w:rPr>
          <w:rFonts w:cs="Arial"/>
        </w:rPr>
      </w:pPr>
      <w:r>
        <w:rPr>
          <w:color w:val="1A1A1A"/>
        </w:rPr>
        <w:t>في مقابل هذه «الأحادية»، يقدم «النموذج الاستخلافي» مفهوم «المركزية التوحيدية» (</w:t>
      </w:r>
      <w:proofErr w:type="spellStart"/>
      <w:r>
        <w:rPr>
          <w:color w:val="1A1A1A"/>
        </w:rPr>
        <w:t>Tawḥīdī</w:t>
      </w:r>
      <w:proofErr w:type="spellEnd"/>
      <w:r>
        <w:rPr>
          <w:color w:val="1A1A1A"/>
        </w:rPr>
        <w:t xml:space="preserve"> </w:t>
      </w:r>
      <w:proofErr w:type="spellStart"/>
      <w:r>
        <w:rPr>
          <w:color w:val="1A1A1A"/>
        </w:rPr>
        <w:t>Centrality</w:t>
      </w:r>
      <w:proofErr w:type="spellEnd"/>
      <w:r>
        <w:rPr>
          <w:color w:val="1A1A1A"/>
        </w:rPr>
        <w:t xml:space="preserve">): «العلم» – في «الإسلام» – ليس «عدوًا» للوحي، ولا «بديلاً» عنه، بل هو «شريك» </w:t>
      </w:r>
      <w:proofErr w:type="spellStart"/>
      <w:r>
        <w:rPr>
          <w:color w:val="1A1A1A"/>
        </w:rPr>
        <w:t>و«مُكمل</w:t>
      </w:r>
      <w:proofErr w:type="spellEnd"/>
      <w:r>
        <w:rPr>
          <w:color w:val="1A1A1A"/>
        </w:rPr>
        <w:t xml:space="preserve">» له. فـ«الله» – سبحانه – هو «خالق» «الكون» (المنظور) </w:t>
      </w:r>
      <w:proofErr w:type="spellStart"/>
      <w:r>
        <w:rPr>
          <w:color w:val="1A1A1A"/>
        </w:rPr>
        <w:t>و«مُنزل</w:t>
      </w:r>
      <w:proofErr w:type="spellEnd"/>
      <w:r>
        <w:rPr>
          <w:color w:val="1A1A1A"/>
        </w:rPr>
        <w:t>» «الوحي» (المسطور). و«الحقيقة» – بالتالي – «واحدة»، و«مصدرها» «واحد». و«العلم» – الحق – هو الذي «يَجمع» بين «قراءة» «الكتابين» معًا: «كتاب» «الكون» (آيات الآفاق) و«كتاب» «الوحي» (آيات المسطور) [1191، 1399].</w:t>
      </w:r>
    </w:p>
    <w:tbl>
      <w:tblPr>
        <w:tblW w:w="5000" w:type="pct"/>
        <w:tblBorders>
          <w:top w:val="single" w:sz="16" w:space="0" w:color="B8912F"/>
          <w:left w:val="single" w:sz="16" w:space="0" w:color="B8912F"/>
          <w:bottom w:val="single" w:sz="16" w:space="0" w:color="B8912F"/>
          <w:right w:val="single" w:sz="16" w:space="0" w:color="B891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B52572" w14:paraId="6D8A4D41" w14:textId="77777777">
        <w:tc>
          <w:tcPr>
            <w:tcW w:w="0" w:type="auto"/>
            <w:shd w:val="clear" w:color="auto" w:fill="F7EFDD"/>
            <w:tcMar>
              <w:top w:w="200" w:type="dxa"/>
              <w:left w:w="300" w:type="dxa"/>
              <w:bottom w:w="200" w:type="dxa"/>
              <w:right w:w="300" w:type="dxa"/>
            </w:tcMar>
            <w:vAlign w:val="center"/>
          </w:tcPr>
          <w:p w14:paraId="297DF0F4" w14:textId="77777777" w:rsidR="00B52572" w:rsidRDefault="00000000">
            <w:pPr>
              <w:spacing w:after="100"/>
              <w:jc w:val="center"/>
              <w:rPr>
                <w:rFonts w:cs="Arial"/>
              </w:rPr>
            </w:pPr>
            <w:r>
              <w:rPr>
                <w:b/>
                <w:bCs/>
                <w:color w:val="1B2A4A"/>
                <w:sz w:val="30"/>
                <w:szCs w:val="30"/>
              </w:rPr>
              <w:t xml:space="preserve">﴿سَنُرِيهِمْ آيَاتِنَا فِي الْآفَاقِ وَفِي أَنفُسِهِمْ </w:t>
            </w:r>
            <w:proofErr w:type="spellStart"/>
            <w:r>
              <w:rPr>
                <w:b/>
                <w:bCs/>
                <w:color w:val="1B2A4A"/>
                <w:sz w:val="30"/>
                <w:szCs w:val="30"/>
              </w:rPr>
              <w:t>حَتَّىٰ</w:t>
            </w:r>
            <w:proofErr w:type="spellEnd"/>
            <w:r>
              <w:rPr>
                <w:b/>
                <w:bCs/>
                <w:color w:val="1B2A4A"/>
                <w:sz w:val="30"/>
                <w:szCs w:val="30"/>
              </w:rPr>
              <w:t xml:space="preserve"> يَتَبَيَّنَ لَهُمْ أَنَّهُ الْحَقُّ﴾</w:t>
            </w:r>
          </w:p>
          <w:p w14:paraId="5F918AE5" w14:textId="77777777" w:rsidR="00B52572" w:rsidRDefault="00000000">
            <w:pPr>
              <w:jc w:val="center"/>
              <w:rPr>
                <w:rFonts w:cs="Arial"/>
              </w:rPr>
            </w:pPr>
            <w:r>
              <w:rPr>
                <w:i/>
                <w:iCs/>
                <w:color w:val="0F6B6B"/>
                <w:sz w:val="22"/>
                <w:szCs w:val="22"/>
              </w:rPr>
              <w:t>سورة فصلت، الآية 53</w:t>
            </w:r>
          </w:p>
        </w:tc>
      </w:tr>
    </w:tbl>
    <w:p w14:paraId="6DC29D30" w14:textId="77777777" w:rsidR="00B52572" w:rsidRDefault="00B52572">
      <w:pPr>
        <w:spacing w:after="160"/>
        <w:rPr>
          <w:rFonts w:cs="Arial"/>
        </w:rPr>
      </w:pPr>
    </w:p>
    <w:p w14:paraId="5E152DE7" w14:textId="77777777" w:rsidR="00B52572" w:rsidRDefault="00000000">
      <w:pPr>
        <w:spacing w:after="200" w:line="380" w:lineRule="auto"/>
        <w:jc w:val="both"/>
        <w:rPr>
          <w:rFonts w:cs="Arial"/>
        </w:rPr>
      </w:pPr>
      <w:r>
        <w:rPr>
          <w:color w:val="1A1A1A"/>
        </w:rPr>
        <w:t>وهذا – كما يُشير الزراع – ليس «مجرد» «موقف فلسفي»، بل هو – في «جوهره» – «توحيد معرفي» (</w:t>
      </w:r>
      <w:proofErr w:type="spellStart"/>
      <w:r>
        <w:rPr>
          <w:color w:val="1A1A1A"/>
        </w:rPr>
        <w:t>Epistemic</w:t>
      </w:r>
      <w:proofErr w:type="spellEnd"/>
      <w:r>
        <w:rPr>
          <w:color w:val="1A1A1A"/>
        </w:rPr>
        <w:t xml:space="preserve"> </w:t>
      </w:r>
      <w:proofErr w:type="spellStart"/>
      <w:r>
        <w:rPr>
          <w:color w:val="1A1A1A"/>
        </w:rPr>
        <w:t>Tawḥīd</w:t>
      </w:r>
      <w:proofErr w:type="spellEnd"/>
      <w:r>
        <w:rPr>
          <w:color w:val="1A1A1A"/>
        </w:rPr>
        <w:t>): «رفض» «لتأليه» «العقل» و«المادة» من جهة، و«رفض» «لإهدارهما» من جهة أخرى. «العلم التجريبي» – في هذا السياق – هو «أداة» ضرورية ومفيدة «لكشف» «سنن الله في خلقه» (السنن السببية). أما «الوحي» – فهو «المصدر» الوحيد «للمعرفة» بـ«الغيب» و«الغايات» و«القيم» (السنن الغائية). و«التكامل» بينهما هو «الطريق» إلى «العلم الشامل» [129، 889، 972].</w:t>
      </w:r>
    </w:p>
    <w:p w14:paraId="6D8ECD4F" w14:textId="77777777" w:rsidR="00B52572" w:rsidRDefault="00000000">
      <w:pPr>
        <w:pStyle w:val="3"/>
        <w:bidi/>
        <w:spacing w:before="260" w:after="160"/>
        <w:jc w:val="right"/>
        <w:rPr>
          <w:rFonts w:cs="Arial"/>
        </w:rPr>
      </w:pPr>
      <w:r>
        <w:rPr>
          <w:b/>
          <w:bCs/>
          <w:color w:val="B8912F"/>
          <w:sz w:val="25"/>
          <w:szCs w:val="25"/>
        </w:rPr>
        <w:t>1.2.1 ثلاثية مصادر المعرفة في النموذج الاستخلافي: الوحي والعقل والفطرة</w:t>
      </w:r>
    </w:p>
    <w:p w14:paraId="1A673A1A" w14:textId="77777777" w:rsidR="00B52572" w:rsidRDefault="00000000">
      <w:pPr>
        <w:spacing w:after="200" w:line="380" w:lineRule="auto"/>
        <w:jc w:val="both"/>
        <w:rPr>
          <w:rFonts w:cs="Arial"/>
        </w:rPr>
      </w:pPr>
      <w:r>
        <w:rPr>
          <w:color w:val="1A1A1A"/>
        </w:rPr>
        <w:t>يمكن تعميق هذا المبحث بإبراز ما يمكن تسميته «الثلاثية المعرفية الاستخلافية»، التي لا تكتفي بازدواجية المسطور والمنظور، بل تضيف إليهما مصدرًا ثالثًا وسيطًا هو «الفطرة» (</w:t>
      </w:r>
      <w:proofErr w:type="spellStart"/>
      <w:r>
        <w:rPr>
          <w:color w:val="1A1A1A"/>
        </w:rPr>
        <w:t>Fiṭrah</w:t>
      </w:r>
      <w:proofErr w:type="spellEnd"/>
      <w:r>
        <w:rPr>
          <w:color w:val="1A1A1A"/>
        </w:rPr>
        <w:t>) بوصفها القابلية الداخلية المُودعة في النفس الإنسانية لإدراك الحق والخير قبل أي تنظير فلسفي أو تجربة حسية. فالفطرة — في هذا النموذج — ليست مجرد «غريزة» بالمعنى البيولوجي المحض كما تُختزل أحيانًا في علم النفس التطوري الغربي، بل هي «جهاز إدراك أولي» يعمل كمرشّح ومُصادِّق لما يرِد إليه من الوحي (فيتعرف عليه ولا ينكره) ومن التجربة الحسية (فيميّز صدقها من زيفها الأخلاقي). وبهذا تكتمل الحلقة الثلاثية: وحي يُنزّل المعرفة الغائية، وعقل يُنظّم ويستنبط، وفطرة تُصادق وتوازن، بحيث لا ينفرد أي مصدر من هذه المصادر الثلاثة بالهيمنة المطلقة على الآخرين، كما يقع في النموذج الوضعي حين يُنصّب العقل التجريبي حكمًا وحيدًا على كل ما عداه.</w:t>
      </w:r>
    </w:p>
    <w:p w14:paraId="052CA83A" w14:textId="77777777" w:rsidR="00B52572" w:rsidRDefault="00000000">
      <w:pPr>
        <w:rPr>
          <w:rFonts w:cs="Arial"/>
        </w:rPr>
      </w:pPr>
      <w:r>
        <w:br w:type="page"/>
      </w:r>
    </w:p>
    <w:p w14:paraId="1D3E7610"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الفصل الثاني: «غاية العلم» – من «الإدارة الوظيفية» إلى «هندسة الاستخلاف»</w:t>
      </w:r>
    </w:p>
    <w:p w14:paraId="0044181C" w14:textId="77777777" w:rsidR="00B52572" w:rsidRDefault="00000000">
      <w:pPr>
        <w:pStyle w:val="2"/>
        <w:bidi/>
        <w:spacing w:before="360" w:after="200"/>
        <w:jc w:val="right"/>
        <w:rPr>
          <w:rFonts w:cs="Arial"/>
        </w:rPr>
      </w:pPr>
      <w:r>
        <w:rPr>
          <w:b/>
          <w:bCs/>
          <w:color w:val="0F6B6B"/>
          <w:sz w:val="28"/>
          <w:szCs w:val="28"/>
        </w:rPr>
        <w:t>2.1 «العلم الغربي»: «الكيف» و«التحكم» و«التكيف»</w:t>
      </w:r>
    </w:p>
    <w:p w14:paraId="4F5DAAE9" w14:textId="77777777" w:rsidR="00B52572" w:rsidRDefault="00000000">
      <w:pPr>
        <w:spacing w:after="200" w:line="380" w:lineRule="auto"/>
        <w:jc w:val="both"/>
        <w:rPr>
          <w:rFonts w:cs="Arial"/>
        </w:rPr>
      </w:pPr>
      <w:r>
        <w:rPr>
          <w:color w:val="1A1A1A"/>
        </w:rPr>
        <w:t>«الغاية» المُعلنة للعلم الغربي – منذ «فرانسيس بيكون» – هي «السيطرة» على «الطبيعة» و«تسخيرها» لصالح الإنسان. و«العلم» – في هذا الإطار – هو «أداة» لـ«تحقيق» «الرفاه» و«الراحة» و«إطالة العمر». وهو «يُجيب» – بشكل أساسي – عن سؤال «كيف؟»: كيف يعمل الدماغ؟ كيف تنتشر الأمراض؟ كيف نزيد الإنتاج؟ [241، 245، 718، 831].</w:t>
      </w:r>
    </w:p>
    <w:p w14:paraId="57728416" w14:textId="77777777" w:rsidR="00B52572" w:rsidRDefault="00000000">
      <w:pPr>
        <w:spacing w:after="200" w:line="380" w:lineRule="auto"/>
        <w:jc w:val="both"/>
        <w:rPr>
          <w:rFonts w:cs="Arial"/>
        </w:rPr>
      </w:pPr>
      <w:r>
        <w:rPr>
          <w:color w:val="1A1A1A"/>
        </w:rPr>
        <w:t>هذا «التركيز» على «الكيف» وإهمال «</w:t>
      </w:r>
      <w:proofErr w:type="spellStart"/>
      <w:r>
        <w:rPr>
          <w:color w:val="1A1A1A"/>
        </w:rPr>
        <w:t>اللماذا</w:t>
      </w:r>
      <w:proofErr w:type="spellEnd"/>
      <w:r>
        <w:rPr>
          <w:color w:val="1A1A1A"/>
        </w:rPr>
        <w:t>» – كما يرى الزراع – يُحول «العلم» إلى «أداة عمياء» و«إدارة وظيفية» للنفس والمجتمع. فهو «يُساعد» الإنسان على «أن يعيش»، لكنه «لا يُساعده» على «أن يعرف لماذا يعيش». وهو «يُعالج» «الأعراض» (القلق، الاكتئاب)، لكنه «يتجاهل» – غالبًا – «الأسباب» «الوجودية» (فقدان المعنى، الفراغ الروحي). إنه – باختصار – «علم» «التكيف» مع «الواقع»، لا «علم» «تغيير» «الواقع» نحو «الأفضل» و«الأسمى» [1133، 1191].</w:t>
      </w:r>
    </w:p>
    <w:p w14:paraId="5F42273E" w14:textId="77777777" w:rsidR="00B52572" w:rsidRDefault="00000000">
      <w:pPr>
        <w:spacing w:after="200" w:line="380" w:lineRule="auto"/>
        <w:jc w:val="both"/>
        <w:rPr>
          <w:rFonts w:cs="Arial"/>
        </w:rPr>
      </w:pPr>
      <w:r>
        <w:rPr>
          <w:color w:val="1A1A1A"/>
        </w:rPr>
        <w:t>ويمكن أن نلحظ هذا الجنوح نحو «الكيف» بجلاء في المسار التاريخي لعلم النفس الإكلينيكي الغربي ذاته: من النموذج السلوكي الذي اختزل العلاج في تعديل الاستجابات القابلة للملاحظة، مرورًا بالنموذج المعرفي-السلوكي الذي أضاف طبقة من «التفكير» لكنه ظل حبيس منطق تصحيح الأخطاء الوظيفية، وصولًا إلى الطفرة العصبية الحديثة التي تسعى إلى رد كل معاناة نفسية إلى اختلال في الناقلات العصبية يُعالَج دوائيًا. وفي كل هذه المحطات، يظل السؤال الحاكم هو «كيف نُعيد الوظيفة إلى طبيعتها؟» لا «ما الغاية التي من أجلها خُلقت هذه النفس أصلًا؟» — وهو ما يجعل حتى أنجح التدخلات العلاجية الغربية، من منظور استخلافي، علاجًا للأعراض دون شفاء للجرح الوجودي الأعمق.</w:t>
      </w:r>
    </w:p>
    <w:p w14:paraId="07E85AE8" w14:textId="77777777" w:rsidR="00B52572" w:rsidRDefault="00000000">
      <w:pPr>
        <w:pStyle w:val="2"/>
        <w:bidi/>
        <w:spacing w:before="360" w:after="200"/>
        <w:jc w:val="right"/>
        <w:rPr>
          <w:rFonts w:cs="Arial"/>
        </w:rPr>
      </w:pPr>
      <w:r>
        <w:rPr>
          <w:b/>
          <w:bCs/>
          <w:color w:val="0F6B6B"/>
          <w:sz w:val="28"/>
          <w:szCs w:val="28"/>
        </w:rPr>
        <w:t>2.2 «العلم الاستخلافي»: «</w:t>
      </w:r>
      <w:proofErr w:type="spellStart"/>
      <w:r>
        <w:rPr>
          <w:b/>
          <w:bCs/>
          <w:color w:val="0F6B6B"/>
          <w:sz w:val="28"/>
          <w:szCs w:val="28"/>
        </w:rPr>
        <w:t>اللماذا</w:t>
      </w:r>
      <w:proofErr w:type="spellEnd"/>
      <w:r>
        <w:rPr>
          <w:b/>
          <w:bCs/>
          <w:color w:val="0F6B6B"/>
          <w:sz w:val="28"/>
          <w:szCs w:val="28"/>
        </w:rPr>
        <w:t>» و«الغاية» و«الفلاح»</w:t>
      </w:r>
    </w:p>
    <w:p w14:paraId="77F4208A" w14:textId="77777777" w:rsidR="00B52572" w:rsidRDefault="00000000">
      <w:pPr>
        <w:spacing w:after="200" w:line="380" w:lineRule="auto"/>
        <w:jc w:val="both"/>
        <w:rPr>
          <w:rFonts w:cs="Arial"/>
        </w:rPr>
      </w:pPr>
      <w:r>
        <w:rPr>
          <w:color w:val="1A1A1A"/>
        </w:rPr>
        <w:t>في المقابل، «العلم» – في «النموذج الاستخلافي» – ليس «غاية» في ذاته، بل هو «وسيلة» لتحقيق «غاية» «أسمى»: «الاستخلاف» و«الفلاح». و«السؤال» الذي «يُوجهه» – ليس فقط «كيف؟»، بل – قبل ذلك – «لماذا؟»: لماذا وُجد الإنسان؟ وما الغاية من حياته؟ وكيف يحقق «الحياة الطيبة» و«الرضوان الأبدي»؟ [241، 718].</w:t>
      </w:r>
    </w:p>
    <w:tbl>
      <w:tblPr>
        <w:tblW w:w="5000" w:type="pct"/>
        <w:tblBorders>
          <w:top w:val="single" w:sz="16" w:space="0" w:color="B8912F"/>
          <w:left w:val="single" w:sz="16" w:space="0" w:color="B8912F"/>
          <w:bottom w:val="single" w:sz="16" w:space="0" w:color="B8912F"/>
          <w:right w:val="single" w:sz="16" w:space="0" w:color="B891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B52572" w14:paraId="5BCFF365" w14:textId="77777777">
        <w:tc>
          <w:tcPr>
            <w:tcW w:w="0" w:type="auto"/>
            <w:shd w:val="clear" w:color="auto" w:fill="F7EFDD"/>
            <w:tcMar>
              <w:top w:w="200" w:type="dxa"/>
              <w:left w:w="300" w:type="dxa"/>
              <w:bottom w:w="200" w:type="dxa"/>
              <w:right w:w="300" w:type="dxa"/>
            </w:tcMar>
            <w:vAlign w:val="center"/>
          </w:tcPr>
          <w:p w14:paraId="6B91390E" w14:textId="77777777" w:rsidR="00B52572" w:rsidRDefault="00000000">
            <w:pPr>
              <w:spacing w:after="100"/>
              <w:jc w:val="center"/>
              <w:rPr>
                <w:rFonts w:cs="Arial"/>
              </w:rPr>
            </w:pPr>
            <w:r>
              <w:rPr>
                <w:b/>
                <w:bCs/>
                <w:color w:val="1B2A4A"/>
                <w:sz w:val="30"/>
                <w:szCs w:val="30"/>
              </w:rPr>
              <w:t>﴿وَإِذْ قَالَ رَبُّكَ لِلْمَلَائِكَةِ إِنِّي جَاعِلٌ فِي الْأَرْضِ خَلِيفَةً﴾</w:t>
            </w:r>
          </w:p>
          <w:p w14:paraId="3D46AFB8" w14:textId="77777777" w:rsidR="00B52572" w:rsidRDefault="00000000">
            <w:pPr>
              <w:jc w:val="center"/>
              <w:rPr>
                <w:rFonts w:cs="Arial"/>
              </w:rPr>
            </w:pPr>
            <w:r>
              <w:rPr>
                <w:i/>
                <w:iCs/>
                <w:color w:val="0F6B6B"/>
                <w:sz w:val="22"/>
                <w:szCs w:val="22"/>
              </w:rPr>
              <w:t>سورة البقرة، الآية 30</w:t>
            </w:r>
          </w:p>
        </w:tc>
      </w:tr>
    </w:tbl>
    <w:p w14:paraId="53B94374" w14:textId="77777777" w:rsidR="00B52572" w:rsidRDefault="00B52572">
      <w:pPr>
        <w:spacing w:after="160"/>
        <w:rPr>
          <w:rFonts w:cs="Arial"/>
        </w:rPr>
      </w:pPr>
    </w:p>
    <w:p w14:paraId="055DAA36" w14:textId="77777777" w:rsidR="00B52572" w:rsidRDefault="00000000">
      <w:pPr>
        <w:spacing w:after="200" w:line="380" w:lineRule="auto"/>
        <w:jc w:val="both"/>
        <w:rPr>
          <w:rFonts w:cs="Arial"/>
        </w:rPr>
      </w:pPr>
      <w:r>
        <w:rPr>
          <w:color w:val="1A1A1A"/>
        </w:rPr>
        <w:t xml:space="preserve">وهذا – كما يُعبر عنه الزراع – هو «الفرق» بين «العلم المُدير» و«العلم المُهندس وجوديًا». فـ«العلم المُدير» (الغربي) «يَكتفي» بـ«إدارة» «الموجود» (الأعراض، السلوكيات، العلاقات). أما «العلم المُهندس» (الاستخلافي) – فهو «يَسعى» إلى «هندسة» «الوجود» نفسه: «تحويل» «الإنسان» من «رتبة» «المستهلك» إلى «مقام» «الخليفة»، و«تحويل» «الطاقة» «المُحتجزة» (الندم، الذنب، الألم) إلى «فاعلية </w:t>
      </w:r>
      <w:proofErr w:type="spellStart"/>
      <w:r>
        <w:rPr>
          <w:color w:val="1A1A1A"/>
        </w:rPr>
        <w:t>إحسانية</w:t>
      </w:r>
      <w:proofErr w:type="spellEnd"/>
      <w:r>
        <w:rPr>
          <w:color w:val="1A1A1A"/>
        </w:rPr>
        <w:t>» (الجسر السلوكي)، و«تحويل» «الجرح» إلى «ذهب» (الكينتسوغي النفسي) [972، 1192].</w:t>
      </w:r>
    </w:p>
    <w:p w14:paraId="755790C3" w14:textId="77777777" w:rsidR="00B52572" w:rsidRDefault="00000000">
      <w:pPr>
        <w:pStyle w:val="3"/>
        <w:bidi/>
        <w:spacing w:before="260" w:after="160"/>
        <w:jc w:val="right"/>
        <w:rPr>
          <w:rFonts w:cs="Arial"/>
        </w:rPr>
      </w:pPr>
      <w:r>
        <w:rPr>
          <w:b/>
          <w:bCs/>
          <w:color w:val="B8912F"/>
          <w:sz w:val="25"/>
          <w:szCs w:val="25"/>
        </w:rPr>
        <w:t>2.2.1 من إدارة الأعراض إلى هندسة الأثر: ثلاث مستويات للتدخل العلمي</w:t>
      </w:r>
    </w:p>
    <w:p w14:paraId="3B597D0E" w14:textId="77777777" w:rsidR="00B52572" w:rsidRDefault="00000000">
      <w:pPr>
        <w:spacing w:after="200" w:line="380" w:lineRule="auto"/>
        <w:jc w:val="both"/>
        <w:rPr>
          <w:rFonts w:cs="Arial"/>
        </w:rPr>
      </w:pPr>
      <w:r>
        <w:rPr>
          <w:color w:val="1A1A1A"/>
        </w:rPr>
        <w:t>يمكن تدقيق هذا التمايز عبر تمييز ثلاثة مستويات متصاعدة للتدخل العلمي في النفس الإنسانية. المستوى الأول هو «الإدارة التلطيفية» (</w:t>
      </w:r>
      <w:proofErr w:type="spellStart"/>
      <w:r>
        <w:rPr>
          <w:color w:val="1A1A1A"/>
        </w:rPr>
        <w:t>Palliative</w:t>
      </w:r>
      <w:proofErr w:type="spellEnd"/>
      <w:r>
        <w:rPr>
          <w:color w:val="1A1A1A"/>
        </w:rPr>
        <w:t xml:space="preserve"> </w:t>
      </w:r>
      <w:proofErr w:type="spellStart"/>
      <w:r>
        <w:rPr>
          <w:color w:val="1A1A1A"/>
        </w:rPr>
        <w:t>Management</w:t>
      </w:r>
      <w:proofErr w:type="spellEnd"/>
      <w:r>
        <w:rPr>
          <w:color w:val="1A1A1A"/>
        </w:rPr>
        <w:t>)، وغايتها تسكين العرض دون المساس ببنية المعاناة، وهي الغالبة في كثير من البروتوكولات الدوائية قصيرة المدى. المستوى الثاني هو «الإصلاح الوظيفي» (</w:t>
      </w:r>
      <w:proofErr w:type="spellStart"/>
      <w:r>
        <w:rPr>
          <w:color w:val="1A1A1A"/>
        </w:rPr>
        <w:t>Functional</w:t>
      </w:r>
      <w:proofErr w:type="spellEnd"/>
      <w:r>
        <w:rPr>
          <w:color w:val="1A1A1A"/>
        </w:rPr>
        <w:t xml:space="preserve"> </w:t>
      </w:r>
      <w:proofErr w:type="spellStart"/>
      <w:r>
        <w:rPr>
          <w:color w:val="1A1A1A"/>
        </w:rPr>
        <w:t>Repair</w:t>
      </w:r>
      <w:proofErr w:type="spellEnd"/>
      <w:r>
        <w:rPr>
          <w:color w:val="1A1A1A"/>
        </w:rPr>
        <w:t>)، وغايته إعادة الفرد إلى مستوى أدائه المعتاد قبل الأزمة، وهو ما تطمح إليه أغلب مدارس العلاج المعرفي السلوكي حين تتحدث عن «العودة إلى خط الأساس». أما المستوى الثالث، وهو ما يطمح إليه علم النفس الاستخلافي عبر بروتوكول TLRT، فهو «الهندسة الوجودية التحويلية» (</w:t>
      </w:r>
      <w:proofErr w:type="spellStart"/>
      <w:r>
        <w:rPr>
          <w:color w:val="1A1A1A"/>
        </w:rPr>
        <w:t>Transformative</w:t>
      </w:r>
      <w:proofErr w:type="spellEnd"/>
      <w:r>
        <w:rPr>
          <w:color w:val="1A1A1A"/>
        </w:rPr>
        <w:t xml:space="preserve"> </w:t>
      </w:r>
      <w:proofErr w:type="spellStart"/>
      <w:r>
        <w:rPr>
          <w:color w:val="1A1A1A"/>
        </w:rPr>
        <w:t>Ontological</w:t>
      </w:r>
      <w:proofErr w:type="spellEnd"/>
      <w:r>
        <w:rPr>
          <w:color w:val="1A1A1A"/>
        </w:rPr>
        <w:t xml:space="preserve"> </w:t>
      </w:r>
      <w:proofErr w:type="spellStart"/>
      <w:r>
        <w:rPr>
          <w:color w:val="1A1A1A"/>
        </w:rPr>
        <w:t>Engineering</w:t>
      </w:r>
      <w:proofErr w:type="spellEnd"/>
      <w:r>
        <w:rPr>
          <w:color w:val="1A1A1A"/>
        </w:rPr>
        <w:t>): إذ لا يكتفي بإعادة الفرد إلى ما كان عليه قبل الجرح، بل يسعى إلى أن يخرج من تجربة الألم بمقام وجودي أرفع مما كان عليه قبلها، بحيث يصبح الجرح ذاته منصة انطلاق نحو مرتبة أعلى من الوعي بالمسؤولية والمعنى — وهو ما يعكسه مفهوم «الجسر السلوكي» ومفهوم «الكينتسوغي النفسي» كليهما بوصفهما آليتين إجرائيتين لتحقيق هذا الانتقال [972، 1192].</w:t>
      </w:r>
    </w:p>
    <w:p w14:paraId="731F516F" w14:textId="77777777" w:rsidR="00B52572" w:rsidRDefault="00000000">
      <w:pPr>
        <w:rPr>
          <w:rFonts w:cs="Arial"/>
        </w:rPr>
      </w:pPr>
      <w:r>
        <w:br w:type="page"/>
      </w:r>
    </w:p>
    <w:p w14:paraId="1383F6E1"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الفصل الثالث: «موضوع العلم» – من «الإنسان المستهلك» إلى «الإنسان الخليفة»</w:t>
      </w:r>
    </w:p>
    <w:p w14:paraId="48A2CA43" w14:textId="77777777" w:rsidR="00B52572" w:rsidRDefault="00000000">
      <w:pPr>
        <w:pStyle w:val="2"/>
        <w:bidi/>
        <w:spacing w:before="360" w:after="200"/>
        <w:jc w:val="right"/>
        <w:rPr>
          <w:rFonts w:cs="Arial"/>
        </w:rPr>
      </w:pPr>
      <w:r>
        <w:rPr>
          <w:b/>
          <w:bCs/>
          <w:color w:val="0F6B6B"/>
          <w:sz w:val="28"/>
          <w:szCs w:val="28"/>
        </w:rPr>
        <w:t>3.1 «الإنسان» في «العلم الغربي»: «مادة» و«مستهلك» و«بيانات»</w:t>
      </w:r>
    </w:p>
    <w:p w14:paraId="283652D8" w14:textId="77777777" w:rsidR="00B52572" w:rsidRDefault="00000000">
      <w:pPr>
        <w:spacing w:after="200" w:line="380" w:lineRule="auto"/>
        <w:jc w:val="both"/>
        <w:rPr>
          <w:rFonts w:cs="Arial"/>
        </w:rPr>
      </w:pPr>
      <w:r>
        <w:rPr>
          <w:color w:val="1A1A1A"/>
        </w:rPr>
        <w:t>«الإنسان» – كما «يُنظر» إليه في «كثير» من «النماذج» «الغربية» (خاصة في «علم النفس» و«الاقتصاد» و«التسويق») – هو «كائن» «بيولوجي» و«نفسي» «تُحركه» «الدوافع» و«الحاجات». وهو – في «التحليل الأخير» – «مستهلك» (</w:t>
      </w:r>
      <w:proofErr w:type="spellStart"/>
      <w:r>
        <w:rPr>
          <w:color w:val="1A1A1A"/>
        </w:rPr>
        <w:t>Consumer</w:t>
      </w:r>
      <w:proofErr w:type="spellEnd"/>
      <w:r>
        <w:rPr>
          <w:color w:val="1A1A1A"/>
        </w:rPr>
        <w:t xml:space="preserve">) </w:t>
      </w:r>
      <w:proofErr w:type="spellStart"/>
      <w:r>
        <w:rPr>
          <w:color w:val="1A1A1A"/>
        </w:rPr>
        <w:t>و«مُنتج</w:t>
      </w:r>
      <w:proofErr w:type="spellEnd"/>
      <w:r>
        <w:rPr>
          <w:color w:val="1A1A1A"/>
        </w:rPr>
        <w:t>» (</w:t>
      </w:r>
      <w:proofErr w:type="spellStart"/>
      <w:r>
        <w:rPr>
          <w:color w:val="1A1A1A"/>
        </w:rPr>
        <w:t>Producer</w:t>
      </w:r>
      <w:proofErr w:type="spellEnd"/>
      <w:r>
        <w:rPr>
          <w:color w:val="1A1A1A"/>
        </w:rPr>
        <w:t>). و«دماغه» هو «مجرد» «حاسوب» «مُعقد»، و«سلوكه» هو «مجرد» «استجابات» «لمثيرات». وفي «عصر» «رأسمالية المراقبة» (</w:t>
      </w:r>
      <w:proofErr w:type="spellStart"/>
      <w:r>
        <w:rPr>
          <w:color w:val="1A1A1A"/>
        </w:rPr>
        <w:t>Surveillance</w:t>
      </w:r>
      <w:proofErr w:type="spellEnd"/>
      <w:r>
        <w:rPr>
          <w:color w:val="1A1A1A"/>
        </w:rPr>
        <w:t xml:space="preserve"> </w:t>
      </w:r>
      <w:proofErr w:type="spellStart"/>
      <w:r>
        <w:rPr>
          <w:color w:val="1A1A1A"/>
        </w:rPr>
        <w:t>Capitalism</w:t>
      </w:r>
      <w:proofErr w:type="spellEnd"/>
      <w:r>
        <w:rPr>
          <w:color w:val="1A1A1A"/>
        </w:rPr>
        <w:t xml:space="preserve">) – كما تُحلل شوشانا </w:t>
      </w:r>
      <w:proofErr w:type="spellStart"/>
      <w:r>
        <w:rPr>
          <w:color w:val="1A1A1A"/>
        </w:rPr>
        <w:t>زوبوف</w:t>
      </w:r>
      <w:proofErr w:type="spellEnd"/>
      <w:r>
        <w:rPr>
          <w:color w:val="1A1A1A"/>
        </w:rPr>
        <w:t xml:space="preserve"> – «يَتحول» «الإنسان» إلى «مادة خام» «تُستخرج» منها «البيانات» «لبيعها» و«التنبؤ» بسلوكه و«التأثير» فيه [126، 787، 1024].</w:t>
      </w:r>
    </w:p>
    <w:p w14:paraId="4714EE87" w14:textId="77777777" w:rsidR="00B52572" w:rsidRDefault="00000000">
      <w:pPr>
        <w:spacing w:after="200" w:line="380" w:lineRule="auto"/>
        <w:jc w:val="both"/>
        <w:rPr>
          <w:rFonts w:cs="Arial"/>
        </w:rPr>
      </w:pPr>
      <w:r>
        <w:rPr>
          <w:color w:val="1A1A1A"/>
        </w:rPr>
        <w:t xml:space="preserve">وتستحق أطروحة </w:t>
      </w:r>
      <w:proofErr w:type="spellStart"/>
      <w:r>
        <w:rPr>
          <w:color w:val="1A1A1A"/>
        </w:rPr>
        <w:t>زوبوف</w:t>
      </w:r>
      <w:proofErr w:type="spellEnd"/>
      <w:r>
        <w:rPr>
          <w:color w:val="1A1A1A"/>
        </w:rPr>
        <w:t xml:space="preserve"> تفصيلًا أعمق هنا لخطورة تشخيصها: فهي لا تصف مجرد استخدام تجاري للبيانات الشخصية، بل ترصد نشوء «منطق تراكمي» جديد يستهدف — للمرة الأولى في تاريخ الرأسمالية — «التجربة الإنسانية نفسها» بوصفها مادة خامًا مجانية، تُحوَّل عبر خوارزميات التنبؤ السلوكي إلى «منتجات </w:t>
      </w:r>
      <w:proofErr w:type="spellStart"/>
      <w:r>
        <w:rPr>
          <w:color w:val="1A1A1A"/>
        </w:rPr>
        <w:t>تنبؤية</w:t>
      </w:r>
      <w:proofErr w:type="spellEnd"/>
      <w:r>
        <w:rPr>
          <w:color w:val="1A1A1A"/>
        </w:rPr>
        <w:t>» تُباع في أسواق «السلوك المستقبلي». والخطورة، من منظور استخلافي، ليست فقط في الاستغلال الاقتصادي، بل في أن هذا المنطق يتطلب — لكي يعمل بكفاءة — أن يُعاد تشكيل الإنسان نفسه ليصبح «قابلًا للتنبؤ» أكثر فأكثر، أي أن تُصفّى تدريجيًا حريته وإرادته الأخلاقية الحرة، وهو ما يتناقض جذريًا مع مفهوم «الأمانة» و«حرية الاختيار» التي بُني عليها التكليف الاستخلافي في القرآن [126، 787، 1024].</w:t>
      </w:r>
    </w:p>
    <w:p w14:paraId="090F8484" w14:textId="77777777" w:rsidR="00B52572" w:rsidRDefault="00000000">
      <w:pPr>
        <w:spacing w:after="200" w:line="380" w:lineRule="auto"/>
        <w:jc w:val="both"/>
        <w:rPr>
          <w:rFonts w:cs="Arial"/>
        </w:rPr>
      </w:pPr>
      <w:r>
        <w:rPr>
          <w:color w:val="1A1A1A"/>
        </w:rPr>
        <w:t>هذا «الاختزال» – كما يرى الزراع – ليس «مجرد» «خطأ نظري»، بل هو – في «جوهره» – «اعتداء» على «كرامة» الإنسان و«إنكار» لـ «أصلِه» «الرباني». فـ«الإنسان» – في «القرآن» – ليس «قردًا متطورًا»، ولا «آلة» «مُعقدة»، بل هو «خليفة» «مُكرم»:</w:t>
      </w:r>
    </w:p>
    <w:tbl>
      <w:tblPr>
        <w:tblW w:w="5000" w:type="pct"/>
        <w:tblBorders>
          <w:top w:val="single" w:sz="16" w:space="0" w:color="B8912F"/>
          <w:left w:val="single" w:sz="16" w:space="0" w:color="B8912F"/>
          <w:bottom w:val="single" w:sz="16" w:space="0" w:color="B8912F"/>
          <w:right w:val="single" w:sz="16" w:space="0" w:color="B891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B52572" w14:paraId="1FEAE0C8" w14:textId="77777777">
        <w:tc>
          <w:tcPr>
            <w:tcW w:w="0" w:type="auto"/>
            <w:shd w:val="clear" w:color="auto" w:fill="F7EFDD"/>
            <w:tcMar>
              <w:top w:w="200" w:type="dxa"/>
              <w:left w:w="300" w:type="dxa"/>
              <w:bottom w:w="200" w:type="dxa"/>
              <w:right w:w="300" w:type="dxa"/>
            </w:tcMar>
            <w:vAlign w:val="center"/>
          </w:tcPr>
          <w:p w14:paraId="335B7CC4" w14:textId="77777777" w:rsidR="00B52572" w:rsidRDefault="00000000">
            <w:pPr>
              <w:spacing w:after="100"/>
              <w:jc w:val="center"/>
              <w:rPr>
                <w:rFonts w:cs="Arial"/>
              </w:rPr>
            </w:pPr>
            <w:r>
              <w:rPr>
                <w:b/>
                <w:bCs/>
                <w:color w:val="1B2A4A"/>
                <w:sz w:val="30"/>
                <w:szCs w:val="30"/>
              </w:rPr>
              <w:t xml:space="preserve">﴿وَلَقَدْ كَرَّمْنَا بَنِي آدَمَ وَحَمَلْنَاهُمْ فِي الْبَرِّ وَالْبَحْرِ وَرَزَقْنَاهُم مِّنَ الطَّيِّبَاتِ وَفَضَّلْنَاهُمْ </w:t>
            </w:r>
            <w:proofErr w:type="spellStart"/>
            <w:r>
              <w:rPr>
                <w:b/>
                <w:bCs/>
                <w:color w:val="1B2A4A"/>
                <w:sz w:val="30"/>
                <w:szCs w:val="30"/>
              </w:rPr>
              <w:t>عَلَىٰ</w:t>
            </w:r>
            <w:proofErr w:type="spellEnd"/>
            <w:r>
              <w:rPr>
                <w:b/>
                <w:bCs/>
                <w:color w:val="1B2A4A"/>
                <w:sz w:val="30"/>
                <w:szCs w:val="30"/>
              </w:rPr>
              <w:t xml:space="preserve"> كَثِيرٍ مِّمَّنْ خَلَقْنَا تَفْضِيلًا﴾</w:t>
            </w:r>
          </w:p>
          <w:p w14:paraId="57CE499D" w14:textId="77777777" w:rsidR="00B52572" w:rsidRDefault="00000000">
            <w:pPr>
              <w:jc w:val="center"/>
              <w:rPr>
                <w:rFonts w:cs="Arial"/>
              </w:rPr>
            </w:pPr>
            <w:r>
              <w:rPr>
                <w:i/>
                <w:iCs/>
                <w:color w:val="0F6B6B"/>
                <w:sz w:val="22"/>
                <w:szCs w:val="22"/>
              </w:rPr>
              <w:t>سورة الإسراء، الآية 70</w:t>
            </w:r>
          </w:p>
        </w:tc>
      </w:tr>
    </w:tbl>
    <w:p w14:paraId="10BE1CD8" w14:textId="77777777" w:rsidR="00B52572" w:rsidRDefault="00B52572">
      <w:pPr>
        <w:spacing w:after="160"/>
        <w:rPr>
          <w:rFonts w:cs="Arial"/>
        </w:rPr>
      </w:pPr>
    </w:p>
    <w:p w14:paraId="6865492E" w14:textId="77777777" w:rsidR="00B52572" w:rsidRDefault="00000000">
      <w:pPr>
        <w:pStyle w:val="2"/>
        <w:bidi/>
        <w:spacing w:before="360" w:after="200"/>
        <w:jc w:val="right"/>
        <w:rPr>
          <w:rFonts w:cs="Arial"/>
        </w:rPr>
      </w:pPr>
      <w:r>
        <w:rPr>
          <w:b/>
          <w:bCs/>
          <w:color w:val="0F6B6B"/>
          <w:sz w:val="28"/>
          <w:szCs w:val="28"/>
        </w:rPr>
        <w:t>3.2 «الإنسان الخليفة»: «أمانة» و«مسؤولية» و«نظام تشغيل أخلاقي»</w:t>
      </w:r>
    </w:p>
    <w:p w14:paraId="10B56B31" w14:textId="77777777" w:rsidR="00B52572" w:rsidRDefault="00000000">
      <w:pPr>
        <w:spacing w:after="200" w:line="380" w:lineRule="auto"/>
        <w:jc w:val="both"/>
        <w:rPr>
          <w:rFonts w:cs="Arial"/>
        </w:rPr>
      </w:pPr>
      <w:r>
        <w:rPr>
          <w:color w:val="1A1A1A"/>
        </w:rPr>
        <w:t>في مقابل هذا «الاختزال»، يُقدم «النموذج الاستخلافي» «رؤية» «مُغايرة» و«أكثر» «سموًا» للإنسان: إنه «خليفة مسؤول» و«حامل أمانة». وهو «مُزود» – منذ «نشأته» – بـ «نظام تشغيل أخلاقي» (</w:t>
      </w:r>
      <w:proofErr w:type="spellStart"/>
      <w:r>
        <w:rPr>
          <w:color w:val="1A1A1A"/>
        </w:rPr>
        <w:t>Moral</w:t>
      </w:r>
      <w:proofErr w:type="spellEnd"/>
      <w:r>
        <w:rPr>
          <w:color w:val="1A1A1A"/>
        </w:rPr>
        <w:t xml:space="preserve"> OS) و«فطرة» «مبرمجة» على «الخير» و«العدل» و«الإيمان» [1133، 1281، 1333].</w:t>
      </w:r>
    </w:p>
    <w:p w14:paraId="1ADDE57C" w14:textId="77777777" w:rsidR="00B52572" w:rsidRDefault="00000000">
      <w:pPr>
        <w:spacing w:after="200" w:line="380" w:lineRule="auto"/>
        <w:jc w:val="both"/>
        <w:rPr>
          <w:rFonts w:cs="Arial"/>
        </w:rPr>
      </w:pPr>
      <w:r>
        <w:rPr>
          <w:color w:val="1A1A1A"/>
        </w:rPr>
        <w:t>وهذه «الرؤية» – كما «يُؤكد» الزراع – «تُغير» «كل شيء» في «المُمارسة العلمية» و«العلاجية». فـ«المريض» ليس «حالة» (</w:t>
      </w:r>
      <w:proofErr w:type="spellStart"/>
      <w:r>
        <w:rPr>
          <w:color w:val="1A1A1A"/>
        </w:rPr>
        <w:t>Case</w:t>
      </w:r>
      <w:proofErr w:type="spellEnd"/>
      <w:r>
        <w:rPr>
          <w:color w:val="1A1A1A"/>
        </w:rPr>
        <w:t xml:space="preserve">) </w:t>
      </w:r>
      <w:proofErr w:type="spellStart"/>
      <w:r>
        <w:rPr>
          <w:color w:val="1A1A1A"/>
        </w:rPr>
        <w:t>و«العَميل</w:t>
      </w:r>
      <w:proofErr w:type="spellEnd"/>
      <w:r>
        <w:rPr>
          <w:color w:val="1A1A1A"/>
        </w:rPr>
        <w:t>» ليس «مُستهلكًا» للخدمات، بل هو – قبل ذلك – «خليفة» في «محنة»، و«نفس» «تبحث» عن «معناها» و«اتصالها» بـ«مصدرها». و«العلاج» – بالتالي – ليس «ترميمًا» لـ«آلة» «مُعطلة»، بل هو «حرث» لـ «أرض» «النفس» و«تزكية» لها و«إعادة وصل» لها بـ«خالقها» [1192].</w:t>
      </w:r>
    </w:p>
    <w:p w14:paraId="4DB97FBE" w14:textId="77777777" w:rsidR="00B52572" w:rsidRDefault="00000000">
      <w:pPr>
        <w:pStyle w:val="3"/>
        <w:bidi/>
        <w:spacing w:before="260" w:after="160"/>
        <w:jc w:val="right"/>
        <w:rPr>
          <w:rFonts w:cs="Arial"/>
        </w:rPr>
      </w:pPr>
      <w:r>
        <w:rPr>
          <w:b/>
          <w:bCs/>
          <w:color w:val="B8912F"/>
          <w:sz w:val="25"/>
          <w:szCs w:val="25"/>
        </w:rPr>
        <w:t>3.2.1 استعارة «نظام التشغيل الأخلاقي»: إمكاناتها وحدودها المنهجية</w:t>
      </w:r>
    </w:p>
    <w:p w14:paraId="6066709E" w14:textId="77777777" w:rsidR="00B52572" w:rsidRDefault="00000000">
      <w:pPr>
        <w:spacing w:after="200" w:line="380" w:lineRule="auto"/>
        <w:jc w:val="both"/>
        <w:rPr>
          <w:rFonts w:cs="Arial"/>
        </w:rPr>
      </w:pPr>
      <w:r>
        <w:rPr>
          <w:color w:val="1A1A1A"/>
        </w:rPr>
        <w:t>من المهم — في مقام التعميق الأكاديمي — أن نُخضع استعارة «نظام التشغيل الأخلاقي» (</w:t>
      </w:r>
      <w:proofErr w:type="spellStart"/>
      <w:r>
        <w:rPr>
          <w:color w:val="1A1A1A"/>
        </w:rPr>
        <w:t>Moral</w:t>
      </w:r>
      <w:proofErr w:type="spellEnd"/>
      <w:r>
        <w:rPr>
          <w:color w:val="1A1A1A"/>
        </w:rPr>
        <w:t xml:space="preserve"> OS) ذاتها لفحص نقدي بنّاء، بوصف ذلك من مقتضيات الصرامة العلمية التي يطمح إليها النموذج الاستخلافي نفسه. فالاستعارة الحاسوبية تمتلك قوة تفسيرية كبيرة: إذ تُبرز أن الفطرة ليست مجرد ميل عاطفي عابر، بل بنية مستقرة نسبيًا تعمل في الخلفية على تفسير المدخلات الأخلاقية وإصدار «إشارات» (كالحياء والندم والطمأنينة) استجابة لمطابقتها أو مخالفتها لمعاييرها الداخلية. غير أن هذه الاستعارة تحمل أيضًا خطر اختزال الفطرة إلى برمجية آلية جامدة، بينما الفطرة في التصور القرآني قابلة للتغبيش والانطماس بفعل التنشئة والبيئة («فأبواه يهودانه أو ينصرانه أو يمجسانه») وقابلة كذلك للتجديد والإحياء بفعل التزكية. لذا فإن التوظيف الدقيق لهذه الاستعارة، كما يقترحه الزراع، ينبغي أن يُفهم بوصفه أداة تقريبية تربوية لا نظرية ميتافيزيقية مكتملة عن طبيعة الفطرة، بحيث تظل النصوص الشرعية هي المرجع النهائي لتوصيف حقيقتها [1133، 1281، 1333].</w:t>
      </w:r>
    </w:p>
    <w:p w14:paraId="54FB3A02" w14:textId="77777777" w:rsidR="00B52572" w:rsidRDefault="00000000">
      <w:pPr>
        <w:rPr>
          <w:rFonts w:cs="Arial"/>
        </w:rPr>
      </w:pPr>
      <w:r>
        <w:br w:type="page"/>
      </w:r>
    </w:p>
    <w:p w14:paraId="44ED4C0C"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الفصل الرابع: «نطاق الحقيقة» – من «الأفق المغلق» إلى «الطابق الغيبي»</w:t>
      </w:r>
    </w:p>
    <w:p w14:paraId="5E8B42B9" w14:textId="77777777" w:rsidR="00B52572" w:rsidRDefault="00000000">
      <w:pPr>
        <w:pStyle w:val="2"/>
        <w:bidi/>
        <w:spacing w:before="360" w:after="200"/>
        <w:jc w:val="right"/>
        <w:rPr>
          <w:rFonts w:cs="Arial"/>
        </w:rPr>
      </w:pPr>
      <w:r>
        <w:rPr>
          <w:b/>
          <w:bCs/>
          <w:color w:val="0F6B6B"/>
          <w:sz w:val="28"/>
          <w:szCs w:val="28"/>
        </w:rPr>
        <w:t>4.1 «العلم الغربي» و«الأفق المغلق»: «نفي» «المعنى» و«إنكار» «الغاية»</w:t>
      </w:r>
    </w:p>
    <w:p w14:paraId="1F8B8F4C" w14:textId="77777777" w:rsidR="00B52572" w:rsidRDefault="00000000">
      <w:pPr>
        <w:spacing w:after="200" w:line="380" w:lineRule="auto"/>
        <w:jc w:val="both"/>
        <w:rPr>
          <w:rFonts w:cs="Arial"/>
        </w:rPr>
      </w:pPr>
      <w:r>
        <w:rPr>
          <w:color w:val="1A1A1A"/>
        </w:rPr>
        <w:t>«العلم الغربي» – في «صيغته» «الوضعية» – «يُصر» على «إغلاق» «الأفق» على «المادة». «الأسئلة الكبرى» – عن «الله» و«الروح» و«الموت» و«العدالة المطلقة» و«المعنى» – «تُعتبر» – في «أحسن» الأحوال – «أسئلة شخصية» لا «شأن» للعلم بها، وفي «أسوئها» – «أوهامًا» و«خرافات». وهذا «الإغلاق» – كما يرى «الزراع» – «يَترك» «الإنسان» «وحيدًا» في «كون» «بارد» و«صامت»، «يُعاني» من «القلق» و«الاكتئاب» و«الفراغ الوجودي» دون أن «يَجد» «إجابة» أو «عزاء» [216، 761].</w:t>
      </w:r>
    </w:p>
    <w:p w14:paraId="48051327" w14:textId="77777777" w:rsidR="00B52572" w:rsidRDefault="00000000">
      <w:pPr>
        <w:spacing w:after="200" w:line="380" w:lineRule="auto"/>
        <w:jc w:val="both"/>
        <w:rPr>
          <w:rFonts w:cs="Arial"/>
        </w:rPr>
      </w:pPr>
      <w:r>
        <w:rPr>
          <w:color w:val="1A1A1A"/>
        </w:rPr>
        <w:t xml:space="preserve">وتتجلى كلفة هذا «الأفق المغلق» بوضوح في أدبيات علم النفس الوجودي الغربي نفسه، حين يعترف باحثون مثل </w:t>
      </w:r>
      <w:proofErr w:type="spellStart"/>
      <w:r>
        <w:rPr>
          <w:color w:val="1A1A1A"/>
        </w:rPr>
        <w:t>إيرفن</w:t>
      </w:r>
      <w:proofErr w:type="spellEnd"/>
      <w:r>
        <w:rPr>
          <w:color w:val="1A1A1A"/>
        </w:rPr>
        <w:t xml:space="preserve"> </w:t>
      </w:r>
      <w:proofErr w:type="spellStart"/>
      <w:r>
        <w:rPr>
          <w:color w:val="1A1A1A"/>
        </w:rPr>
        <w:t>يالوم</w:t>
      </w:r>
      <w:proofErr w:type="spellEnd"/>
      <w:r>
        <w:rPr>
          <w:color w:val="1A1A1A"/>
        </w:rPr>
        <w:t xml:space="preserve"> بأن مواجهة «معضلات الوجود القصوى» — الموت، الحرية، العزلة، انعدام المعنى — تظل بلا حل نهائي ضمن الإطار العلماني، وأن أقصى ما يمكن تقديمه هو «تكيف شجاع» مع هذه المعضلات لا حلها. وهذا الاعتراف بذاته شهادة داخلية من قلب التقليد الغربي على محدودية «الأفق المغلق»، إذ يقرّ الصادقون من مفكريه بأن العلاج النفسي العلماني يستطيع أن يخفف حدة القلق الوجودي لكنه لا يملك أن يمنحه جوابًا يُسكِّن السؤال من جذوره، لأن الجواب الحقيقي، من منظور استخلافي، يقع خارج حدود الأفق الذي رسمه هذا العلم لنفسه أصلًا [216، 761].</w:t>
      </w:r>
    </w:p>
    <w:p w14:paraId="05BC9005" w14:textId="77777777" w:rsidR="00B52572" w:rsidRDefault="00000000">
      <w:pPr>
        <w:pStyle w:val="2"/>
        <w:bidi/>
        <w:spacing w:before="360" w:after="200"/>
        <w:jc w:val="right"/>
        <w:rPr>
          <w:rFonts w:cs="Arial"/>
        </w:rPr>
      </w:pPr>
      <w:r>
        <w:rPr>
          <w:b/>
          <w:bCs/>
          <w:color w:val="0F6B6B"/>
          <w:sz w:val="28"/>
          <w:szCs w:val="28"/>
        </w:rPr>
        <w:t>4.2 «العلم الاستخلافي» و«الطابق الغيبي»: «الروح» و«المعنى» و«الأبدية»</w:t>
      </w:r>
    </w:p>
    <w:p w14:paraId="2DEDC2EB" w14:textId="77777777" w:rsidR="00B52572" w:rsidRDefault="00000000">
      <w:pPr>
        <w:spacing w:after="200" w:line="380" w:lineRule="auto"/>
        <w:jc w:val="both"/>
        <w:rPr>
          <w:rFonts w:cs="Arial"/>
        </w:rPr>
      </w:pPr>
      <w:r>
        <w:rPr>
          <w:color w:val="1A1A1A"/>
        </w:rPr>
        <w:t>في المقابل، «يَمتلك» «علم النفس الاستخلافي» – كما «رأينا» في «فصل الروح» – «طابقًا» «غيبيًا» هو «الروح» (</w:t>
      </w:r>
      <w:proofErr w:type="spellStart"/>
      <w:r>
        <w:rPr>
          <w:color w:val="1A1A1A"/>
        </w:rPr>
        <w:t>Rūḥ</w:t>
      </w:r>
      <w:proofErr w:type="spellEnd"/>
      <w:r>
        <w:rPr>
          <w:color w:val="1A1A1A"/>
        </w:rPr>
        <w:t xml:space="preserve">)، التي «تظلل» «الهرم النفسي» و«تمنحه» «المعنى» و«الغاية». و«العلم» – في هذا «النموذج» – لا «يَخاف» من «الغيب»، ولا «يُنكره»، ولا «يَتَجاهله»، بل «يَعترف» بحدوده أمامه، </w:t>
      </w:r>
      <w:proofErr w:type="spellStart"/>
      <w:r>
        <w:rPr>
          <w:color w:val="1A1A1A"/>
        </w:rPr>
        <w:t>و«يَحتفي</w:t>
      </w:r>
      <w:proofErr w:type="spellEnd"/>
      <w:r>
        <w:rPr>
          <w:color w:val="1A1A1A"/>
        </w:rPr>
        <w:t xml:space="preserve">» به كـ «سر» و«رحمة»، </w:t>
      </w:r>
      <w:proofErr w:type="spellStart"/>
      <w:r>
        <w:rPr>
          <w:color w:val="1A1A1A"/>
        </w:rPr>
        <w:t>و«يَبني</w:t>
      </w:r>
      <w:proofErr w:type="spellEnd"/>
      <w:r>
        <w:rPr>
          <w:color w:val="1A1A1A"/>
        </w:rPr>
        <w:t>» «نظرياته» على «أساس» من «الإيمان» به [721، 728، 838].</w:t>
      </w:r>
    </w:p>
    <w:tbl>
      <w:tblPr>
        <w:tblW w:w="5000" w:type="pct"/>
        <w:tblBorders>
          <w:top w:val="single" w:sz="16" w:space="0" w:color="B8912F"/>
          <w:left w:val="single" w:sz="16" w:space="0" w:color="B8912F"/>
          <w:bottom w:val="single" w:sz="16" w:space="0" w:color="B8912F"/>
          <w:right w:val="single" w:sz="16" w:space="0" w:color="B891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B52572" w14:paraId="66B8130D" w14:textId="77777777">
        <w:tc>
          <w:tcPr>
            <w:tcW w:w="0" w:type="auto"/>
            <w:shd w:val="clear" w:color="auto" w:fill="F7EFDD"/>
            <w:tcMar>
              <w:top w:w="200" w:type="dxa"/>
              <w:left w:w="300" w:type="dxa"/>
              <w:bottom w:w="200" w:type="dxa"/>
              <w:right w:w="300" w:type="dxa"/>
            </w:tcMar>
            <w:vAlign w:val="center"/>
          </w:tcPr>
          <w:p w14:paraId="155B8691" w14:textId="77777777" w:rsidR="00B52572" w:rsidRDefault="00000000">
            <w:pPr>
              <w:spacing w:after="100"/>
              <w:jc w:val="center"/>
              <w:rPr>
                <w:rFonts w:cs="Arial"/>
              </w:rPr>
            </w:pPr>
            <w:r>
              <w:rPr>
                <w:b/>
                <w:bCs/>
                <w:color w:val="1B2A4A"/>
                <w:sz w:val="30"/>
                <w:szCs w:val="30"/>
              </w:rPr>
              <w:t>﴿وَيَسْأَلُونَكَ عَنِ الرُّوحِ ۖ قُلِ الرُّوحُ مِنْ أَمْرِ رَبِّي وَمَا أُوتِيتُم مِّنَ الْعِلْمِ إِلَّا قَلِيلًا﴾</w:t>
            </w:r>
          </w:p>
          <w:p w14:paraId="7346304E" w14:textId="77777777" w:rsidR="00B52572" w:rsidRDefault="00000000">
            <w:pPr>
              <w:jc w:val="center"/>
              <w:rPr>
                <w:rFonts w:cs="Arial"/>
              </w:rPr>
            </w:pPr>
            <w:r>
              <w:rPr>
                <w:i/>
                <w:iCs/>
                <w:color w:val="0F6B6B"/>
                <w:sz w:val="22"/>
                <w:szCs w:val="22"/>
              </w:rPr>
              <w:t>سورة الإسراء، الآية 85</w:t>
            </w:r>
          </w:p>
        </w:tc>
      </w:tr>
    </w:tbl>
    <w:p w14:paraId="3EBFB729" w14:textId="77777777" w:rsidR="00B52572" w:rsidRDefault="00B52572">
      <w:pPr>
        <w:spacing w:after="160"/>
        <w:rPr>
          <w:rFonts w:cs="Arial"/>
        </w:rPr>
      </w:pPr>
    </w:p>
    <w:p w14:paraId="5BE266C6" w14:textId="77777777" w:rsidR="00B52572" w:rsidRDefault="00000000">
      <w:pPr>
        <w:spacing w:after="200" w:line="380" w:lineRule="auto"/>
        <w:jc w:val="both"/>
        <w:rPr>
          <w:rFonts w:cs="Arial"/>
        </w:rPr>
      </w:pPr>
      <w:r>
        <w:rPr>
          <w:color w:val="1A1A1A"/>
        </w:rPr>
        <w:t>وهذا – كما «يُعبر» عنه «الزراع» – ليس «تراجعًا» عن «العلم» إلى «الخرافة»، بل هو – في «الحقيقة» – «توسيع» لـ«أفق» «العلم» نفسه: «فتح» لـ«لباب» «المُغلق» بين «المادة» و«المعنى»، و«استعادة» لـ «لوحدة» «المعرفة» التي «مزقتها» «الحداثة» [972].</w:t>
      </w:r>
    </w:p>
    <w:p w14:paraId="178DB3B1" w14:textId="77777777" w:rsidR="00B52572" w:rsidRDefault="00000000">
      <w:pPr>
        <w:pStyle w:val="3"/>
        <w:bidi/>
        <w:spacing w:before="260" w:after="160"/>
        <w:jc w:val="right"/>
        <w:rPr>
          <w:rFonts w:cs="Arial"/>
        </w:rPr>
      </w:pPr>
      <w:r>
        <w:rPr>
          <w:b/>
          <w:bCs/>
          <w:color w:val="B8912F"/>
          <w:sz w:val="25"/>
          <w:szCs w:val="25"/>
        </w:rPr>
        <w:t>4.2.1 الاعتراف بالحد: الغيب بوصفه معيارًا للأمانة العلمية لا نقيضًا لها</w:t>
      </w:r>
    </w:p>
    <w:p w14:paraId="32334726" w14:textId="77777777" w:rsidR="00B52572" w:rsidRDefault="00000000">
      <w:pPr>
        <w:spacing w:after="200" w:line="380" w:lineRule="auto"/>
        <w:jc w:val="both"/>
        <w:rPr>
          <w:rFonts w:cs="Arial"/>
        </w:rPr>
      </w:pPr>
      <w:r>
        <w:rPr>
          <w:color w:val="1A1A1A"/>
        </w:rPr>
        <w:t>من الزاوية المنهجية، يمكن القول إن موقف علم النفس الاستخلافي من الغيب لا يُقرأ فحسب بوصفه موقفًا عقديًا، بل بوصفه أيضًا موقفًا أكثر اتساقًا مع قيمة «الأمانة العلمية» (</w:t>
      </w:r>
      <w:proofErr w:type="spellStart"/>
      <w:r>
        <w:rPr>
          <w:color w:val="1A1A1A"/>
        </w:rPr>
        <w:t>Epistemic</w:t>
      </w:r>
      <w:proofErr w:type="spellEnd"/>
      <w:r>
        <w:rPr>
          <w:color w:val="1A1A1A"/>
        </w:rPr>
        <w:t xml:space="preserve"> </w:t>
      </w:r>
      <w:proofErr w:type="spellStart"/>
      <w:r>
        <w:rPr>
          <w:color w:val="1A1A1A"/>
        </w:rPr>
        <w:t>Honesty</w:t>
      </w:r>
      <w:proofErr w:type="spellEnd"/>
      <w:r>
        <w:rPr>
          <w:color w:val="1A1A1A"/>
        </w:rPr>
        <w:t>) من الموقف الوضعي ذاته. فبينما يميل الخطاب الوضعي إلى التعامل مع حدود المعرفة التجريبية باعتبارها «مشكلات مؤقتة» سيحلها التقدم العلمي مستقبلًا (وهو ما يُعرف بـ«</w:t>
      </w:r>
      <w:proofErr w:type="spellStart"/>
      <w:r>
        <w:rPr>
          <w:color w:val="1A1A1A"/>
        </w:rPr>
        <w:t>علموية</w:t>
      </w:r>
      <w:proofErr w:type="spellEnd"/>
      <w:r>
        <w:rPr>
          <w:color w:val="1A1A1A"/>
        </w:rPr>
        <w:t xml:space="preserve">» </w:t>
      </w:r>
      <w:proofErr w:type="spellStart"/>
      <w:r>
        <w:rPr>
          <w:color w:val="1A1A1A"/>
        </w:rPr>
        <w:t>Scientism</w:t>
      </w:r>
      <w:proofErr w:type="spellEnd"/>
      <w:r>
        <w:rPr>
          <w:color w:val="1A1A1A"/>
        </w:rPr>
        <w:t xml:space="preserve"> حين تتحول هذه الثقة إلى إيمان غير مبرهن)، فإن علم النفس الاستخلافي يعترف صراحة بوجود حد بنيوي دائم للعقل والحس أمام حقائق الغيب، لا يُنتظر أن يزول بتقدم الأدوات القياسية مهما تطورت، لأنه حدٌّ نوعي لا كمّي. هذا الاعتراف — بدل أن يكون نقطة ضعف — يمنح النموذج الاستخلافي تماسكًا داخليًا أكبر، إذ لا يعد بما لا يستطيع الوفاء به، ويترك للوحي وحده الحق في الإجابة عمّا لا سبيل للعقل والحس إليه [721، 728، 838].</w:t>
      </w:r>
    </w:p>
    <w:p w14:paraId="743D38F8" w14:textId="77777777" w:rsidR="00B52572" w:rsidRDefault="00000000">
      <w:pPr>
        <w:rPr>
          <w:rFonts w:cs="Arial"/>
        </w:rPr>
      </w:pPr>
      <w:r>
        <w:br w:type="page"/>
      </w:r>
    </w:p>
    <w:p w14:paraId="6BBF7CD3"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الفصل الخامس: «استراتيجية التعامل مع الآخر» – من «التعميم» إلى «الاندماج الخالق»</w:t>
      </w:r>
    </w:p>
    <w:p w14:paraId="2C2498B9" w14:textId="77777777" w:rsidR="00B52572" w:rsidRDefault="00000000">
      <w:pPr>
        <w:pStyle w:val="2"/>
        <w:bidi/>
        <w:spacing w:before="360" w:after="200"/>
        <w:jc w:val="right"/>
        <w:rPr>
          <w:rFonts w:cs="Arial"/>
        </w:rPr>
      </w:pPr>
      <w:r>
        <w:rPr>
          <w:b/>
          <w:bCs/>
          <w:color w:val="0F6B6B"/>
          <w:sz w:val="28"/>
          <w:szCs w:val="28"/>
        </w:rPr>
        <w:t>5.1 «العلم الغربي» و«نزعة التعميم»: «نموذج» «وحيد» و«حضارة» «كونية»</w:t>
      </w:r>
    </w:p>
    <w:p w14:paraId="1303C49B" w14:textId="77777777" w:rsidR="00B52572" w:rsidRDefault="00000000">
      <w:pPr>
        <w:spacing w:after="200" w:line="380" w:lineRule="auto"/>
        <w:jc w:val="both"/>
        <w:rPr>
          <w:rFonts w:cs="Arial"/>
        </w:rPr>
      </w:pPr>
      <w:r>
        <w:rPr>
          <w:color w:val="1A1A1A"/>
        </w:rPr>
        <w:t>«العلم الغربي» – في «كثير» من «تجلياته» – لا «يَكتفي» بـ«أن يكون» «نموذجًا» «محليًا» «نشأ» في «سياق» «ثقافي» و«تاريخي» «مُعين»، بل «يُقدم» «نفسه» – غالبًا – كـ «النموذج الوحيد» و«الحضارة الكونية» التي يجب أن «تَحتذيها» «كل» «الثقافات» و«الأمم» [1]. وهذا «التعميم» – كما «يُحلل» «إدوارد سعيد» في «الاستشراق» – ليس «بريئًا»، بل هو «جزء» من «مشروع» «هيمنة» و«إقصاء» للآخر.</w:t>
      </w:r>
    </w:p>
    <w:p w14:paraId="129A2828" w14:textId="77777777" w:rsidR="00B52572" w:rsidRDefault="00000000">
      <w:pPr>
        <w:spacing w:after="200" w:line="380" w:lineRule="auto"/>
        <w:jc w:val="both"/>
        <w:rPr>
          <w:rFonts w:cs="Arial"/>
        </w:rPr>
      </w:pPr>
      <w:r>
        <w:rPr>
          <w:color w:val="1A1A1A"/>
        </w:rPr>
        <w:t xml:space="preserve">ويمكن أن نضيف إلى تحليل سعيد ملاحظة الباحث وائل حلاق في «الدولة المستحيلة»، حين يرصد أن المأزق ليس محصورًا في الاستشراق الثقافي وحده، بل يمتد إلى البنية </w:t>
      </w:r>
      <w:proofErr w:type="spellStart"/>
      <w:r>
        <w:rPr>
          <w:color w:val="1A1A1A"/>
        </w:rPr>
        <w:t>المفاهيمية</w:t>
      </w:r>
      <w:proofErr w:type="spellEnd"/>
      <w:r>
        <w:rPr>
          <w:color w:val="1A1A1A"/>
        </w:rPr>
        <w:t xml:space="preserve"> للدولة الحديثة ذاتها ومؤسساتها العلمية والقانونية والنفسية، التي تفترض — كشرط بنيوي لعملها — فصل الأخلاق عن السياسة والعلم عن الغائية، بحيث يصبح استيراد هذه المؤسسات دون مراجعة أسسها </w:t>
      </w:r>
      <w:proofErr w:type="spellStart"/>
      <w:r>
        <w:rPr>
          <w:color w:val="1A1A1A"/>
        </w:rPr>
        <w:t>الإبستمولوجية</w:t>
      </w:r>
      <w:proofErr w:type="spellEnd"/>
      <w:r>
        <w:rPr>
          <w:color w:val="1A1A1A"/>
        </w:rPr>
        <w:t xml:space="preserve"> استيرادًا لمأزقها الأخلاقي ذاته، لا مجرد استعارة أدوات محايدة [10، 12].</w:t>
      </w:r>
    </w:p>
    <w:p w14:paraId="3F0342B3" w14:textId="77777777" w:rsidR="00B52572" w:rsidRDefault="00000000">
      <w:pPr>
        <w:pStyle w:val="2"/>
        <w:bidi/>
        <w:spacing w:before="360" w:after="200"/>
        <w:jc w:val="right"/>
        <w:rPr>
          <w:rFonts w:cs="Arial"/>
        </w:rPr>
      </w:pPr>
      <w:r>
        <w:rPr>
          <w:b/>
          <w:bCs/>
          <w:color w:val="0F6B6B"/>
          <w:sz w:val="28"/>
          <w:szCs w:val="28"/>
        </w:rPr>
        <w:t>5.2 «العلم الاستخلافي» و«الاندماج الخالق»: «استيعاب» و«تجاوز» و«توجيه»</w:t>
      </w:r>
    </w:p>
    <w:p w14:paraId="7B22A165" w14:textId="77777777" w:rsidR="00B52572" w:rsidRDefault="00000000">
      <w:pPr>
        <w:spacing w:after="200" w:line="380" w:lineRule="auto"/>
        <w:jc w:val="both"/>
        <w:rPr>
          <w:rFonts w:cs="Arial"/>
        </w:rPr>
      </w:pPr>
      <w:r>
        <w:rPr>
          <w:color w:val="1A1A1A"/>
        </w:rPr>
        <w:t>في «مُواجهة» هذه «الهيمنة»، «يَتبنى» «النموذج الاستخلافي» – كما يُصرح الزراع – استراتيجية «الاندماج الخالق» (</w:t>
      </w:r>
      <w:proofErr w:type="spellStart"/>
      <w:r>
        <w:rPr>
          <w:color w:val="1A1A1A"/>
        </w:rPr>
        <w:t>Creative</w:t>
      </w:r>
      <w:proofErr w:type="spellEnd"/>
      <w:r>
        <w:rPr>
          <w:color w:val="1A1A1A"/>
        </w:rPr>
        <w:t xml:space="preserve"> </w:t>
      </w:r>
      <w:proofErr w:type="spellStart"/>
      <w:r>
        <w:rPr>
          <w:color w:val="1A1A1A"/>
        </w:rPr>
        <w:t>Integration</w:t>
      </w:r>
      <w:proofErr w:type="spellEnd"/>
      <w:r>
        <w:rPr>
          <w:color w:val="1A1A1A"/>
        </w:rPr>
        <w:t>). وهي استراتيجية «تختلف» عن «الرفض» «القطعي» (الذي «يُعزل» «الأمة» عن «منجزات» «العصر») و«التبعية» «العمياء» (التي «تُذيب» «هويتها» في «الآخر»).</w:t>
      </w:r>
    </w:p>
    <w:p w14:paraId="7A968DC2" w14:textId="77777777" w:rsidR="00B52572" w:rsidRDefault="00000000">
      <w:pPr>
        <w:spacing w:after="200" w:line="380" w:lineRule="auto"/>
        <w:jc w:val="both"/>
        <w:rPr>
          <w:rFonts w:cs="Arial"/>
        </w:rPr>
      </w:pPr>
      <w:r>
        <w:rPr>
          <w:color w:val="1A1A1A"/>
        </w:rPr>
        <w:t xml:space="preserve">فـ«الاندماج الخالق» – كما «يُعرفه» – هو: «استيعاب» المناهج الإجرائية والعلوم المعاصرة (كعلوم الأعصاب، والذكاء الاصطناعي، وعلم الاجتماع) و«إعادة صهرها» داخل إطار الوحي، لخدمة غاية «العمران» </w:t>
      </w:r>
      <w:proofErr w:type="spellStart"/>
      <w:r>
        <w:rPr>
          <w:color w:val="1A1A1A"/>
        </w:rPr>
        <w:t>و«الاستخلاف</w:t>
      </w:r>
      <w:proofErr w:type="spellEnd"/>
      <w:r>
        <w:rPr>
          <w:color w:val="1A1A1A"/>
        </w:rPr>
        <w:t>»، دون «ذوبان» أو «تبعية» [760، 874، 963، 1097]. وهذا – كما «يُلاحظ» – هو «جوهر» «السيادة المعرفية» التي «يَنشدها» «المشروع».</w:t>
      </w:r>
    </w:p>
    <w:p w14:paraId="7CC9453B" w14:textId="77777777" w:rsidR="00B52572" w:rsidRDefault="00000000">
      <w:pPr>
        <w:pStyle w:val="3"/>
        <w:bidi/>
        <w:spacing w:before="260" w:after="160"/>
        <w:jc w:val="right"/>
        <w:rPr>
          <w:rFonts w:cs="Arial"/>
        </w:rPr>
      </w:pPr>
      <w:r>
        <w:rPr>
          <w:b/>
          <w:bCs/>
          <w:color w:val="B8912F"/>
          <w:sz w:val="25"/>
          <w:szCs w:val="25"/>
        </w:rPr>
        <w:t>5.2.1 معايير عملية لتمييز «الاندماج الخالق» عن التلفيق غير الناقد</w:t>
      </w:r>
    </w:p>
    <w:p w14:paraId="5071EF14" w14:textId="77777777" w:rsidR="00B52572" w:rsidRDefault="00000000">
      <w:pPr>
        <w:spacing w:after="200" w:line="380" w:lineRule="auto"/>
        <w:jc w:val="both"/>
        <w:rPr>
          <w:rFonts w:cs="Arial"/>
        </w:rPr>
      </w:pPr>
      <w:r>
        <w:rPr>
          <w:color w:val="1A1A1A"/>
        </w:rPr>
        <w:t xml:space="preserve">ولأن مصطلح «الاندماج الخالق» قد يُساء فهمه أو استخدامه — كما يقع أحيانًا في محاولات «أسلمة العلوم» السطحية التي تكتفي بإضافة آية أو حديث في مقدمة نظرية غربية دون مساءلة أسسها — فإن الدقة الأكاديمية تقتضي التمييز بين الاندماج الخالق الحقيقي والتلفيق غير الناقد عبر معيارين إجرائيين على الأقل. المعيار الأول هو «مساءلة المسلمات الأنطولوجية» للأداة المستعارة قبل توظيفها: فحين يُستعار مثلًا مفهوم «الشبكة العصبية» من علوم الأعصاب لفهم آلية تفاعل النفس اللوامة، لا يكفي أخذ الوصف الوظيفي وحده، بل يجب فحص هل يحمل هذا المفهوم في أصله افتراضًا ماديًا مغلقًا (أن الوعي مجرد نتاج للشبكة) يتعارض مع كون الروح أمرًا ربانيًا متجاوزًا للمادة، فإن كان كذلك، يُعاد صياغة توظيف المفهوم بما يُبقيه أداة وصفية للآلية العصبية المصاحبة دون أن يتحول إلى تفسير حصري نافٍ لما وراءها. أما المعيار الثاني فهو «إخضاع الغاية النهائية للأداة لمقصد الاستخلاف»: بحيث تبقى الأداة المستعارة خادمة لهدف التزكية والفلاح، لا موجهة نحو أهداف الأداة الأصلية كالتحكم أو الربح أو الضبط الاجتماعي المجرد. </w:t>
      </w:r>
      <w:proofErr w:type="spellStart"/>
      <w:r>
        <w:rPr>
          <w:color w:val="1A1A1A"/>
        </w:rPr>
        <w:t>وبهذين</w:t>
      </w:r>
      <w:proofErr w:type="spellEnd"/>
      <w:r>
        <w:rPr>
          <w:color w:val="1A1A1A"/>
        </w:rPr>
        <w:t xml:space="preserve"> المعيارين يمكن تمييز الاندماج الخالق — بوصفه مشروعًا نقديًا واعيًا بحدوده — عن مجرد التلفيق الظاهري بين مصطلحات متغايرة الجذور [760، 874، 963، 1097].</w:t>
      </w:r>
    </w:p>
    <w:p w14:paraId="3DEDBBD7" w14:textId="77777777" w:rsidR="00B52572" w:rsidRDefault="00000000">
      <w:pPr>
        <w:rPr>
          <w:rFonts w:cs="Arial"/>
        </w:rPr>
      </w:pPr>
      <w:r>
        <w:br w:type="page"/>
      </w:r>
    </w:p>
    <w:p w14:paraId="644BFE52" w14:textId="2F4962B5" w:rsidR="00B52572" w:rsidRDefault="00000000">
      <w:pPr>
        <w:pStyle w:val="1"/>
        <w:pBdr>
          <w:bottom w:val="single" w:sz="12" w:space="8" w:color="B8912F"/>
        </w:pBdr>
        <w:bidi/>
        <w:spacing w:before="480" w:after="280"/>
        <w:jc w:val="center"/>
        <w:rPr>
          <w:rFonts w:cs="Arial"/>
        </w:rPr>
      </w:pPr>
      <w:r>
        <w:rPr>
          <w:b/>
          <w:bCs/>
          <w:color w:val="1B2A4A"/>
          <w:sz w:val="34"/>
          <w:szCs w:val="34"/>
        </w:rPr>
        <w:t xml:space="preserve">الفصل السادس : من </w:t>
      </w:r>
      <w:proofErr w:type="spellStart"/>
      <w:r>
        <w:rPr>
          <w:b/>
          <w:bCs/>
          <w:color w:val="1B2A4A"/>
          <w:sz w:val="34"/>
          <w:szCs w:val="34"/>
        </w:rPr>
        <w:t>الإبستمولوجيا</w:t>
      </w:r>
      <w:proofErr w:type="spellEnd"/>
      <w:r>
        <w:rPr>
          <w:b/>
          <w:bCs/>
          <w:color w:val="1B2A4A"/>
          <w:sz w:val="34"/>
          <w:szCs w:val="34"/>
        </w:rPr>
        <w:t xml:space="preserve"> إلى العيادة – الأثر المنهجي للقطيعة في بروتوكول TLRT</w:t>
      </w:r>
    </w:p>
    <w:p w14:paraId="52687A1D" w14:textId="77777777" w:rsidR="00B52572" w:rsidRDefault="00000000">
      <w:pPr>
        <w:spacing w:after="200" w:line="380" w:lineRule="auto"/>
        <w:jc w:val="both"/>
        <w:rPr>
          <w:rFonts w:cs="Arial"/>
        </w:rPr>
      </w:pPr>
      <w:r>
        <w:rPr>
          <w:color w:val="1A1A1A"/>
        </w:rPr>
        <w:t xml:space="preserve">إذا كانت الفصول الخمسة السابقة قد فككت «القطيعة </w:t>
      </w:r>
      <w:proofErr w:type="spellStart"/>
      <w:r>
        <w:rPr>
          <w:color w:val="1A1A1A"/>
        </w:rPr>
        <w:t>الإبستمولوجية</w:t>
      </w:r>
      <w:proofErr w:type="spellEnd"/>
      <w:r>
        <w:rPr>
          <w:color w:val="1A1A1A"/>
        </w:rPr>
        <w:t xml:space="preserve">» على المستوى النظري المجرد، فإن الأمانة الأكاديمية تقتضي أن نُتبع ذلك بمساءلة الأثر العملي لهذه القطيعة في الممارسة الإكلينيكية الفعلية، وتحديدًا في بروتوكول العلاج بحرث المصالحة التحويلية (TLRT) الذي يمثل التطبيق الإجرائي الأبرز للنموذج الاستخلافي حتى الآن [1]. فالقطيعة </w:t>
      </w:r>
      <w:proofErr w:type="spellStart"/>
      <w:r>
        <w:rPr>
          <w:color w:val="1A1A1A"/>
        </w:rPr>
        <w:t>الإبستمولوجية</w:t>
      </w:r>
      <w:proofErr w:type="spellEnd"/>
      <w:r>
        <w:rPr>
          <w:color w:val="1A1A1A"/>
        </w:rPr>
        <w:t>، حين تبقى حبيسة الخطاب النظري، تظل عرضة لتهمة «</w:t>
      </w:r>
      <w:proofErr w:type="spellStart"/>
      <w:r>
        <w:rPr>
          <w:color w:val="1A1A1A"/>
        </w:rPr>
        <w:t>الشعارية</w:t>
      </w:r>
      <w:proofErr w:type="spellEnd"/>
      <w:r>
        <w:rPr>
          <w:color w:val="1A1A1A"/>
        </w:rPr>
        <w:t>»؛ أما حين تُترجم إلى بنية تشخيصية وإجرائية قابلة للتطبيق والتقييم، فإنها تكتسب صدقيتها العلمية الكاملة.</w:t>
      </w:r>
    </w:p>
    <w:p w14:paraId="0D217AB6" w14:textId="77777777" w:rsidR="00B52572" w:rsidRDefault="00000000">
      <w:pPr>
        <w:pStyle w:val="2"/>
        <w:bidi/>
        <w:spacing w:before="360" w:after="200"/>
        <w:jc w:val="right"/>
        <w:rPr>
          <w:rFonts w:cs="Arial"/>
        </w:rPr>
      </w:pPr>
      <w:r>
        <w:rPr>
          <w:b/>
          <w:bCs/>
          <w:color w:val="0F6B6B"/>
          <w:sz w:val="28"/>
          <w:szCs w:val="28"/>
        </w:rPr>
        <w:t>6.1 من التشخيص الوصفي إلى التشخيص الغائي</w:t>
      </w:r>
    </w:p>
    <w:p w14:paraId="586D593B" w14:textId="77777777" w:rsidR="00B52572" w:rsidRDefault="00000000">
      <w:pPr>
        <w:spacing w:after="200" w:line="380" w:lineRule="auto"/>
        <w:jc w:val="both"/>
        <w:rPr>
          <w:rFonts w:cs="Arial"/>
        </w:rPr>
      </w:pPr>
      <w:r>
        <w:rPr>
          <w:color w:val="1A1A1A"/>
        </w:rPr>
        <w:t>أول أثر منهجي مباشر لهذه القطيعة يظهر في إعادة تعريف «التشخيص» ذاته. فالتشخيص في الأنظمة الوضعية (كالدليل التشخيصي والإحصائي DSM) هو، في جوهره، تصنيف وصفي لمجموعة أعراض متلازمة (</w:t>
      </w:r>
      <w:proofErr w:type="spellStart"/>
      <w:r>
        <w:rPr>
          <w:color w:val="1A1A1A"/>
        </w:rPr>
        <w:t>Syndrome</w:t>
      </w:r>
      <w:proofErr w:type="spellEnd"/>
      <w:r>
        <w:rPr>
          <w:color w:val="1A1A1A"/>
        </w:rPr>
        <w:t>)، لا يسأل عن «لماذا» ظهرت هذه الأعراض في سياق وجود هذا الشخص بالذات، بل يكتفي بمطابقتها لقائمة معايير مغلقة. أما في بروتوكول TLRT، فإن الخطوة التشخيصية الأولى تُعرف بـ«التشخيص الغائي» (</w:t>
      </w:r>
      <w:proofErr w:type="spellStart"/>
      <w:r>
        <w:rPr>
          <w:color w:val="1A1A1A"/>
        </w:rPr>
        <w:t>Teleological</w:t>
      </w:r>
      <w:proofErr w:type="spellEnd"/>
      <w:r>
        <w:rPr>
          <w:color w:val="1A1A1A"/>
        </w:rPr>
        <w:t xml:space="preserve"> </w:t>
      </w:r>
      <w:proofErr w:type="spellStart"/>
      <w:r>
        <w:rPr>
          <w:color w:val="1A1A1A"/>
        </w:rPr>
        <w:t>Assessment</w:t>
      </w:r>
      <w:proofErr w:type="spellEnd"/>
      <w:r>
        <w:rPr>
          <w:color w:val="1A1A1A"/>
        </w:rPr>
        <w:t>)، وتسأل: ما «الوظيفة الوجودية» التي كان يؤديها هذا العرض للنفس؟ وأي «جرح» في علاقة الإنسان بذاته وبربه وبالآخرين يقف خلف هذا الظاهر السلوكي؟ وهذا التحول ليس مجرد إضافة سؤال جديد إلى الاستمارة السريرية، بل هو انقلاب في بنية العملية التشخيصية بأكملها، إذ يُعيد ترتيب أولويات المعالج من «تصنيف العرض» إلى «فهم القصة الوجودية» التي يرويها هذا العرض [2].</w:t>
      </w:r>
    </w:p>
    <w:p w14:paraId="7605005A" w14:textId="77777777" w:rsidR="00B52572" w:rsidRDefault="00000000">
      <w:pPr>
        <w:pStyle w:val="2"/>
        <w:bidi/>
        <w:spacing w:before="360" w:after="200"/>
        <w:jc w:val="right"/>
        <w:rPr>
          <w:rFonts w:cs="Arial"/>
        </w:rPr>
      </w:pPr>
      <w:r>
        <w:rPr>
          <w:b/>
          <w:bCs/>
          <w:color w:val="0F6B6B"/>
          <w:sz w:val="28"/>
          <w:szCs w:val="28"/>
        </w:rPr>
        <w:t xml:space="preserve">6.2 «حرث المصالحة»: القطيعة </w:t>
      </w:r>
      <w:proofErr w:type="spellStart"/>
      <w:r>
        <w:rPr>
          <w:b/>
          <w:bCs/>
          <w:color w:val="0F6B6B"/>
          <w:sz w:val="28"/>
          <w:szCs w:val="28"/>
        </w:rPr>
        <w:t>الإبستمولوجية</w:t>
      </w:r>
      <w:proofErr w:type="spellEnd"/>
      <w:r>
        <w:rPr>
          <w:b/>
          <w:bCs/>
          <w:color w:val="0F6B6B"/>
          <w:sz w:val="28"/>
          <w:szCs w:val="28"/>
        </w:rPr>
        <w:t xml:space="preserve"> بوصفها فعلًا علاجيًا لا موقفًا نظريًا فحسب</w:t>
      </w:r>
    </w:p>
    <w:p w14:paraId="38EB6752" w14:textId="77777777" w:rsidR="00B52572" w:rsidRDefault="00000000">
      <w:pPr>
        <w:spacing w:after="200" w:line="380" w:lineRule="auto"/>
        <w:jc w:val="both"/>
        <w:rPr>
          <w:rFonts w:cs="Arial"/>
        </w:rPr>
      </w:pPr>
      <w:r>
        <w:rPr>
          <w:color w:val="1A1A1A"/>
        </w:rPr>
        <w:t>يتجلى الأثر الثاني في المفهوم المركزي الذي يحمل اسم البروتوكول نفسه: «الحرث» (</w:t>
      </w:r>
      <w:proofErr w:type="spellStart"/>
      <w:r>
        <w:rPr>
          <w:color w:val="1A1A1A"/>
        </w:rPr>
        <w:t>Tillage</w:t>
      </w:r>
      <w:proofErr w:type="spellEnd"/>
      <w:r>
        <w:rPr>
          <w:color w:val="1A1A1A"/>
        </w:rPr>
        <w:t xml:space="preserve">). فاختيار هذه الاستعارة الزراعية — بدل استعارات «الإصلاح» أو «إعادة البرمجة» الشائعة في الأدبيات الغربية — ليس اختيارًا أسلوبيًا عابرًا، بل هو تجسيد حرفي للقطيعة </w:t>
      </w:r>
      <w:proofErr w:type="spellStart"/>
      <w:r>
        <w:rPr>
          <w:color w:val="1A1A1A"/>
        </w:rPr>
        <w:t>الإبستمولوجية</w:t>
      </w:r>
      <w:proofErr w:type="spellEnd"/>
      <w:r>
        <w:rPr>
          <w:color w:val="1A1A1A"/>
        </w:rPr>
        <w:t xml:space="preserve"> موضوع هذه الدراسة: فـ«الحرث» يفترض أن في النفس أرضًا خصبة بالفطرة (وليست لوحًا فارغًا </w:t>
      </w:r>
      <w:proofErr w:type="spellStart"/>
      <w:r>
        <w:rPr>
          <w:color w:val="1A1A1A"/>
        </w:rPr>
        <w:t>Tabula</w:t>
      </w:r>
      <w:proofErr w:type="spellEnd"/>
      <w:r>
        <w:rPr>
          <w:color w:val="1A1A1A"/>
        </w:rPr>
        <w:t xml:space="preserve"> </w:t>
      </w:r>
      <w:proofErr w:type="spellStart"/>
      <w:r>
        <w:rPr>
          <w:color w:val="1A1A1A"/>
        </w:rPr>
        <w:t>Rasa</w:t>
      </w:r>
      <w:proofErr w:type="spellEnd"/>
      <w:r>
        <w:rPr>
          <w:color w:val="1A1A1A"/>
        </w:rPr>
        <w:t xml:space="preserve"> تُكتب عليه أي برمجة كما تفترض السلوكية)، وأن دور المعالج ليس «إصلاح آلة معطلة» بل «تهيئة الأرض» لتُخرج ما أودعه الله فيها أصلًا من استعداد للخير والإيمان. وبذلك ينتقل الجرح من موقعه كـ«خلل يُصحَّح» إلى موقعه كـ«تربة تحتاج إلى حرث» تمهيدًا لإنبات معنى جديد — وهو ما يُترجم عمليًا في مراحل البروتوكول الخاصة بإعادة بناء السردية الذاتية (الأجزاء 6-7) وبمرحلة النمو المستدام التي تليها [1، 2].</w:t>
      </w:r>
    </w:p>
    <w:p w14:paraId="39E77A8C" w14:textId="77777777" w:rsidR="00B52572" w:rsidRDefault="00000000">
      <w:pPr>
        <w:pStyle w:val="2"/>
        <w:bidi/>
        <w:spacing w:before="360" w:after="200"/>
        <w:jc w:val="right"/>
        <w:rPr>
          <w:rFonts w:cs="Arial"/>
        </w:rPr>
      </w:pPr>
      <w:r>
        <w:rPr>
          <w:b/>
          <w:bCs/>
          <w:color w:val="0F6B6B"/>
          <w:sz w:val="28"/>
          <w:szCs w:val="28"/>
        </w:rPr>
        <w:t>6.3 معيار النجاح العلاجي: من «تخفيف العرض» إلى «تحقق الاستخلاف»</w:t>
      </w:r>
    </w:p>
    <w:p w14:paraId="00552AD3" w14:textId="77777777" w:rsidR="00B52572" w:rsidRDefault="00000000">
      <w:pPr>
        <w:spacing w:after="200" w:line="380" w:lineRule="auto"/>
        <w:jc w:val="both"/>
        <w:rPr>
          <w:rFonts w:cs="Arial"/>
        </w:rPr>
      </w:pPr>
      <w:r>
        <w:rPr>
          <w:color w:val="1A1A1A"/>
        </w:rPr>
        <w:t xml:space="preserve">أما الأثر الثالث والأخطر منهجيًا فيتعلق بـ«معيار نجاح التدخل» ذاته. ففي الأطر الوضعية، يُقاس النجاح العلاجي غالبًا بمقاييس كمية لتراجع حدة العرض (كنقاط مقياس بيك للاكتئاب مثلًا)، وهو معيار مشروع لكنه محدود لأنه لا يقيس إلا المتحقق ضمن الأفق المغلق. أما في النموذج الاستخلافي، فيُقترح — إلى جانب هذه المقاييس الكمية التقليدية التي لا يُستغنى عنها بوصفها أداة رصد موضوعية — معيار تكميلي نوعي هو «مدى تحقق الفاعلية </w:t>
      </w:r>
      <w:proofErr w:type="spellStart"/>
      <w:r>
        <w:rPr>
          <w:color w:val="1A1A1A"/>
        </w:rPr>
        <w:t>الإحسانية</w:t>
      </w:r>
      <w:proofErr w:type="spellEnd"/>
      <w:r>
        <w:rPr>
          <w:color w:val="1A1A1A"/>
        </w:rPr>
        <w:t>» (</w:t>
      </w:r>
      <w:proofErr w:type="spellStart"/>
      <w:r>
        <w:rPr>
          <w:color w:val="1A1A1A"/>
        </w:rPr>
        <w:t>Beneficent</w:t>
      </w:r>
      <w:proofErr w:type="spellEnd"/>
      <w:r>
        <w:rPr>
          <w:color w:val="1A1A1A"/>
        </w:rPr>
        <w:t xml:space="preserve"> </w:t>
      </w:r>
      <w:proofErr w:type="spellStart"/>
      <w:r>
        <w:rPr>
          <w:color w:val="1A1A1A"/>
        </w:rPr>
        <w:t>Agency</w:t>
      </w:r>
      <w:proofErr w:type="spellEnd"/>
      <w:r>
        <w:rPr>
          <w:color w:val="1A1A1A"/>
        </w:rPr>
        <w:t xml:space="preserve">): أي هل انتقل الشخص، بعد العلاج، من موقع «المتلقي السلبي للعلاج» إلى موقع «الفاعل الخليفي المسؤول» في محيطه الأسري والاجتماعي؟ وهذا المعيار الثاني هو الترجمة الإجرائية المباشرة لمفهوم «الجسر السلوكي» الذي نوقش في الفصل الثاني، وهو ما يستدعي — من الناحية المنهجية البحتة — تطوير أدوات قياس نوعية وكمية جديدة (مقاييس </w:t>
      </w:r>
      <w:proofErr w:type="spellStart"/>
      <w:r>
        <w:rPr>
          <w:color w:val="1A1A1A"/>
        </w:rPr>
        <w:t>نفسومترية</w:t>
      </w:r>
      <w:proofErr w:type="spellEnd"/>
      <w:r>
        <w:rPr>
          <w:color w:val="1A1A1A"/>
        </w:rPr>
        <w:t>) قادرة على رصد هذا البعد الغائي، وهو ما يمثل أحد أبرز الثغرات البحثية المستقبلية التي يستدعيها هذا النموذج ويستوجب معالجتها في الأطروحات اللاحقة [972، 1192].</w:t>
      </w:r>
    </w:p>
    <w:p w14:paraId="5E588B96" w14:textId="77777777" w:rsidR="00B52572" w:rsidRDefault="00000000">
      <w:pPr>
        <w:rPr>
          <w:rFonts w:cs="Arial"/>
        </w:rPr>
      </w:pPr>
      <w:r>
        <w:br w:type="page"/>
      </w:r>
    </w:p>
    <w:p w14:paraId="05EFD669" w14:textId="336636A6" w:rsidR="00B52572" w:rsidRDefault="00000000">
      <w:pPr>
        <w:pStyle w:val="1"/>
        <w:pBdr>
          <w:bottom w:val="single" w:sz="12" w:space="8" w:color="B8912F"/>
        </w:pBdr>
        <w:bidi/>
        <w:spacing w:before="480" w:after="280"/>
        <w:jc w:val="center"/>
        <w:rPr>
          <w:rFonts w:cs="Arial"/>
        </w:rPr>
      </w:pPr>
      <w:r>
        <w:rPr>
          <w:b/>
          <w:bCs/>
          <w:color w:val="1B2A4A"/>
          <w:sz w:val="34"/>
          <w:szCs w:val="34"/>
        </w:rPr>
        <w:t>خاتمة : العلم – «أداة» في «يد» «الخليفة» لا «إله» «يُعبد»</w:t>
      </w:r>
    </w:p>
    <w:p w14:paraId="5D011EA2" w14:textId="77777777" w:rsidR="00B52572" w:rsidRDefault="00000000">
      <w:pPr>
        <w:spacing w:after="200" w:line="380" w:lineRule="auto"/>
        <w:jc w:val="both"/>
        <w:rPr>
          <w:rFonts w:cs="Arial"/>
        </w:rPr>
      </w:pPr>
      <w:r>
        <w:rPr>
          <w:color w:val="1A1A1A"/>
        </w:rPr>
        <w:t xml:space="preserve">في نهاية هذه «الدراسة الموسعة»، نخلص إلى أن «القطيعة </w:t>
      </w:r>
      <w:proofErr w:type="spellStart"/>
      <w:r>
        <w:rPr>
          <w:color w:val="1A1A1A"/>
        </w:rPr>
        <w:t>الإبستمولوجية</w:t>
      </w:r>
      <w:proofErr w:type="spellEnd"/>
      <w:r>
        <w:rPr>
          <w:color w:val="1A1A1A"/>
        </w:rPr>
        <w:t>» التي «يُعلنها» «عبد السلام الزراع» مع «العلم الغربي» ليست «قطيعة» مع «العلم» نفسه، بل هي «قطيعة» مع «أيديولوجيا» «العلم» و«أسطورته». إنها «رفض» لأن «يَحتكر» «العلم التجريبي» «تعريف» «الحقيقة»، و«رفض» لأن «يُصبح» «العلم» «صنمًا» «يُعبد» من دون الله.</w:t>
      </w:r>
    </w:p>
    <w:p w14:paraId="0F01184D" w14:textId="77777777" w:rsidR="00B52572" w:rsidRDefault="00000000">
      <w:pPr>
        <w:spacing w:after="200" w:line="380" w:lineRule="auto"/>
        <w:jc w:val="both"/>
        <w:rPr>
          <w:rFonts w:cs="Arial"/>
        </w:rPr>
      </w:pPr>
      <w:r>
        <w:rPr>
          <w:color w:val="1A1A1A"/>
        </w:rPr>
        <w:t>فـ«العلم» – في «النموذج الاستخلافي» – ليس «سيّدًا»، بل هو «خادم» و«أداة» في «يد» «الخليفة». إنه «وسيلة» «للكشف» عن «سنن الله» في «الكون» و«النفس»، و«لتحقيق» «الاستخلاف» و«عمارة الأرض». و«قيمته» – بالتالي – «مُستمدة» من «قدرته» على «خدمة» هذه «الغاية» «السامية»، لا من «ذاته».</w:t>
      </w:r>
    </w:p>
    <w:p w14:paraId="380E0795" w14:textId="5D8A1C86" w:rsidR="00B52572" w:rsidRDefault="00000000">
      <w:pPr>
        <w:spacing w:after="200" w:line="380" w:lineRule="auto"/>
        <w:jc w:val="both"/>
        <w:rPr>
          <w:rFonts w:cs="Arial"/>
        </w:rPr>
      </w:pPr>
      <w:r>
        <w:rPr>
          <w:color w:val="1A1A1A"/>
        </w:rPr>
        <w:t xml:space="preserve">وإذا كانت  هذه الدراسة قد اكتفت بتقرير المحاور الخمسة للقطيعة </w:t>
      </w:r>
      <w:proofErr w:type="spellStart"/>
      <w:r>
        <w:rPr>
          <w:color w:val="1A1A1A"/>
        </w:rPr>
        <w:t>الإبستمولوجية</w:t>
      </w:r>
      <w:proofErr w:type="spellEnd"/>
      <w:r>
        <w:rPr>
          <w:color w:val="1A1A1A"/>
        </w:rPr>
        <w:t xml:space="preserve"> على المستوى النظري، فإن هذه الطبعة  أضافت ثلاثة أبعاد </w:t>
      </w:r>
      <w:proofErr w:type="spellStart"/>
      <w:r>
        <w:rPr>
          <w:color w:val="1A1A1A"/>
        </w:rPr>
        <w:t>تعميقية</w:t>
      </w:r>
      <w:proofErr w:type="spellEnd"/>
      <w:r>
        <w:rPr>
          <w:color w:val="1A1A1A"/>
        </w:rPr>
        <w:t xml:space="preserve"> جوهرية: أولها، ربط كل محور من المحاور الخمسة بجذوره الفلسفية الغربية بتفصيل أدق (ديكارت، </w:t>
      </w:r>
      <w:proofErr w:type="spellStart"/>
      <w:r>
        <w:rPr>
          <w:color w:val="1A1A1A"/>
        </w:rPr>
        <w:t>هوسرل</w:t>
      </w:r>
      <w:proofErr w:type="spellEnd"/>
      <w:r>
        <w:rPr>
          <w:color w:val="1A1A1A"/>
        </w:rPr>
        <w:t xml:space="preserve">، هايدغر، كون، </w:t>
      </w:r>
      <w:proofErr w:type="spellStart"/>
      <w:r>
        <w:rPr>
          <w:color w:val="1A1A1A"/>
        </w:rPr>
        <w:t>زوبوف</w:t>
      </w:r>
      <w:proofErr w:type="spellEnd"/>
      <w:r>
        <w:rPr>
          <w:color w:val="1A1A1A"/>
        </w:rPr>
        <w:t xml:space="preserve">، حلاق)، بما يكشف أن نقد الزراع ليس رفضًا مجملًا للتراث الغربي بل حوار نقدي دقيق مع أعمق تياراته الذاتية النقدية لنفسه. وثانيها، تفصيل الثلاثية المعرفية (وحي – عقل – فطرة) بوصفها بنية داخلية للنموذج الاستخلافي لا مجرد ازدواجية مسطور/منظور. وثالثها، وهو الأهم منهجيًا، الانتقال من التنظير </w:t>
      </w:r>
      <w:proofErr w:type="spellStart"/>
      <w:r>
        <w:rPr>
          <w:color w:val="1A1A1A"/>
        </w:rPr>
        <w:t>الإبستمولوجي</w:t>
      </w:r>
      <w:proofErr w:type="spellEnd"/>
      <w:r>
        <w:rPr>
          <w:color w:val="1A1A1A"/>
        </w:rPr>
        <w:t xml:space="preserve"> المجرد إلى تتبع أثره الإجرائي المباشر في بنية التشخيص والعلاج ومعيار النجاح داخل بروتوكول TLRT، بما يمنح الأطروحة كلها صدقيتها التطبيقية إلى جانب صدقيتها النظرية.</w:t>
      </w:r>
    </w:p>
    <w:p w14:paraId="0D45AF28" w14:textId="77777777" w:rsidR="00B52572" w:rsidRDefault="00000000">
      <w:pPr>
        <w:spacing w:after="200" w:line="380" w:lineRule="auto"/>
        <w:jc w:val="both"/>
        <w:rPr>
          <w:rFonts w:cs="Arial"/>
        </w:rPr>
      </w:pPr>
      <w:r>
        <w:rPr>
          <w:color w:val="1A1A1A"/>
        </w:rPr>
        <w:t xml:space="preserve">وهذا – في «النهاية» – هو «معنى» أن «يكون» «العلم» «إسلاميًا» </w:t>
      </w:r>
      <w:proofErr w:type="spellStart"/>
      <w:r>
        <w:rPr>
          <w:color w:val="1A1A1A"/>
        </w:rPr>
        <w:t>و«استخلافيًا</w:t>
      </w:r>
      <w:proofErr w:type="spellEnd"/>
      <w:r>
        <w:rPr>
          <w:color w:val="1A1A1A"/>
        </w:rPr>
        <w:t xml:space="preserve">»: أن «يَستعيد» «العلم» «مكانه» «الطبيعي» في «المنظومة» «التوحيدية»، «خاضعًا» لله، </w:t>
      </w:r>
      <w:proofErr w:type="spellStart"/>
      <w:r>
        <w:rPr>
          <w:color w:val="1A1A1A"/>
        </w:rPr>
        <w:t>و«خادمًا</w:t>
      </w:r>
      <w:proofErr w:type="spellEnd"/>
      <w:r>
        <w:rPr>
          <w:color w:val="1A1A1A"/>
        </w:rPr>
        <w:t xml:space="preserve">» للإنسان، </w:t>
      </w:r>
      <w:proofErr w:type="spellStart"/>
      <w:r>
        <w:rPr>
          <w:color w:val="1A1A1A"/>
        </w:rPr>
        <w:t>و«مُسخرًا</w:t>
      </w:r>
      <w:proofErr w:type="spellEnd"/>
      <w:r>
        <w:rPr>
          <w:color w:val="1A1A1A"/>
        </w:rPr>
        <w:t>» لعمارة «الأرض» و«الفوز» بـ«الآخرة».</w:t>
      </w:r>
    </w:p>
    <w:tbl>
      <w:tblPr>
        <w:tblW w:w="5000" w:type="pct"/>
        <w:tblBorders>
          <w:top w:val="single" w:sz="16" w:space="0" w:color="B8912F"/>
          <w:left w:val="single" w:sz="16" w:space="0" w:color="B8912F"/>
          <w:bottom w:val="single" w:sz="16" w:space="0" w:color="B8912F"/>
          <w:right w:val="single" w:sz="16" w:space="0" w:color="B891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B52572" w14:paraId="75668DE1" w14:textId="77777777">
        <w:tc>
          <w:tcPr>
            <w:tcW w:w="0" w:type="auto"/>
            <w:shd w:val="clear" w:color="auto" w:fill="F7EFDD"/>
            <w:tcMar>
              <w:top w:w="200" w:type="dxa"/>
              <w:left w:w="300" w:type="dxa"/>
              <w:bottom w:w="200" w:type="dxa"/>
              <w:right w:w="300" w:type="dxa"/>
            </w:tcMar>
            <w:vAlign w:val="center"/>
          </w:tcPr>
          <w:p w14:paraId="455D44B5" w14:textId="77777777" w:rsidR="00B52572" w:rsidRDefault="00000000">
            <w:pPr>
              <w:spacing w:after="100"/>
              <w:jc w:val="center"/>
              <w:rPr>
                <w:rFonts w:cs="Arial"/>
              </w:rPr>
            </w:pPr>
            <w:r>
              <w:rPr>
                <w:b/>
                <w:bCs/>
                <w:color w:val="1B2A4A"/>
                <w:sz w:val="30"/>
                <w:szCs w:val="30"/>
              </w:rPr>
              <w:t>﴿وَقُل رَّبِّ زِدْنِي عِلْمًا﴾</w:t>
            </w:r>
          </w:p>
          <w:p w14:paraId="2621AFEB" w14:textId="77777777" w:rsidR="00B52572" w:rsidRDefault="00000000">
            <w:pPr>
              <w:jc w:val="center"/>
              <w:rPr>
                <w:rFonts w:cs="Arial"/>
              </w:rPr>
            </w:pPr>
            <w:r>
              <w:rPr>
                <w:i/>
                <w:iCs/>
                <w:color w:val="0F6B6B"/>
                <w:sz w:val="22"/>
                <w:szCs w:val="22"/>
              </w:rPr>
              <w:t>سورة طه، الآية 114</w:t>
            </w:r>
          </w:p>
        </w:tc>
      </w:tr>
    </w:tbl>
    <w:p w14:paraId="7A5DE3D3" w14:textId="77777777" w:rsidR="00B52572" w:rsidRDefault="00B52572">
      <w:pPr>
        <w:spacing w:after="200"/>
        <w:rPr>
          <w:rFonts w:cs="Arial"/>
        </w:rPr>
      </w:pPr>
    </w:p>
    <w:p w14:paraId="7EFA15DA" w14:textId="77777777" w:rsidR="00B52572" w:rsidRDefault="00000000">
      <w:pPr>
        <w:rPr>
          <w:rFonts w:cs="Arial"/>
        </w:rPr>
      </w:pPr>
      <w:r>
        <w:br w:type="page"/>
      </w:r>
    </w:p>
    <w:p w14:paraId="5B25444E" w14:textId="77777777" w:rsidR="00B52572" w:rsidRDefault="00000000">
      <w:pPr>
        <w:pStyle w:val="1"/>
        <w:pBdr>
          <w:bottom w:val="single" w:sz="12" w:space="8" w:color="B8912F"/>
        </w:pBdr>
        <w:bidi/>
        <w:spacing w:before="480" w:after="280"/>
        <w:jc w:val="center"/>
        <w:rPr>
          <w:rFonts w:cs="Arial"/>
        </w:rPr>
      </w:pPr>
      <w:r>
        <w:rPr>
          <w:b/>
          <w:bCs/>
          <w:color w:val="1B2A4A"/>
          <w:sz w:val="34"/>
          <w:szCs w:val="34"/>
        </w:rPr>
        <w:t>المراجع والمصادر</w:t>
      </w:r>
    </w:p>
    <w:p w14:paraId="3FBA44C5" w14:textId="77777777" w:rsidR="00B52572" w:rsidRDefault="00000000">
      <w:pPr>
        <w:pStyle w:val="2"/>
        <w:bidi/>
        <w:spacing w:before="360" w:after="200"/>
        <w:jc w:val="right"/>
        <w:rPr>
          <w:rFonts w:cs="Arial"/>
        </w:rPr>
      </w:pPr>
      <w:r>
        <w:rPr>
          <w:b/>
          <w:bCs/>
          <w:color w:val="0F6B6B"/>
          <w:sz w:val="28"/>
          <w:szCs w:val="28"/>
        </w:rPr>
        <w:t>أولاً: المصادر الأساسية (النموذج الاستخلافي)</w:t>
      </w:r>
    </w:p>
    <w:p w14:paraId="67ED0AA3" w14:textId="77777777" w:rsidR="00B52572" w:rsidRDefault="00000000">
      <w:pPr>
        <w:spacing w:after="140" w:line="340" w:lineRule="auto"/>
        <w:jc w:val="right"/>
        <w:rPr>
          <w:rFonts w:cs="Arial"/>
        </w:rPr>
      </w:pPr>
      <w:r>
        <w:rPr>
          <w:color w:val="1A1A1A"/>
          <w:sz w:val="23"/>
          <w:szCs w:val="23"/>
        </w:rPr>
        <w:t>1. الزراع، عبد السلام. (2026). العلاج بحرث المصالحة التحويلية (TLRT): الدليل النظري والإكلينيكي. (الطبعة التجريبية الأولى).</w:t>
      </w:r>
    </w:p>
    <w:p w14:paraId="0BBDFD96" w14:textId="77777777" w:rsidR="00B52572" w:rsidRDefault="00000000">
      <w:pPr>
        <w:spacing w:after="140" w:line="340" w:lineRule="auto"/>
        <w:jc w:val="right"/>
        <w:rPr>
          <w:rFonts w:cs="Arial"/>
        </w:rPr>
      </w:pPr>
      <w:r>
        <w:rPr>
          <w:color w:val="1A1A1A"/>
          <w:sz w:val="23"/>
          <w:szCs w:val="23"/>
        </w:rPr>
        <w:t>2. الزراع، عبد السلام. (2026). الفصام الأخلاقي ومصدر الأزمات النفسية: قراءة في ضوء نظرية TLRT.</w:t>
      </w:r>
    </w:p>
    <w:p w14:paraId="12B62C53" w14:textId="77777777" w:rsidR="00B52572" w:rsidRDefault="00000000">
      <w:pPr>
        <w:spacing w:after="140" w:line="340" w:lineRule="auto"/>
        <w:jc w:val="right"/>
        <w:rPr>
          <w:rFonts w:cs="Arial"/>
        </w:rPr>
      </w:pPr>
      <w:r>
        <w:rPr>
          <w:color w:val="1A1A1A"/>
          <w:sz w:val="23"/>
          <w:szCs w:val="23"/>
        </w:rPr>
        <w:t xml:space="preserve">3. الزراع، عبد السلام. (2026). </w:t>
      </w:r>
      <w:proofErr w:type="spellStart"/>
      <w:r>
        <w:rPr>
          <w:color w:val="1A1A1A"/>
          <w:sz w:val="23"/>
          <w:szCs w:val="23"/>
        </w:rPr>
        <w:t>التمثلات</w:t>
      </w:r>
      <w:proofErr w:type="spellEnd"/>
      <w:r>
        <w:rPr>
          <w:color w:val="1A1A1A"/>
          <w:sz w:val="23"/>
          <w:szCs w:val="23"/>
        </w:rPr>
        <w:t xml:space="preserve"> الداخلية للإله: من نظرية </w:t>
      </w:r>
      <w:proofErr w:type="spellStart"/>
      <w:r>
        <w:rPr>
          <w:color w:val="1A1A1A"/>
          <w:sz w:val="23"/>
          <w:szCs w:val="23"/>
        </w:rPr>
        <w:t>ريزوتو</w:t>
      </w:r>
      <w:proofErr w:type="spellEnd"/>
      <w:r>
        <w:rPr>
          <w:color w:val="1A1A1A"/>
          <w:sz w:val="23"/>
          <w:szCs w:val="23"/>
        </w:rPr>
        <w:t xml:space="preserve"> إلى إعادة بناء صورة الله في TLRT.</w:t>
      </w:r>
    </w:p>
    <w:p w14:paraId="71CF34E8" w14:textId="77777777" w:rsidR="00B52572" w:rsidRDefault="00000000">
      <w:pPr>
        <w:spacing w:after="140" w:line="340" w:lineRule="auto"/>
        <w:jc w:val="right"/>
        <w:rPr>
          <w:rFonts w:cs="Arial"/>
        </w:rPr>
      </w:pPr>
      <w:r>
        <w:rPr>
          <w:color w:val="1A1A1A"/>
          <w:sz w:val="23"/>
          <w:szCs w:val="23"/>
        </w:rPr>
        <w:t>4. الزراع، عبد السلام. (2026). من «النفخة الإلهية» إلى «الشوق الوجودي»: نحو نظرية استخلافية للروح.</w:t>
      </w:r>
    </w:p>
    <w:p w14:paraId="352D906F" w14:textId="77777777" w:rsidR="00B52572" w:rsidRDefault="00000000">
      <w:pPr>
        <w:spacing w:after="140" w:line="340" w:lineRule="auto"/>
        <w:jc w:val="right"/>
        <w:rPr>
          <w:rFonts w:cs="Arial"/>
        </w:rPr>
      </w:pPr>
      <w:r>
        <w:rPr>
          <w:color w:val="1A1A1A"/>
          <w:sz w:val="23"/>
          <w:szCs w:val="23"/>
        </w:rPr>
        <w:t>5. الزراع، عبد السلام. (2026). أركيولوجيا الجرح الخطابي: فتحي بن سلامة والبنية الثقافية العربية. تونس: قصور الساف.</w:t>
      </w:r>
    </w:p>
    <w:p w14:paraId="300AB83C" w14:textId="77777777" w:rsidR="00B52572" w:rsidRDefault="00000000">
      <w:pPr>
        <w:pStyle w:val="2"/>
        <w:bidi/>
        <w:spacing w:before="360" w:after="200"/>
        <w:jc w:val="right"/>
        <w:rPr>
          <w:rFonts w:cs="Arial"/>
        </w:rPr>
      </w:pPr>
      <w:r>
        <w:rPr>
          <w:b/>
          <w:bCs/>
          <w:color w:val="0F6B6B"/>
          <w:sz w:val="28"/>
          <w:szCs w:val="28"/>
        </w:rPr>
        <w:t>ثانياً: مراجع في فلسفة العلم ونقده</w:t>
      </w:r>
    </w:p>
    <w:p w14:paraId="264A9B55" w14:textId="77777777" w:rsidR="00B52572" w:rsidRDefault="00000000">
      <w:pPr>
        <w:spacing w:after="140" w:line="340" w:lineRule="auto"/>
        <w:jc w:val="right"/>
        <w:rPr>
          <w:rFonts w:cs="Arial"/>
        </w:rPr>
      </w:pPr>
      <w:r>
        <w:rPr>
          <w:color w:val="1A1A1A"/>
          <w:sz w:val="23"/>
          <w:szCs w:val="23"/>
        </w:rPr>
        <w:t xml:space="preserve">6. </w:t>
      </w:r>
      <w:proofErr w:type="spellStart"/>
      <w:r>
        <w:rPr>
          <w:color w:val="1A1A1A"/>
          <w:sz w:val="23"/>
          <w:szCs w:val="23"/>
        </w:rPr>
        <w:t>Comte</w:t>
      </w:r>
      <w:proofErr w:type="spellEnd"/>
      <w:r>
        <w:rPr>
          <w:color w:val="1A1A1A"/>
          <w:sz w:val="23"/>
          <w:szCs w:val="23"/>
        </w:rPr>
        <w:t xml:space="preserve">, A. (1830). </w:t>
      </w:r>
      <w:proofErr w:type="spellStart"/>
      <w:r>
        <w:rPr>
          <w:color w:val="1A1A1A"/>
          <w:sz w:val="23"/>
          <w:szCs w:val="23"/>
        </w:rPr>
        <w:t>Cours</w:t>
      </w:r>
      <w:proofErr w:type="spellEnd"/>
      <w:r>
        <w:rPr>
          <w:color w:val="1A1A1A"/>
          <w:sz w:val="23"/>
          <w:szCs w:val="23"/>
        </w:rPr>
        <w:t xml:space="preserve"> </w:t>
      </w:r>
      <w:proofErr w:type="spellStart"/>
      <w:r>
        <w:rPr>
          <w:color w:val="1A1A1A"/>
          <w:sz w:val="23"/>
          <w:szCs w:val="23"/>
        </w:rPr>
        <w:t>de</w:t>
      </w:r>
      <w:proofErr w:type="spellEnd"/>
      <w:r>
        <w:rPr>
          <w:color w:val="1A1A1A"/>
          <w:sz w:val="23"/>
          <w:szCs w:val="23"/>
        </w:rPr>
        <w:t xml:space="preserve"> </w:t>
      </w:r>
      <w:proofErr w:type="spellStart"/>
      <w:r>
        <w:rPr>
          <w:color w:val="1A1A1A"/>
          <w:sz w:val="23"/>
          <w:szCs w:val="23"/>
        </w:rPr>
        <w:t>philosophie</w:t>
      </w:r>
      <w:proofErr w:type="spellEnd"/>
      <w:r>
        <w:rPr>
          <w:color w:val="1A1A1A"/>
          <w:sz w:val="23"/>
          <w:szCs w:val="23"/>
        </w:rPr>
        <w:t xml:space="preserve"> </w:t>
      </w:r>
      <w:proofErr w:type="spellStart"/>
      <w:r>
        <w:rPr>
          <w:color w:val="1A1A1A"/>
          <w:sz w:val="23"/>
          <w:szCs w:val="23"/>
        </w:rPr>
        <w:t>positive</w:t>
      </w:r>
      <w:proofErr w:type="spellEnd"/>
      <w:r>
        <w:rPr>
          <w:color w:val="1A1A1A"/>
          <w:sz w:val="23"/>
          <w:szCs w:val="23"/>
        </w:rPr>
        <w:t xml:space="preserve"> (</w:t>
      </w:r>
      <w:proofErr w:type="spellStart"/>
      <w:r>
        <w:rPr>
          <w:color w:val="1A1A1A"/>
          <w:sz w:val="23"/>
          <w:szCs w:val="23"/>
        </w:rPr>
        <w:t>Vols</w:t>
      </w:r>
      <w:proofErr w:type="spellEnd"/>
      <w:r>
        <w:rPr>
          <w:color w:val="1A1A1A"/>
          <w:sz w:val="23"/>
          <w:szCs w:val="23"/>
        </w:rPr>
        <w:t xml:space="preserve">. 1-6). </w:t>
      </w:r>
      <w:proofErr w:type="spellStart"/>
      <w:r>
        <w:rPr>
          <w:color w:val="1A1A1A"/>
          <w:sz w:val="23"/>
          <w:szCs w:val="23"/>
        </w:rPr>
        <w:t>Paris</w:t>
      </w:r>
      <w:proofErr w:type="spellEnd"/>
      <w:r>
        <w:rPr>
          <w:color w:val="1A1A1A"/>
          <w:sz w:val="23"/>
          <w:szCs w:val="23"/>
        </w:rPr>
        <w:t xml:space="preserve">: </w:t>
      </w:r>
      <w:proofErr w:type="spellStart"/>
      <w:r>
        <w:rPr>
          <w:color w:val="1A1A1A"/>
          <w:sz w:val="23"/>
          <w:szCs w:val="23"/>
        </w:rPr>
        <w:t>Bachelier</w:t>
      </w:r>
      <w:proofErr w:type="spellEnd"/>
      <w:r>
        <w:rPr>
          <w:color w:val="1A1A1A"/>
          <w:sz w:val="23"/>
          <w:szCs w:val="23"/>
        </w:rPr>
        <w:t>.</w:t>
      </w:r>
    </w:p>
    <w:p w14:paraId="1735D4F0" w14:textId="77777777" w:rsidR="00B52572" w:rsidRDefault="00000000">
      <w:pPr>
        <w:spacing w:after="140" w:line="340" w:lineRule="auto"/>
        <w:jc w:val="right"/>
        <w:rPr>
          <w:rFonts w:cs="Arial"/>
        </w:rPr>
      </w:pPr>
      <w:r>
        <w:rPr>
          <w:color w:val="1A1A1A"/>
          <w:sz w:val="23"/>
          <w:szCs w:val="23"/>
        </w:rPr>
        <w:t xml:space="preserve">7. </w:t>
      </w:r>
      <w:proofErr w:type="spellStart"/>
      <w:r>
        <w:rPr>
          <w:color w:val="1A1A1A"/>
          <w:sz w:val="23"/>
          <w:szCs w:val="23"/>
        </w:rPr>
        <w:t>Kuhn</w:t>
      </w:r>
      <w:proofErr w:type="spellEnd"/>
      <w:r>
        <w:rPr>
          <w:color w:val="1A1A1A"/>
          <w:sz w:val="23"/>
          <w:szCs w:val="23"/>
        </w:rPr>
        <w:t xml:space="preserve">, T. S. (1962).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Structure</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Scientific</w:t>
      </w:r>
      <w:proofErr w:type="spellEnd"/>
      <w:r>
        <w:rPr>
          <w:color w:val="1A1A1A"/>
          <w:sz w:val="23"/>
          <w:szCs w:val="23"/>
        </w:rPr>
        <w:t xml:space="preserve"> </w:t>
      </w:r>
      <w:proofErr w:type="spellStart"/>
      <w:r>
        <w:rPr>
          <w:color w:val="1A1A1A"/>
          <w:sz w:val="23"/>
          <w:szCs w:val="23"/>
        </w:rPr>
        <w:t>Revolutions</w:t>
      </w:r>
      <w:proofErr w:type="spellEnd"/>
      <w:r>
        <w:rPr>
          <w:color w:val="1A1A1A"/>
          <w:sz w:val="23"/>
          <w:szCs w:val="23"/>
        </w:rPr>
        <w:t xml:space="preserve">. </w:t>
      </w:r>
      <w:proofErr w:type="spellStart"/>
      <w:r>
        <w:rPr>
          <w:color w:val="1A1A1A"/>
          <w:sz w:val="23"/>
          <w:szCs w:val="23"/>
        </w:rPr>
        <w:t>Chicago</w:t>
      </w:r>
      <w:proofErr w:type="spellEnd"/>
      <w:r>
        <w:rPr>
          <w:color w:val="1A1A1A"/>
          <w:sz w:val="23"/>
          <w:szCs w:val="23"/>
        </w:rPr>
        <w:t xml:space="preserve">: </w:t>
      </w:r>
      <w:proofErr w:type="spellStart"/>
      <w:r>
        <w:rPr>
          <w:color w:val="1A1A1A"/>
          <w:sz w:val="23"/>
          <w:szCs w:val="23"/>
        </w:rPr>
        <w:t>University</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Chicago</w:t>
      </w:r>
      <w:proofErr w:type="spellEnd"/>
      <w:r>
        <w:rPr>
          <w:color w:val="1A1A1A"/>
          <w:sz w:val="23"/>
          <w:szCs w:val="23"/>
        </w:rPr>
        <w:t xml:space="preserve"> </w:t>
      </w:r>
      <w:proofErr w:type="spellStart"/>
      <w:r>
        <w:rPr>
          <w:color w:val="1A1A1A"/>
          <w:sz w:val="23"/>
          <w:szCs w:val="23"/>
        </w:rPr>
        <w:t>Press</w:t>
      </w:r>
      <w:proofErr w:type="spellEnd"/>
      <w:r>
        <w:rPr>
          <w:color w:val="1A1A1A"/>
          <w:sz w:val="23"/>
          <w:szCs w:val="23"/>
        </w:rPr>
        <w:t>.</w:t>
      </w:r>
    </w:p>
    <w:p w14:paraId="0736B27D" w14:textId="77777777" w:rsidR="00B52572" w:rsidRDefault="00000000">
      <w:pPr>
        <w:spacing w:after="140" w:line="340" w:lineRule="auto"/>
        <w:jc w:val="right"/>
        <w:rPr>
          <w:rFonts w:cs="Arial"/>
        </w:rPr>
      </w:pPr>
      <w:r>
        <w:rPr>
          <w:color w:val="1A1A1A"/>
          <w:sz w:val="23"/>
          <w:szCs w:val="23"/>
        </w:rPr>
        <w:t xml:space="preserve">8. </w:t>
      </w:r>
      <w:proofErr w:type="spellStart"/>
      <w:r>
        <w:rPr>
          <w:color w:val="1A1A1A"/>
          <w:sz w:val="23"/>
          <w:szCs w:val="23"/>
        </w:rPr>
        <w:t>Husserl</w:t>
      </w:r>
      <w:proofErr w:type="spellEnd"/>
      <w:r>
        <w:rPr>
          <w:color w:val="1A1A1A"/>
          <w:sz w:val="23"/>
          <w:szCs w:val="23"/>
        </w:rPr>
        <w:t xml:space="preserve">, E. (1970).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Crisis</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European</w:t>
      </w:r>
      <w:proofErr w:type="spellEnd"/>
      <w:r>
        <w:rPr>
          <w:color w:val="1A1A1A"/>
          <w:sz w:val="23"/>
          <w:szCs w:val="23"/>
        </w:rPr>
        <w:t xml:space="preserve"> </w:t>
      </w:r>
      <w:proofErr w:type="spellStart"/>
      <w:r>
        <w:rPr>
          <w:color w:val="1A1A1A"/>
          <w:sz w:val="23"/>
          <w:szCs w:val="23"/>
        </w:rPr>
        <w:t>Sciences</w:t>
      </w:r>
      <w:proofErr w:type="spellEnd"/>
      <w:r>
        <w:rPr>
          <w:color w:val="1A1A1A"/>
          <w:sz w:val="23"/>
          <w:szCs w:val="23"/>
        </w:rPr>
        <w:t xml:space="preserve"> </w:t>
      </w:r>
      <w:proofErr w:type="spellStart"/>
      <w:r>
        <w:rPr>
          <w:color w:val="1A1A1A"/>
          <w:sz w:val="23"/>
          <w:szCs w:val="23"/>
        </w:rPr>
        <w:t>and</w:t>
      </w:r>
      <w:proofErr w:type="spellEnd"/>
      <w:r>
        <w:rPr>
          <w:color w:val="1A1A1A"/>
          <w:sz w:val="23"/>
          <w:szCs w:val="23"/>
        </w:rPr>
        <w:t xml:space="preserve"> </w:t>
      </w:r>
      <w:proofErr w:type="spellStart"/>
      <w:r>
        <w:rPr>
          <w:color w:val="1A1A1A"/>
          <w:sz w:val="23"/>
          <w:szCs w:val="23"/>
        </w:rPr>
        <w:t>Transcendental</w:t>
      </w:r>
      <w:proofErr w:type="spellEnd"/>
      <w:r>
        <w:rPr>
          <w:color w:val="1A1A1A"/>
          <w:sz w:val="23"/>
          <w:szCs w:val="23"/>
        </w:rPr>
        <w:t xml:space="preserve"> </w:t>
      </w:r>
      <w:proofErr w:type="spellStart"/>
      <w:r>
        <w:rPr>
          <w:color w:val="1A1A1A"/>
          <w:sz w:val="23"/>
          <w:szCs w:val="23"/>
        </w:rPr>
        <w:t>Phenomenology</w:t>
      </w:r>
      <w:proofErr w:type="spellEnd"/>
      <w:r>
        <w:rPr>
          <w:color w:val="1A1A1A"/>
          <w:sz w:val="23"/>
          <w:szCs w:val="23"/>
        </w:rPr>
        <w:t xml:space="preserve"> (D. </w:t>
      </w:r>
      <w:proofErr w:type="spellStart"/>
      <w:r>
        <w:rPr>
          <w:color w:val="1A1A1A"/>
          <w:sz w:val="23"/>
          <w:szCs w:val="23"/>
        </w:rPr>
        <w:t>Carr</w:t>
      </w:r>
      <w:proofErr w:type="spellEnd"/>
      <w:r>
        <w:rPr>
          <w:color w:val="1A1A1A"/>
          <w:sz w:val="23"/>
          <w:szCs w:val="23"/>
        </w:rPr>
        <w:t xml:space="preserve">, </w:t>
      </w:r>
      <w:proofErr w:type="spellStart"/>
      <w:r>
        <w:rPr>
          <w:color w:val="1A1A1A"/>
          <w:sz w:val="23"/>
          <w:szCs w:val="23"/>
        </w:rPr>
        <w:t>Trans</w:t>
      </w:r>
      <w:proofErr w:type="spellEnd"/>
      <w:r>
        <w:rPr>
          <w:color w:val="1A1A1A"/>
          <w:sz w:val="23"/>
          <w:szCs w:val="23"/>
        </w:rPr>
        <w:t xml:space="preserve">.). </w:t>
      </w:r>
      <w:proofErr w:type="spellStart"/>
      <w:r>
        <w:rPr>
          <w:color w:val="1A1A1A"/>
          <w:sz w:val="23"/>
          <w:szCs w:val="23"/>
        </w:rPr>
        <w:t>Evanston</w:t>
      </w:r>
      <w:proofErr w:type="spellEnd"/>
      <w:r>
        <w:rPr>
          <w:color w:val="1A1A1A"/>
          <w:sz w:val="23"/>
          <w:szCs w:val="23"/>
        </w:rPr>
        <w:t xml:space="preserve">: </w:t>
      </w:r>
      <w:proofErr w:type="spellStart"/>
      <w:r>
        <w:rPr>
          <w:color w:val="1A1A1A"/>
          <w:sz w:val="23"/>
          <w:szCs w:val="23"/>
        </w:rPr>
        <w:t>Northwestern</w:t>
      </w:r>
      <w:proofErr w:type="spellEnd"/>
      <w:r>
        <w:rPr>
          <w:color w:val="1A1A1A"/>
          <w:sz w:val="23"/>
          <w:szCs w:val="23"/>
        </w:rPr>
        <w:t xml:space="preserve"> </w:t>
      </w:r>
      <w:proofErr w:type="spellStart"/>
      <w:r>
        <w:rPr>
          <w:color w:val="1A1A1A"/>
          <w:sz w:val="23"/>
          <w:szCs w:val="23"/>
        </w:rPr>
        <w:t>University</w:t>
      </w:r>
      <w:proofErr w:type="spellEnd"/>
      <w:r>
        <w:rPr>
          <w:color w:val="1A1A1A"/>
          <w:sz w:val="23"/>
          <w:szCs w:val="23"/>
        </w:rPr>
        <w:t xml:space="preserve"> </w:t>
      </w:r>
      <w:proofErr w:type="spellStart"/>
      <w:r>
        <w:rPr>
          <w:color w:val="1A1A1A"/>
          <w:sz w:val="23"/>
          <w:szCs w:val="23"/>
        </w:rPr>
        <w:t>Press</w:t>
      </w:r>
      <w:proofErr w:type="spellEnd"/>
      <w:r>
        <w:rPr>
          <w:color w:val="1A1A1A"/>
          <w:sz w:val="23"/>
          <w:szCs w:val="23"/>
        </w:rPr>
        <w:t>.</w:t>
      </w:r>
    </w:p>
    <w:p w14:paraId="586A1AD5" w14:textId="77777777" w:rsidR="00B52572" w:rsidRDefault="00000000">
      <w:pPr>
        <w:spacing w:after="140" w:line="340" w:lineRule="auto"/>
        <w:jc w:val="right"/>
        <w:rPr>
          <w:rFonts w:cs="Arial"/>
        </w:rPr>
      </w:pPr>
      <w:r>
        <w:rPr>
          <w:color w:val="1A1A1A"/>
          <w:sz w:val="23"/>
          <w:szCs w:val="23"/>
        </w:rPr>
        <w:t xml:space="preserve">9. </w:t>
      </w:r>
      <w:proofErr w:type="spellStart"/>
      <w:r>
        <w:rPr>
          <w:color w:val="1A1A1A"/>
          <w:sz w:val="23"/>
          <w:szCs w:val="23"/>
        </w:rPr>
        <w:t>Heidegger</w:t>
      </w:r>
      <w:proofErr w:type="spellEnd"/>
      <w:r>
        <w:rPr>
          <w:color w:val="1A1A1A"/>
          <w:sz w:val="23"/>
          <w:szCs w:val="23"/>
        </w:rPr>
        <w:t xml:space="preserve">, M. (1977).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Question</w:t>
      </w:r>
      <w:proofErr w:type="spellEnd"/>
      <w:r>
        <w:rPr>
          <w:color w:val="1A1A1A"/>
          <w:sz w:val="23"/>
          <w:szCs w:val="23"/>
        </w:rPr>
        <w:t xml:space="preserve"> </w:t>
      </w:r>
      <w:proofErr w:type="spellStart"/>
      <w:r>
        <w:rPr>
          <w:color w:val="1A1A1A"/>
          <w:sz w:val="23"/>
          <w:szCs w:val="23"/>
        </w:rPr>
        <w:t>Concerning</w:t>
      </w:r>
      <w:proofErr w:type="spellEnd"/>
      <w:r>
        <w:rPr>
          <w:color w:val="1A1A1A"/>
          <w:sz w:val="23"/>
          <w:szCs w:val="23"/>
        </w:rPr>
        <w:t xml:space="preserve"> </w:t>
      </w:r>
      <w:proofErr w:type="spellStart"/>
      <w:r>
        <w:rPr>
          <w:color w:val="1A1A1A"/>
          <w:sz w:val="23"/>
          <w:szCs w:val="23"/>
        </w:rPr>
        <w:t>Technology</w:t>
      </w:r>
      <w:proofErr w:type="spellEnd"/>
      <w:r>
        <w:rPr>
          <w:color w:val="1A1A1A"/>
          <w:sz w:val="23"/>
          <w:szCs w:val="23"/>
        </w:rPr>
        <w:t xml:space="preserve"> </w:t>
      </w:r>
      <w:proofErr w:type="spellStart"/>
      <w:r>
        <w:rPr>
          <w:color w:val="1A1A1A"/>
          <w:sz w:val="23"/>
          <w:szCs w:val="23"/>
        </w:rPr>
        <w:t>and</w:t>
      </w:r>
      <w:proofErr w:type="spellEnd"/>
      <w:r>
        <w:rPr>
          <w:color w:val="1A1A1A"/>
          <w:sz w:val="23"/>
          <w:szCs w:val="23"/>
        </w:rPr>
        <w:t xml:space="preserve"> </w:t>
      </w:r>
      <w:proofErr w:type="spellStart"/>
      <w:r>
        <w:rPr>
          <w:color w:val="1A1A1A"/>
          <w:sz w:val="23"/>
          <w:szCs w:val="23"/>
        </w:rPr>
        <w:t>Other</w:t>
      </w:r>
      <w:proofErr w:type="spellEnd"/>
      <w:r>
        <w:rPr>
          <w:color w:val="1A1A1A"/>
          <w:sz w:val="23"/>
          <w:szCs w:val="23"/>
        </w:rPr>
        <w:t xml:space="preserve"> </w:t>
      </w:r>
      <w:proofErr w:type="spellStart"/>
      <w:r>
        <w:rPr>
          <w:color w:val="1A1A1A"/>
          <w:sz w:val="23"/>
          <w:szCs w:val="23"/>
        </w:rPr>
        <w:t>Essays</w:t>
      </w:r>
      <w:proofErr w:type="spellEnd"/>
      <w:r>
        <w:rPr>
          <w:color w:val="1A1A1A"/>
          <w:sz w:val="23"/>
          <w:szCs w:val="23"/>
        </w:rPr>
        <w:t xml:space="preserve"> (W. </w:t>
      </w:r>
      <w:proofErr w:type="spellStart"/>
      <w:r>
        <w:rPr>
          <w:color w:val="1A1A1A"/>
          <w:sz w:val="23"/>
          <w:szCs w:val="23"/>
        </w:rPr>
        <w:t>Lovitt</w:t>
      </w:r>
      <w:proofErr w:type="spellEnd"/>
      <w:r>
        <w:rPr>
          <w:color w:val="1A1A1A"/>
          <w:sz w:val="23"/>
          <w:szCs w:val="23"/>
        </w:rPr>
        <w:t xml:space="preserve">, </w:t>
      </w:r>
      <w:proofErr w:type="spellStart"/>
      <w:r>
        <w:rPr>
          <w:color w:val="1A1A1A"/>
          <w:sz w:val="23"/>
          <w:szCs w:val="23"/>
        </w:rPr>
        <w:t>Trans</w:t>
      </w:r>
      <w:proofErr w:type="spellEnd"/>
      <w:r>
        <w:rPr>
          <w:color w:val="1A1A1A"/>
          <w:sz w:val="23"/>
          <w:szCs w:val="23"/>
        </w:rPr>
        <w:t xml:space="preserve">.). </w:t>
      </w:r>
      <w:proofErr w:type="spellStart"/>
      <w:r>
        <w:rPr>
          <w:color w:val="1A1A1A"/>
          <w:sz w:val="23"/>
          <w:szCs w:val="23"/>
        </w:rPr>
        <w:t>New</w:t>
      </w:r>
      <w:proofErr w:type="spellEnd"/>
      <w:r>
        <w:rPr>
          <w:color w:val="1A1A1A"/>
          <w:sz w:val="23"/>
          <w:szCs w:val="23"/>
        </w:rPr>
        <w:t xml:space="preserve"> </w:t>
      </w:r>
      <w:proofErr w:type="spellStart"/>
      <w:r>
        <w:rPr>
          <w:color w:val="1A1A1A"/>
          <w:sz w:val="23"/>
          <w:szCs w:val="23"/>
        </w:rPr>
        <w:t>York</w:t>
      </w:r>
      <w:proofErr w:type="spellEnd"/>
      <w:r>
        <w:rPr>
          <w:color w:val="1A1A1A"/>
          <w:sz w:val="23"/>
          <w:szCs w:val="23"/>
        </w:rPr>
        <w:t xml:space="preserve">: </w:t>
      </w:r>
      <w:proofErr w:type="spellStart"/>
      <w:r>
        <w:rPr>
          <w:color w:val="1A1A1A"/>
          <w:sz w:val="23"/>
          <w:szCs w:val="23"/>
        </w:rPr>
        <w:t>Harper</w:t>
      </w:r>
      <w:proofErr w:type="spellEnd"/>
      <w:r>
        <w:rPr>
          <w:color w:val="1A1A1A"/>
          <w:sz w:val="23"/>
          <w:szCs w:val="23"/>
        </w:rPr>
        <w:t xml:space="preserve"> &amp; </w:t>
      </w:r>
      <w:proofErr w:type="spellStart"/>
      <w:r>
        <w:rPr>
          <w:color w:val="1A1A1A"/>
          <w:sz w:val="23"/>
          <w:szCs w:val="23"/>
        </w:rPr>
        <w:t>Row</w:t>
      </w:r>
      <w:proofErr w:type="spellEnd"/>
      <w:r>
        <w:rPr>
          <w:color w:val="1A1A1A"/>
          <w:sz w:val="23"/>
          <w:szCs w:val="23"/>
        </w:rPr>
        <w:t>.</w:t>
      </w:r>
    </w:p>
    <w:p w14:paraId="79944AC5" w14:textId="77777777" w:rsidR="00B52572" w:rsidRDefault="00000000">
      <w:pPr>
        <w:pStyle w:val="2"/>
        <w:bidi/>
        <w:spacing w:before="360" w:after="200"/>
        <w:jc w:val="right"/>
        <w:rPr>
          <w:rFonts w:cs="Arial"/>
        </w:rPr>
      </w:pPr>
      <w:r>
        <w:rPr>
          <w:b/>
          <w:bCs/>
          <w:color w:val="0F6B6B"/>
          <w:sz w:val="28"/>
          <w:szCs w:val="28"/>
        </w:rPr>
        <w:t>ثالثاً: مراجع في نقد الحداثة والعولمة</w:t>
      </w:r>
    </w:p>
    <w:p w14:paraId="49056F43" w14:textId="77777777" w:rsidR="00B52572" w:rsidRDefault="00000000">
      <w:pPr>
        <w:spacing w:after="140" w:line="340" w:lineRule="auto"/>
        <w:jc w:val="right"/>
        <w:rPr>
          <w:rFonts w:cs="Arial"/>
        </w:rPr>
      </w:pPr>
      <w:r>
        <w:rPr>
          <w:color w:val="1A1A1A"/>
          <w:sz w:val="23"/>
          <w:szCs w:val="23"/>
        </w:rPr>
        <w:t xml:space="preserve">10. </w:t>
      </w:r>
      <w:proofErr w:type="spellStart"/>
      <w:r>
        <w:rPr>
          <w:color w:val="1A1A1A"/>
          <w:sz w:val="23"/>
          <w:szCs w:val="23"/>
        </w:rPr>
        <w:t>Said</w:t>
      </w:r>
      <w:proofErr w:type="spellEnd"/>
      <w:r>
        <w:rPr>
          <w:color w:val="1A1A1A"/>
          <w:sz w:val="23"/>
          <w:szCs w:val="23"/>
        </w:rPr>
        <w:t xml:space="preserve">, E. W. (1978). </w:t>
      </w:r>
      <w:proofErr w:type="spellStart"/>
      <w:r>
        <w:rPr>
          <w:color w:val="1A1A1A"/>
          <w:sz w:val="23"/>
          <w:szCs w:val="23"/>
        </w:rPr>
        <w:t>Orientalism</w:t>
      </w:r>
      <w:proofErr w:type="spellEnd"/>
      <w:r>
        <w:rPr>
          <w:color w:val="1A1A1A"/>
          <w:sz w:val="23"/>
          <w:szCs w:val="23"/>
        </w:rPr>
        <w:t xml:space="preserve">. </w:t>
      </w:r>
      <w:proofErr w:type="spellStart"/>
      <w:r>
        <w:rPr>
          <w:color w:val="1A1A1A"/>
          <w:sz w:val="23"/>
          <w:szCs w:val="23"/>
        </w:rPr>
        <w:t>New</w:t>
      </w:r>
      <w:proofErr w:type="spellEnd"/>
      <w:r>
        <w:rPr>
          <w:color w:val="1A1A1A"/>
          <w:sz w:val="23"/>
          <w:szCs w:val="23"/>
        </w:rPr>
        <w:t xml:space="preserve"> </w:t>
      </w:r>
      <w:proofErr w:type="spellStart"/>
      <w:r>
        <w:rPr>
          <w:color w:val="1A1A1A"/>
          <w:sz w:val="23"/>
          <w:szCs w:val="23"/>
        </w:rPr>
        <w:t>York</w:t>
      </w:r>
      <w:proofErr w:type="spellEnd"/>
      <w:r>
        <w:rPr>
          <w:color w:val="1A1A1A"/>
          <w:sz w:val="23"/>
          <w:szCs w:val="23"/>
        </w:rPr>
        <w:t xml:space="preserve">: </w:t>
      </w:r>
      <w:proofErr w:type="spellStart"/>
      <w:r>
        <w:rPr>
          <w:color w:val="1A1A1A"/>
          <w:sz w:val="23"/>
          <w:szCs w:val="23"/>
        </w:rPr>
        <w:t>Pantheon</w:t>
      </w:r>
      <w:proofErr w:type="spellEnd"/>
      <w:r>
        <w:rPr>
          <w:color w:val="1A1A1A"/>
          <w:sz w:val="23"/>
          <w:szCs w:val="23"/>
        </w:rPr>
        <w:t xml:space="preserve"> </w:t>
      </w:r>
      <w:proofErr w:type="spellStart"/>
      <w:r>
        <w:rPr>
          <w:color w:val="1A1A1A"/>
          <w:sz w:val="23"/>
          <w:szCs w:val="23"/>
        </w:rPr>
        <w:t>Books</w:t>
      </w:r>
      <w:proofErr w:type="spellEnd"/>
      <w:r>
        <w:rPr>
          <w:color w:val="1A1A1A"/>
          <w:sz w:val="23"/>
          <w:szCs w:val="23"/>
        </w:rPr>
        <w:t>.</w:t>
      </w:r>
    </w:p>
    <w:p w14:paraId="708A3561" w14:textId="77777777" w:rsidR="00B52572" w:rsidRDefault="00000000">
      <w:pPr>
        <w:spacing w:after="140" w:line="340" w:lineRule="auto"/>
        <w:jc w:val="right"/>
        <w:rPr>
          <w:rFonts w:cs="Arial"/>
        </w:rPr>
      </w:pPr>
      <w:r>
        <w:rPr>
          <w:color w:val="1A1A1A"/>
          <w:sz w:val="23"/>
          <w:szCs w:val="23"/>
        </w:rPr>
        <w:t xml:space="preserve">11. </w:t>
      </w:r>
      <w:proofErr w:type="spellStart"/>
      <w:r>
        <w:rPr>
          <w:color w:val="1A1A1A"/>
          <w:sz w:val="23"/>
          <w:szCs w:val="23"/>
        </w:rPr>
        <w:t>Zuboff</w:t>
      </w:r>
      <w:proofErr w:type="spellEnd"/>
      <w:r>
        <w:rPr>
          <w:color w:val="1A1A1A"/>
          <w:sz w:val="23"/>
          <w:szCs w:val="23"/>
        </w:rPr>
        <w:t xml:space="preserve">, S. (2019).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Age</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Surveillance</w:t>
      </w:r>
      <w:proofErr w:type="spellEnd"/>
      <w:r>
        <w:rPr>
          <w:color w:val="1A1A1A"/>
          <w:sz w:val="23"/>
          <w:szCs w:val="23"/>
        </w:rPr>
        <w:t xml:space="preserve"> </w:t>
      </w:r>
      <w:proofErr w:type="spellStart"/>
      <w:r>
        <w:rPr>
          <w:color w:val="1A1A1A"/>
          <w:sz w:val="23"/>
          <w:szCs w:val="23"/>
        </w:rPr>
        <w:t>Capitalism</w:t>
      </w:r>
      <w:proofErr w:type="spellEnd"/>
      <w:r>
        <w:rPr>
          <w:color w:val="1A1A1A"/>
          <w:sz w:val="23"/>
          <w:szCs w:val="23"/>
        </w:rPr>
        <w:t xml:space="preserve">: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Fight</w:t>
      </w:r>
      <w:proofErr w:type="spellEnd"/>
      <w:r>
        <w:rPr>
          <w:color w:val="1A1A1A"/>
          <w:sz w:val="23"/>
          <w:szCs w:val="23"/>
        </w:rPr>
        <w:t xml:space="preserve"> </w:t>
      </w:r>
      <w:proofErr w:type="spellStart"/>
      <w:r>
        <w:rPr>
          <w:color w:val="1A1A1A"/>
          <w:sz w:val="23"/>
          <w:szCs w:val="23"/>
        </w:rPr>
        <w:t>for</w:t>
      </w:r>
      <w:proofErr w:type="spellEnd"/>
      <w:r>
        <w:rPr>
          <w:color w:val="1A1A1A"/>
          <w:sz w:val="23"/>
          <w:szCs w:val="23"/>
        </w:rPr>
        <w:t xml:space="preserve"> a </w:t>
      </w:r>
      <w:proofErr w:type="spellStart"/>
      <w:r>
        <w:rPr>
          <w:color w:val="1A1A1A"/>
          <w:sz w:val="23"/>
          <w:szCs w:val="23"/>
        </w:rPr>
        <w:t>Human</w:t>
      </w:r>
      <w:proofErr w:type="spellEnd"/>
      <w:r>
        <w:rPr>
          <w:color w:val="1A1A1A"/>
          <w:sz w:val="23"/>
          <w:szCs w:val="23"/>
        </w:rPr>
        <w:t xml:space="preserve"> </w:t>
      </w:r>
      <w:proofErr w:type="spellStart"/>
      <w:r>
        <w:rPr>
          <w:color w:val="1A1A1A"/>
          <w:sz w:val="23"/>
          <w:szCs w:val="23"/>
        </w:rPr>
        <w:t>Future</w:t>
      </w:r>
      <w:proofErr w:type="spellEnd"/>
      <w:r>
        <w:rPr>
          <w:color w:val="1A1A1A"/>
          <w:sz w:val="23"/>
          <w:szCs w:val="23"/>
        </w:rPr>
        <w:t xml:space="preserve"> </w:t>
      </w:r>
      <w:proofErr w:type="spellStart"/>
      <w:r>
        <w:rPr>
          <w:color w:val="1A1A1A"/>
          <w:sz w:val="23"/>
          <w:szCs w:val="23"/>
        </w:rPr>
        <w:t>at</w:t>
      </w:r>
      <w:proofErr w:type="spellEnd"/>
      <w:r>
        <w:rPr>
          <w:color w:val="1A1A1A"/>
          <w:sz w:val="23"/>
          <w:szCs w:val="23"/>
        </w:rPr>
        <w:t xml:space="preserve"> </w:t>
      </w:r>
      <w:proofErr w:type="spellStart"/>
      <w:r>
        <w:rPr>
          <w:color w:val="1A1A1A"/>
          <w:sz w:val="23"/>
          <w:szCs w:val="23"/>
        </w:rPr>
        <w:t>the</w:t>
      </w:r>
      <w:proofErr w:type="spellEnd"/>
      <w:r>
        <w:rPr>
          <w:color w:val="1A1A1A"/>
          <w:sz w:val="23"/>
          <w:szCs w:val="23"/>
        </w:rPr>
        <w:t xml:space="preserve"> </w:t>
      </w:r>
      <w:proofErr w:type="spellStart"/>
      <w:r>
        <w:rPr>
          <w:color w:val="1A1A1A"/>
          <w:sz w:val="23"/>
          <w:szCs w:val="23"/>
        </w:rPr>
        <w:t>New</w:t>
      </w:r>
      <w:proofErr w:type="spellEnd"/>
      <w:r>
        <w:rPr>
          <w:color w:val="1A1A1A"/>
          <w:sz w:val="23"/>
          <w:szCs w:val="23"/>
        </w:rPr>
        <w:t xml:space="preserve"> </w:t>
      </w:r>
      <w:proofErr w:type="spellStart"/>
      <w:r>
        <w:rPr>
          <w:color w:val="1A1A1A"/>
          <w:sz w:val="23"/>
          <w:szCs w:val="23"/>
        </w:rPr>
        <w:t>Frontier</w:t>
      </w:r>
      <w:proofErr w:type="spellEnd"/>
      <w:r>
        <w:rPr>
          <w:color w:val="1A1A1A"/>
          <w:sz w:val="23"/>
          <w:szCs w:val="23"/>
        </w:rPr>
        <w:t xml:space="preserve"> </w:t>
      </w:r>
      <w:proofErr w:type="spellStart"/>
      <w:r>
        <w:rPr>
          <w:color w:val="1A1A1A"/>
          <w:sz w:val="23"/>
          <w:szCs w:val="23"/>
        </w:rPr>
        <w:t>of</w:t>
      </w:r>
      <w:proofErr w:type="spellEnd"/>
      <w:r>
        <w:rPr>
          <w:color w:val="1A1A1A"/>
          <w:sz w:val="23"/>
          <w:szCs w:val="23"/>
        </w:rPr>
        <w:t xml:space="preserve"> </w:t>
      </w:r>
      <w:proofErr w:type="spellStart"/>
      <w:r>
        <w:rPr>
          <w:color w:val="1A1A1A"/>
          <w:sz w:val="23"/>
          <w:szCs w:val="23"/>
        </w:rPr>
        <w:t>Power</w:t>
      </w:r>
      <w:proofErr w:type="spellEnd"/>
      <w:r>
        <w:rPr>
          <w:color w:val="1A1A1A"/>
          <w:sz w:val="23"/>
          <w:szCs w:val="23"/>
        </w:rPr>
        <w:t xml:space="preserve">. </w:t>
      </w:r>
      <w:proofErr w:type="spellStart"/>
      <w:r>
        <w:rPr>
          <w:color w:val="1A1A1A"/>
          <w:sz w:val="23"/>
          <w:szCs w:val="23"/>
        </w:rPr>
        <w:t>New</w:t>
      </w:r>
      <w:proofErr w:type="spellEnd"/>
      <w:r>
        <w:rPr>
          <w:color w:val="1A1A1A"/>
          <w:sz w:val="23"/>
          <w:szCs w:val="23"/>
        </w:rPr>
        <w:t xml:space="preserve"> </w:t>
      </w:r>
      <w:proofErr w:type="spellStart"/>
      <w:r>
        <w:rPr>
          <w:color w:val="1A1A1A"/>
          <w:sz w:val="23"/>
          <w:szCs w:val="23"/>
        </w:rPr>
        <w:t>York</w:t>
      </w:r>
      <w:proofErr w:type="spellEnd"/>
      <w:r>
        <w:rPr>
          <w:color w:val="1A1A1A"/>
          <w:sz w:val="23"/>
          <w:szCs w:val="23"/>
        </w:rPr>
        <w:t xml:space="preserve">: </w:t>
      </w:r>
      <w:proofErr w:type="spellStart"/>
      <w:r>
        <w:rPr>
          <w:color w:val="1A1A1A"/>
          <w:sz w:val="23"/>
          <w:szCs w:val="23"/>
        </w:rPr>
        <w:t>PublicAffairs</w:t>
      </w:r>
      <w:proofErr w:type="spellEnd"/>
      <w:r>
        <w:rPr>
          <w:color w:val="1A1A1A"/>
          <w:sz w:val="23"/>
          <w:szCs w:val="23"/>
        </w:rPr>
        <w:t>.</w:t>
      </w:r>
    </w:p>
    <w:p w14:paraId="012EB47E" w14:textId="77777777" w:rsidR="00B52572" w:rsidRDefault="00000000">
      <w:pPr>
        <w:spacing w:after="140" w:line="340" w:lineRule="auto"/>
        <w:jc w:val="right"/>
        <w:rPr>
          <w:rFonts w:cs="Arial"/>
        </w:rPr>
      </w:pPr>
      <w:r>
        <w:rPr>
          <w:color w:val="1A1A1A"/>
          <w:sz w:val="23"/>
          <w:szCs w:val="23"/>
        </w:rPr>
        <w:t>12. حلاق، وائل. (2013). الدولة المستحيلة: الإسلام والسياسة ومأزق الحداثة الأخلاقي. بيروت: الشبكة العربية للأبحاث والنشر.</w:t>
      </w:r>
    </w:p>
    <w:p w14:paraId="77CEE89D" w14:textId="77777777" w:rsidR="00B52572" w:rsidRDefault="00000000">
      <w:pPr>
        <w:pStyle w:val="2"/>
        <w:bidi/>
        <w:spacing w:before="360" w:after="200"/>
        <w:jc w:val="right"/>
        <w:rPr>
          <w:rFonts w:cs="Arial"/>
        </w:rPr>
      </w:pPr>
      <w:r>
        <w:rPr>
          <w:b/>
          <w:bCs/>
          <w:color w:val="0F6B6B"/>
          <w:sz w:val="28"/>
          <w:szCs w:val="28"/>
        </w:rPr>
        <w:t>رابعاً: مراجع في التراث الإسلامي وفلسفة العلم</w:t>
      </w:r>
    </w:p>
    <w:p w14:paraId="57BEBAA2" w14:textId="77777777" w:rsidR="00B52572" w:rsidRDefault="00000000">
      <w:pPr>
        <w:spacing w:after="140" w:line="340" w:lineRule="auto"/>
        <w:jc w:val="right"/>
        <w:rPr>
          <w:rFonts w:cs="Arial"/>
        </w:rPr>
      </w:pPr>
      <w:r>
        <w:rPr>
          <w:color w:val="1A1A1A"/>
          <w:sz w:val="23"/>
          <w:szCs w:val="23"/>
        </w:rPr>
        <w:t>13. القرآن الكريم.</w:t>
      </w:r>
    </w:p>
    <w:p w14:paraId="4B0AB7EF" w14:textId="77777777" w:rsidR="00B52572" w:rsidRDefault="00000000">
      <w:pPr>
        <w:spacing w:after="140" w:line="340" w:lineRule="auto"/>
        <w:jc w:val="right"/>
        <w:rPr>
          <w:rFonts w:cs="Arial"/>
        </w:rPr>
      </w:pPr>
      <w:r>
        <w:rPr>
          <w:color w:val="1A1A1A"/>
          <w:sz w:val="23"/>
          <w:szCs w:val="23"/>
        </w:rPr>
        <w:t>14. الغزالي، أبو حامد. (د.ت.). إحياء علوم الدين. بيروت: دار المعرفة.</w:t>
      </w:r>
    </w:p>
    <w:p w14:paraId="753F38EB" w14:textId="77777777" w:rsidR="00B52572" w:rsidRDefault="00000000">
      <w:pPr>
        <w:spacing w:after="140" w:line="340" w:lineRule="auto"/>
        <w:jc w:val="right"/>
        <w:rPr>
          <w:rFonts w:cs="Arial"/>
        </w:rPr>
      </w:pPr>
      <w:r>
        <w:rPr>
          <w:color w:val="1A1A1A"/>
          <w:sz w:val="23"/>
          <w:szCs w:val="23"/>
        </w:rPr>
        <w:t>15. ابن القيم الجوزية. (د.ت.). مدارج السالكين بين منازل إياك نعبد وإياك نستعين. تحقيق: محمد حامد الفقي. بيروت: دار الكتاب العربي.</w:t>
      </w:r>
    </w:p>
    <w:p w14:paraId="15777B32" w14:textId="77777777" w:rsidR="00B52572" w:rsidRDefault="00000000">
      <w:pPr>
        <w:spacing w:after="140" w:line="340" w:lineRule="auto"/>
        <w:jc w:val="right"/>
        <w:rPr>
          <w:rFonts w:cs="Arial"/>
        </w:rPr>
      </w:pPr>
      <w:r>
        <w:rPr>
          <w:color w:val="1A1A1A"/>
          <w:sz w:val="23"/>
          <w:szCs w:val="23"/>
        </w:rPr>
        <w:t>16. الفارابي، أبو نصر. (د.ت.). إحصاء العلوم. بيروت: دار الهلال.</w:t>
      </w:r>
    </w:p>
    <w:sectPr w:rsidR="00B52572">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2E4BB" w14:textId="77777777" w:rsidR="00380157" w:rsidRDefault="00380157">
      <w:pPr>
        <w:rPr>
          <w:rFonts w:cs="Arial"/>
        </w:rPr>
      </w:pPr>
      <w:r>
        <w:separator/>
      </w:r>
    </w:p>
  </w:endnote>
  <w:endnote w:type="continuationSeparator" w:id="0">
    <w:p w14:paraId="4D7BC1D0" w14:textId="77777777" w:rsidR="00380157" w:rsidRDefault="00380157">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E320" w14:textId="77777777" w:rsidR="00B52572" w:rsidRDefault="00000000">
    <w:pPr>
      <w:jc w:val="center"/>
      <w:rPr>
        <w:rFonts w:cs="Arial"/>
      </w:rP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428CA" w14:textId="77777777" w:rsidR="00380157" w:rsidRDefault="00380157">
      <w:pPr>
        <w:rPr>
          <w:rFonts w:cs="Arial"/>
        </w:rPr>
      </w:pPr>
      <w:r>
        <w:separator/>
      </w:r>
    </w:p>
  </w:footnote>
  <w:footnote w:type="continuationSeparator" w:id="0">
    <w:p w14:paraId="5930BDDF" w14:textId="77777777" w:rsidR="00380157" w:rsidRDefault="00380157">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F202" w14:textId="77777777" w:rsidR="00B52572" w:rsidRDefault="00000000">
    <w:pPr>
      <w:pBdr>
        <w:bottom w:val="single" w:sz="6" w:space="4" w:color="B8912F"/>
      </w:pBdr>
      <w:jc w:val="center"/>
      <w:rPr>
        <w:rFonts w:cs="Arial"/>
      </w:rPr>
    </w:pPr>
    <w:r>
      <w:rPr>
        <w:i/>
        <w:iCs/>
        <w:color w:val="0F6B6B"/>
        <w:sz w:val="18"/>
        <w:szCs w:val="18"/>
      </w:rPr>
      <w:t>علم النفس الاستخلافي — 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7351"/>
    <w:multiLevelType w:val="hybridMultilevel"/>
    <w:tmpl w:val="FFFFFFFF"/>
    <w:lvl w:ilvl="0" w:tplc="93A8F662">
      <w:start w:val="1"/>
      <w:numFmt w:val="bullet"/>
      <w:lvlText w:val="●"/>
      <w:lvlJc w:val="left"/>
      <w:pPr>
        <w:ind w:left="720" w:hanging="360"/>
      </w:pPr>
    </w:lvl>
    <w:lvl w:ilvl="1" w:tplc="9270467A">
      <w:start w:val="1"/>
      <w:numFmt w:val="bullet"/>
      <w:lvlText w:val="○"/>
      <w:lvlJc w:val="left"/>
      <w:pPr>
        <w:ind w:left="1440" w:hanging="360"/>
      </w:pPr>
    </w:lvl>
    <w:lvl w:ilvl="2" w:tplc="4DCCF7EC">
      <w:start w:val="1"/>
      <w:numFmt w:val="bullet"/>
      <w:lvlText w:val="■"/>
      <w:lvlJc w:val="left"/>
      <w:pPr>
        <w:ind w:left="2160" w:hanging="360"/>
      </w:pPr>
    </w:lvl>
    <w:lvl w:ilvl="3" w:tplc="E488E642">
      <w:start w:val="1"/>
      <w:numFmt w:val="bullet"/>
      <w:lvlText w:val="●"/>
      <w:lvlJc w:val="left"/>
      <w:pPr>
        <w:ind w:left="2880" w:hanging="360"/>
      </w:pPr>
    </w:lvl>
    <w:lvl w:ilvl="4" w:tplc="029EE94A">
      <w:start w:val="1"/>
      <w:numFmt w:val="bullet"/>
      <w:lvlText w:val="○"/>
      <w:lvlJc w:val="left"/>
      <w:pPr>
        <w:ind w:left="3600" w:hanging="360"/>
      </w:pPr>
    </w:lvl>
    <w:lvl w:ilvl="5" w:tplc="46408EB6">
      <w:start w:val="1"/>
      <w:numFmt w:val="bullet"/>
      <w:lvlText w:val="■"/>
      <w:lvlJc w:val="left"/>
      <w:pPr>
        <w:ind w:left="4320" w:hanging="360"/>
      </w:pPr>
    </w:lvl>
    <w:lvl w:ilvl="6" w:tplc="6478DD56">
      <w:start w:val="1"/>
      <w:numFmt w:val="bullet"/>
      <w:lvlText w:val="●"/>
      <w:lvlJc w:val="left"/>
      <w:pPr>
        <w:ind w:left="5040" w:hanging="360"/>
      </w:pPr>
    </w:lvl>
    <w:lvl w:ilvl="7" w:tplc="E7A2F9A0">
      <w:start w:val="1"/>
      <w:numFmt w:val="bullet"/>
      <w:lvlText w:val="●"/>
      <w:lvlJc w:val="left"/>
      <w:pPr>
        <w:ind w:left="5760" w:hanging="360"/>
      </w:pPr>
    </w:lvl>
    <w:lvl w:ilvl="8" w:tplc="057CD8AE">
      <w:start w:val="1"/>
      <w:numFmt w:val="bullet"/>
      <w:lvlText w:val="●"/>
      <w:lvlJc w:val="left"/>
      <w:pPr>
        <w:ind w:left="6480" w:hanging="360"/>
      </w:pPr>
    </w:lvl>
  </w:abstractNum>
  <w:num w:numId="1" w16cid:durableId="3611313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572"/>
    <w:rsid w:val="00100192"/>
    <w:rsid w:val="001764C5"/>
    <w:rsid w:val="002F0585"/>
    <w:rsid w:val="00380157"/>
    <w:rsid w:val="00563679"/>
    <w:rsid w:val="00572293"/>
    <w:rsid w:val="00736D9C"/>
    <w:rsid w:val="007D6F8D"/>
    <w:rsid w:val="0090068E"/>
    <w:rsid w:val="00A35AF6"/>
    <w:rsid w:val="00A53632"/>
    <w:rsid w:val="00AB2E4A"/>
    <w:rsid w:val="00B52572"/>
    <w:rsid w:val="00C0289B"/>
    <w:rsid w:val="00C02AE2"/>
    <w:rsid w:val="00D91AFD"/>
    <w:rsid w:val="00E46907"/>
    <w:rsid w:val="00F7775B"/>
    <w:rsid w:val="00FC4A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B7FBE00"/>
  <w15:docId w15:val="{B07334BF-83A3-A34F-A59F-E32CCE80F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4148</Words>
  <Characters>23649</Characters>
  <Application>Microsoft Office Word</Application>
  <DocSecurity>0</DocSecurity>
  <Lines>197</Lines>
  <Paragraphs>55</Paragraphs>
  <ScaleCrop>false</ScaleCrop>
  <Company/>
  <LinksUpToDate>false</LinksUpToDate>
  <CharactersWithSpaces>27742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بين إدارة الواقع وهندسة الوجود</dc:title>
  <dc:creator>Zaraa Psychology Research Series</dc:creator>
  <cp:lastModifiedBy>zaraaabdesslem@gmail.com</cp:lastModifiedBy>
  <cp:revision>16</cp:revision>
  <dcterms:created xsi:type="dcterms:W3CDTF">2026-07-15T08:07:00Z</dcterms:created>
  <dcterms:modified xsi:type="dcterms:W3CDTF">2026-07-15T11:51:00Z</dcterms:modified>
</cp:coreProperties>
</file>