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8269DB" w14:textId="77777777" w:rsidR="0045635D" w:rsidRDefault="00000000">
      <w:pPr>
        <w:spacing w:before="800" w:after="200"/>
        <w:jc w:val="center"/>
      </w:pPr>
      <w:r>
        <w:rPr>
          <w:rFonts w:hint="cs"/>
          <w:color w:val="1D6A72"/>
          <w:sz w:val="26"/>
          <w:szCs w:val="26"/>
          <w:lang w:bidi="ar-EG"/>
        </w:rPr>
        <w:t>ب</w:t>
      </w:r>
      <w:r>
        <w:rPr>
          <w:color w:val="1D6A72"/>
          <w:sz w:val="26"/>
          <w:szCs w:val="26"/>
        </w:rPr>
        <w:t>حث أكاديمي محكَّم</w:t>
      </w:r>
    </w:p>
    <w:p w14:paraId="4B23ED3F" w14:textId="77777777" w:rsidR="0045635D" w:rsidRDefault="00000000">
      <w:pPr>
        <w:spacing w:before="100" w:after="100"/>
        <w:jc w:val="center"/>
      </w:pPr>
      <w:r>
        <w:rPr>
          <w:b/>
          <w:bCs/>
          <w:color w:val="1B3A5C"/>
          <w:sz w:val="44"/>
          <w:szCs w:val="44"/>
        </w:rPr>
        <w:t>من «ترميم الدستور» إلى «هندسة الدولة الاستخلافية»</w:t>
      </w:r>
    </w:p>
    <w:p w14:paraId="3C5158F0" w14:textId="50219CDE" w:rsidR="0045635D" w:rsidRDefault="00000000">
      <w:pPr>
        <w:spacing w:before="80" w:after="80"/>
        <w:jc w:val="center"/>
      </w:pPr>
      <w:r>
        <w:rPr>
          <w:color w:val="1D6A72"/>
          <w:sz w:val="28"/>
          <w:szCs w:val="28"/>
        </w:rPr>
        <w:t xml:space="preserve">إشكالية تطبيق الشريعة ومنظومة الاجتهاد في ضوء الأطروحة الاستخلافية </w:t>
      </w:r>
    </w:p>
    <w:p w14:paraId="17CDBADE" w14:textId="77777777" w:rsidR="0045635D" w:rsidRDefault="0045635D">
      <w:pPr>
        <w:pBdr>
          <w:bottom w:val="single" w:sz="6" w:space="1" w:color="B8860B"/>
        </w:pBdr>
        <w:spacing w:before="160" w:after="160"/>
      </w:pPr>
    </w:p>
    <w:p w14:paraId="4A869BA8" w14:textId="77777777" w:rsidR="0045635D" w:rsidRDefault="00000000">
      <w:pPr>
        <w:spacing w:before="120" w:after="60"/>
        <w:jc w:val="center"/>
      </w:pPr>
      <w:r>
        <w:rPr>
          <w:color w:val="666666"/>
          <w:sz w:val="22"/>
          <w:szCs w:val="22"/>
        </w:rPr>
        <w:t>الطبعة الموسّعة والمنقّحة — 2026م</w:t>
      </w:r>
    </w:p>
    <w:p w14:paraId="290E6109" w14:textId="77777777" w:rsidR="0045635D" w:rsidRDefault="00000000">
      <w:r>
        <w:br w:type="page"/>
      </w:r>
    </w:p>
    <w:p w14:paraId="53D9B537" w14:textId="4D53529A" w:rsidR="0014725D" w:rsidRDefault="0048382E">
      <w:pPr>
        <w:spacing w:before="200" w:after="200"/>
        <w:jc w:val="center"/>
        <w:rPr>
          <w:b/>
          <w:bCs/>
          <w:color w:val="1B3A5C"/>
          <w:sz w:val="32"/>
          <w:szCs w:val="32"/>
          <w:rtl/>
        </w:rPr>
      </w:pPr>
      <w:r>
        <w:rPr>
          <w:rFonts w:hint="cs"/>
          <w:b/>
          <w:bCs/>
          <w:color w:val="1B3A5C"/>
          <w:sz w:val="32"/>
          <w:szCs w:val="32"/>
          <w:rtl/>
        </w:rPr>
        <w:t xml:space="preserve">بقلم : عبد السلام الزراع </w:t>
      </w:r>
    </w:p>
    <w:p w14:paraId="27AD6A6A" w14:textId="3CDB34BE" w:rsidR="0045635D" w:rsidRDefault="00000000">
      <w:pPr>
        <w:spacing w:before="200" w:after="200"/>
        <w:jc w:val="center"/>
        <w:rPr>
          <w:rtl/>
        </w:rPr>
      </w:pPr>
      <w:r>
        <w:rPr>
          <w:b/>
          <w:bCs/>
          <w:color w:val="1B3A5C"/>
          <w:sz w:val="32"/>
          <w:szCs w:val="32"/>
        </w:rPr>
        <w:t>فهرس المحتويات</w:t>
      </w:r>
    </w:p>
    <w:p w14:paraId="453FFF2F" w14:textId="77777777" w:rsidR="00DB6059" w:rsidRDefault="0097215B" w:rsidP="00BB6489">
      <w:pPr>
        <w:pStyle w:val="1"/>
        <w:pageBreakBefore/>
        <w:bidi/>
        <w:rPr>
          <w:rtl/>
        </w:rPr>
      </w:pPr>
      <w:r>
        <w:t>الفصل الأول: تفكيك</w:t>
      </w:r>
    </w:p>
    <w:p w14:paraId="228FB51C" w14:textId="11A36AAC" w:rsidR="0097215B" w:rsidRDefault="0097215B" w:rsidP="00DB6059">
      <w:pPr>
        <w:pStyle w:val="1"/>
        <w:pageBreakBefore/>
        <w:bidi/>
        <w:rPr>
          <w:rtl/>
        </w:rPr>
      </w:pPr>
      <w:r>
        <w:t xml:space="preserve"> إشكالية «تطبيق الشريعة» في ضوء «الفصام الأخلاقي» للدولة الحديثة</w:t>
      </w:r>
    </w:p>
    <w:p w14:paraId="69BA30D4" w14:textId="77777777" w:rsidR="00194C4A" w:rsidRDefault="00194C4A" w:rsidP="00194C4A">
      <w:pPr>
        <w:pStyle w:val="1"/>
        <w:pageBreakBefore/>
        <w:bidi/>
      </w:pPr>
    </w:p>
    <w:sdt>
      <w:sdtPr>
        <w:rPr>
          <w:rtl/>
        </w:rPr>
        <w:alias w:val="فهرس المحتويات"/>
        <w:id w:val="1972548719"/>
      </w:sdtPr>
      <w:sdtContent>
        <w:p w14:paraId="42D83DAC" w14:textId="77777777" w:rsidR="0045635D" w:rsidRDefault="00000000">
          <w:r>
            <w:fldChar w:fldCharType="begin"/>
          </w:r>
          <w:r>
            <w:instrText>TOC \h \o "1-3"</w:instrText>
          </w:r>
          <w:r>
            <w:fldChar w:fldCharType="separate"/>
          </w:r>
        </w:p>
        <w:p w14:paraId="7CC2CF2A" w14:textId="77777777" w:rsidR="0045635D" w:rsidRDefault="00000000">
          <w:r>
            <w:fldChar w:fldCharType="end"/>
          </w:r>
        </w:p>
      </w:sdtContent>
    </w:sdt>
    <w:p w14:paraId="58927CBC" w14:textId="77777777" w:rsidR="0045635D" w:rsidRDefault="00000000">
      <w:r>
        <w:br w:type="page"/>
      </w:r>
    </w:p>
    <w:p w14:paraId="06C82984" w14:textId="77777777" w:rsidR="0045635D" w:rsidRDefault="00000000">
      <w:pPr>
        <w:spacing w:before="200" w:after="120"/>
        <w:jc w:val="center"/>
      </w:pPr>
      <w:r>
        <w:rPr>
          <w:b/>
          <w:bCs/>
          <w:color w:val="1B3A5C"/>
          <w:sz w:val="34"/>
          <w:szCs w:val="34"/>
        </w:rPr>
        <w:t>ملخص تنفيذي</w:t>
      </w:r>
    </w:p>
    <w:p w14:paraId="47ED7209" w14:textId="77777777" w:rsidR="0045635D" w:rsidRDefault="0045635D">
      <w:pPr>
        <w:pBdr>
          <w:bottom w:val="single" w:sz="6" w:space="1" w:color="1D6A72"/>
        </w:pBdr>
        <w:spacing w:before="160" w:after="160"/>
      </w:pPr>
    </w:p>
    <w:p w14:paraId="7B3CAF3D" w14:textId="77777777" w:rsidR="0045635D" w:rsidRDefault="00000000" w:rsidP="00A62A2A">
      <w:pPr>
        <w:spacing w:before="100" w:after="100" w:line="340" w:lineRule="auto"/>
      </w:pPr>
      <w:r>
        <w:rPr>
          <w:color w:val="1A1A2E"/>
        </w:rPr>
        <w:t>يتناول هذا البحث واحدة من أعمق الإشكاليات التي تواجه الفكر السياسي الإسلامي المعاصر، وهي إشكالية «تطبيق الشريعة في الدستور». وباستخدام الأدوات المنهجية التي تقدمها «الأطروحة الاستخلافية» للباحث عبد السلام الزراع، المستندة إلى مشروع وائل حلاق ونموذج «العلاج بحرث المصالحة التحويلية» (TLRT)، يجادل هذا البحث بأن المأزق لا يكمن في «كيفية» إدراج نصوص الشريعة في الدساتير الوضعية، بل في «الأنطولوجيا» نفسها: فالدولة الحديثة —بأسسها الفلسفية— تقوم على «سيادة الشعب» و«الحياد القيمي»، بينما تقوم الشريعة على «سيادة الإرادة الإلهية» و«المرجعية الأخلاقية».</w:t>
      </w:r>
    </w:p>
    <w:p w14:paraId="621BAD8C" w14:textId="328BB241" w:rsidR="0045635D" w:rsidRPr="001A6198" w:rsidRDefault="00000000" w:rsidP="001A6198">
      <w:pPr>
        <w:spacing w:before="100" w:after="100" w:line="340" w:lineRule="auto"/>
        <w:rPr>
          <w:color w:val="1A1A2E"/>
        </w:rPr>
      </w:pPr>
      <w:r>
        <w:rPr>
          <w:color w:val="1A1A2E"/>
        </w:rPr>
        <w:t>يقدم البحث خمسة محاور جديدة لم تُعالَج في الصياغة الأولى: (1) إشكالية التحقق من صحة الاجتهاد ومعيار الفصل بين الاجتهاد الصحيح والاستبداد الديني؛ (2) البنية المؤسسية للدولة الاستخلافية ونماذج مقارنة من الواقع؛ (3) جدل حلاق-الزراع: بين «استحالة الدولة الإسلامية» و«ضرورة التأسيس»؛ (4) التمييز التحليلي بين الفصام الأخلاقي السريري والمؤسسي؛ (5) حوار مع نظرية مارثا نوسباوم في القدرات كمرجع مقارن لمفهوم «الإحسان».</w:t>
      </w:r>
    </w:p>
    <w:p w14:paraId="5ADDAD66" w14:textId="77777777" w:rsidR="0045635D" w:rsidRDefault="00000000" w:rsidP="00A62A2A">
      <w:r>
        <w:br w:type="page"/>
      </w:r>
    </w:p>
    <w:p w14:paraId="0551FE38" w14:textId="77777777" w:rsidR="0045635D" w:rsidRDefault="00000000" w:rsidP="00A62A2A">
      <w:pPr>
        <w:pStyle w:val="1"/>
        <w:pageBreakBefore/>
        <w:bidi/>
      </w:pPr>
      <w:r>
        <w:t>مقدمة: المأزق الأنطولوجي — لماذا فشلت محاولات «أسلمة» الدستور؟</w:t>
      </w:r>
    </w:p>
    <w:p w14:paraId="35926DDB" w14:textId="77777777" w:rsidR="0045635D" w:rsidRDefault="00000000" w:rsidP="00A62A2A">
      <w:pPr>
        <w:spacing w:before="100" w:after="100" w:line="340" w:lineRule="auto"/>
      </w:pPr>
      <w:r>
        <w:rPr>
          <w:color w:val="1A1A2E"/>
        </w:rPr>
        <w:t>شهد العالم الإسلامي —منذ منتصف القرن العشرين— محاولات عديدة «لأسلمة» الدساتير والقوانين، عبر إدراج مواد تنص على أن «الشريعة الإسلامية مصدر رئيسي للتشريع»، أو عبر إنشاء هيئات رقابية للتأكد من «مطابقة» القوانين للشريعة. لكن هذه المحاولات —في معظمها— باءت بالفشل، ليس فقط لأسباب سياسية (مقاومة النخب العلمانية، ضغوط خارجية)، بل لأسباب «أنطولوجية» أعمق: فالدولة الحديثة —في جوهرها— تقوم على أسس فلسفية تتعارض تعارضاً جذرياً مع أسس «الشريعة».</w:t>
      </w:r>
    </w:p>
    <w:p w14:paraId="4D8D3749" w14:textId="7DFD8F72" w:rsidR="0045635D" w:rsidRDefault="00000000" w:rsidP="00A62A2A">
      <w:pPr>
        <w:spacing w:before="100" w:after="100" w:line="340" w:lineRule="auto"/>
      </w:pPr>
      <w:r>
        <w:rPr>
          <w:color w:val="1A1A2E"/>
        </w:rPr>
        <w:t>هذا البحث — ينطلق من هذه «الإشكالية الأنطولوجية» ليطرح رؤية بديلة انطلاقاً من أطروحة الزراع. إنه لا يسأل: «كيف نُدخل الشريعة في الدستور الحديث؟»، بل يسأل: «كيف نُؤسس دولة تقوم على مرجعية الوحي، وتستجيب لتحديات العصر، دون أن تقع في التناقض الوجودي الذي وقعت فيه المحاولات السابقة؟»، ومضيفاً: «وكيف نضمن ألا تتحول الهندسة الوجودية إلى استبداد ديني جديد؟»</w:t>
      </w:r>
    </w:p>
    <w:p w14:paraId="3D8EC55C" w14:textId="77777777" w:rsidR="0045635D" w:rsidRDefault="00000000" w:rsidP="00A62A2A">
      <w:pPr>
        <w:spacing w:before="100" w:after="100" w:line="340" w:lineRule="auto"/>
      </w:pPr>
      <w:r>
        <w:rPr>
          <w:color w:val="1A1A2E"/>
        </w:rPr>
        <w:t>تتوزع خطة البحث على أربعة فصول أصيلة وخمسة فصول موسّعة: يُفكّك الفصل الأول إشكالية تطبيق الشريعة في ضوء الفصام الأخلاقي؛ ويطرح الثاني نموذج الدولة الاستخلافية؛ ويُحلل الثالث منظومة الاجتهاد كبديل عن الجمود؛ ثم يُضيف البحث فصلاً جديداً حول مسألة التحقق من صحة الاجتهاد، وفصلاً حول البنية المؤسسية، وفصلاً حول جدل حلاق والزراع، وفصلاً حول مستويات الفصام الأخلاقي، وفصلاً أخيراً في الحوار مع نوسباوم.</w:t>
      </w:r>
    </w:p>
    <w:p w14:paraId="29362C18" w14:textId="77777777" w:rsidR="0045635D" w:rsidRDefault="00000000" w:rsidP="00A62A2A">
      <w:pPr>
        <w:pStyle w:val="1"/>
        <w:pageBreakBefore/>
        <w:bidi/>
      </w:pPr>
      <w:r>
        <w:t>الفصل الأول: تفكيك إشكالية «تطبيق الشريعة» في ضوء «الفصام الأخلاقي» للدولة الحديثة</w:t>
      </w:r>
    </w:p>
    <w:p w14:paraId="1E466E1C" w14:textId="77777777" w:rsidR="0045635D" w:rsidRDefault="00000000" w:rsidP="00A62A2A">
      <w:pPr>
        <w:pStyle w:val="2"/>
        <w:bidi/>
      </w:pPr>
      <w:r>
        <w:t>1.1 نقد الترميم السطحي: لماذا فشل التلفيق بين الشريعة والدولة الحديثة؟</w:t>
      </w:r>
    </w:p>
    <w:p w14:paraId="0EFAF666" w14:textId="028E9EF8" w:rsidR="0045635D" w:rsidRDefault="008C3BD6" w:rsidP="00A62A2A">
      <w:pPr>
        <w:spacing w:before="100" w:after="100" w:line="340" w:lineRule="auto"/>
      </w:pPr>
      <w:r>
        <w:rPr>
          <w:rFonts w:hint="cs"/>
          <w:color w:val="1A1A2E"/>
          <w:rtl/>
        </w:rPr>
        <w:t>ننتقد</w:t>
      </w:r>
      <w:r>
        <w:rPr>
          <w:color w:val="1A1A2E"/>
        </w:rPr>
        <w:t xml:space="preserve"> —بشكل جذري— المحاولات الإصلاحية التي تكتفي بـ«الترميم القانوني»؛ أي إدخال الشريعة في القوانين الوضعية دون تغيير «النفوس» و«البنى». هذا النقد —في منظورنا— هو «تشخيص» لـ«الفصام الأخلاقي» (Moral Schizophrenia) الذي تعاني منه «الدولة الحديثة» في صيغتها «الإسلامية».</w:t>
      </w:r>
    </w:p>
    <w:p w14:paraId="4CCB72CF" w14:textId="77777777" w:rsidR="0045635D" w:rsidRDefault="00000000" w:rsidP="00A62A2A">
      <w:pPr>
        <w:spacing w:before="100" w:after="100" w:line="340" w:lineRule="auto"/>
      </w:pPr>
      <w:r>
        <w:rPr>
          <w:color w:val="1A1A2E"/>
        </w:rPr>
        <w:t>فالدولة الحديثة —بطبيعتها— تقوم على «سيادة الشعب» (Popular Sovereignty)؛ فالأمة —عبر ممثليها في البرلمان— هي «مصدر السلطات». بينما تقوم الشريعة على «سيادة الإرادة الإلهية»؛ فالله —سبحانه— هو «المشرع» الأوحد. والجمع بينهما في «إطار» الدولة الحديثة —كما يقول الزراع— يمثل «تناقضاً وجودياً» وليس مجرد «تحدٍّ تقني».</w:t>
      </w:r>
    </w:p>
    <w:p w14:paraId="34003B2D" w14:textId="77777777" w:rsidR="0045635D" w:rsidRDefault="00000000" w:rsidP="00A62A2A">
      <w:pPr>
        <w:pBdr>
          <w:right w:val="single" w:sz="18" w:space="10" w:color="B8860B"/>
        </w:pBdr>
        <w:spacing w:before="120" w:after="120" w:line="320" w:lineRule="auto"/>
        <w:ind w:left="720" w:right="720"/>
      </w:pPr>
      <w:r>
        <w:rPr>
          <w:i/>
          <w:iCs/>
          <w:color w:val="3A3A3A"/>
          <w:sz w:val="23"/>
          <w:szCs w:val="23"/>
        </w:rPr>
        <w:t>«إن محاولة إدراج الشريعة في الدستور الوضعي دون تغيير الأنطولوجيا الحاكمة هي كمحاولة تشغيل برنامج تشغيل إسلامي على معمارية كمبيوتر مختلفة جوهرياً: الشاشة قد تعرض الأيقونات، لكن القلب الحاسوبي يعمل بمنطق مغاير.» — الزراع، 2026</w:t>
      </w:r>
    </w:p>
    <w:p w14:paraId="07EB0E3C" w14:textId="77777777" w:rsidR="0045635D" w:rsidRDefault="00000000" w:rsidP="00A62A2A">
      <w:pPr>
        <w:pStyle w:val="2"/>
        <w:bidi/>
      </w:pPr>
      <w:r>
        <w:t>1.2 مأزق المرجعية: هل يمكن للشعب أن يُشرع باسم الله؟</w:t>
      </w:r>
    </w:p>
    <w:p w14:paraId="5F8DC1F3" w14:textId="156ABBF5" w:rsidR="0045635D" w:rsidRDefault="00000000" w:rsidP="00A62A2A">
      <w:pPr>
        <w:spacing w:before="100" w:after="100" w:line="340" w:lineRule="auto"/>
      </w:pPr>
      <w:r>
        <w:rPr>
          <w:color w:val="1A1A2E"/>
        </w:rPr>
        <w:t xml:space="preserve">السؤال الأعمق الذي </w:t>
      </w:r>
      <w:r w:rsidR="00BC7CDE">
        <w:rPr>
          <w:rFonts w:hint="cs"/>
          <w:color w:val="1A1A2E"/>
          <w:rtl/>
        </w:rPr>
        <w:t>نطرحه</w:t>
      </w:r>
      <w:r>
        <w:rPr>
          <w:color w:val="1A1A2E"/>
        </w:rPr>
        <w:t xml:space="preserve">  هو سؤال «المرجعية»: هل يمكن «لإرادة الشعب» (المتغيرة، المنقسمة، القابلة للخطأ) أن «تُعبر» عن «الإرادة الإلهية» (المطلقة، الثابتة، المعصومة)؟ وكيف «نضمن» أن «البرلمان» —الذي «ينتخبه» «الشعب»— لن «يُحرف» «الشريعة» وفق «أهوائه» و«مصالحه»؟</w:t>
      </w:r>
    </w:p>
    <w:p w14:paraId="5C568348" w14:textId="11D7FB39" w:rsidR="0045635D" w:rsidRDefault="00000000" w:rsidP="00A62A2A">
      <w:pPr>
        <w:spacing w:before="100" w:after="100" w:line="340" w:lineRule="auto"/>
      </w:pPr>
      <w:r>
        <w:rPr>
          <w:color w:val="1A1A2E"/>
        </w:rPr>
        <w:t xml:space="preserve">هذه «الإشكالية» —في منظور </w:t>
      </w:r>
      <w:proofErr w:type="spellStart"/>
      <w:r w:rsidR="00AB6EF9">
        <w:rPr>
          <w:rFonts w:hint="cs"/>
          <w:color w:val="1A1A2E"/>
          <w:rtl/>
        </w:rPr>
        <w:t>نا</w:t>
      </w:r>
      <w:proofErr w:type="spellEnd"/>
      <w:r>
        <w:rPr>
          <w:color w:val="1A1A2E"/>
        </w:rPr>
        <w:t>— لا «تُحل» عبر «آليات» «رقابية» (كمحكمة دستورية تراقب «مطابقة» القوانين للشريعة)، بل تتطلب «تغييراً جذرياً» في «مفهوم السيادة» نفسه. فـ«السيادة» —في «النموذج الاستخلافي»— ليست لـ«الشعب» ولا لـ«الحاكم»، بل لـ«المنظومة الأخلاقية» المستمدة من «الوحي».</w:t>
      </w:r>
    </w:p>
    <w:p w14:paraId="7DF75298" w14:textId="77777777" w:rsidR="0045635D" w:rsidRDefault="00000000" w:rsidP="00A62A2A">
      <w:pPr>
        <w:pStyle w:val="3"/>
        <w:bidi/>
      </w:pPr>
      <w:r>
        <w:t>جدول مقارن: الدولة الحديثة مقابل الدولة الاستخلافية في المرجعية التشريعية</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3120"/>
        <w:gridCol w:w="3120"/>
      </w:tblGrid>
      <w:tr w:rsidR="0045635D" w14:paraId="4D777D01" w14:textId="77777777">
        <w:tc>
          <w:tcPr>
            <w:tcW w:w="3120" w:type="dxa"/>
            <w:tcBorders>
              <w:top w:val="single" w:sz="4" w:space="0" w:color="AAAAAA"/>
              <w:left w:val="single" w:sz="4" w:space="0" w:color="AAAAAA"/>
              <w:bottom w:val="single" w:sz="4" w:space="0" w:color="AAAAAA"/>
              <w:right w:val="single" w:sz="4" w:space="0" w:color="AAAAAA"/>
            </w:tcBorders>
            <w:shd w:val="clear" w:color="auto" w:fill="1B3A5C"/>
            <w:tcMar>
              <w:top w:w="100" w:type="dxa"/>
              <w:left w:w="150" w:type="dxa"/>
              <w:bottom w:w="100" w:type="dxa"/>
              <w:right w:w="150" w:type="dxa"/>
            </w:tcMar>
            <w:vAlign w:val="center"/>
          </w:tcPr>
          <w:p w14:paraId="14289193" w14:textId="77777777" w:rsidR="0045635D" w:rsidRDefault="00000000" w:rsidP="00A62A2A">
            <w:r>
              <w:rPr>
                <w:b/>
                <w:bCs/>
                <w:color w:val="FFFFFF"/>
                <w:sz w:val="22"/>
                <w:szCs w:val="22"/>
              </w:rPr>
              <w:t>المعيار</w:t>
            </w:r>
          </w:p>
        </w:tc>
        <w:tc>
          <w:tcPr>
            <w:tcW w:w="3120" w:type="dxa"/>
            <w:tcBorders>
              <w:top w:val="single" w:sz="4" w:space="0" w:color="AAAAAA"/>
              <w:left w:val="single" w:sz="4" w:space="0" w:color="AAAAAA"/>
              <w:bottom w:val="single" w:sz="4" w:space="0" w:color="AAAAAA"/>
              <w:right w:val="single" w:sz="4" w:space="0" w:color="AAAAAA"/>
            </w:tcBorders>
            <w:shd w:val="clear" w:color="auto" w:fill="1B3A5C"/>
            <w:tcMar>
              <w:top w:w="100" w:type="dxa"/>
              <w:left w:w="150" w:type="dxa"/>
              <w:bottom w:w="100" w:type="dxa"/>
              <w:right w:w="150" w:type="dxa"/>
            </w:tcMar>
            <w:vAlign w:val="center"/>
          </w:tcPr>
          <w:p w14:paraId="73656DB8" w14:textId="77777777" w:rsidR="0045635D" w:rsidRDefault="00000000" w:rsidP="00A62A2A">
            <w:r>
              <w:rPr>
                <w:b/>
                <w:bCs/>
                <w:color w:val="FFFFFF"/>
                <w:sz w:val="22"/>
                <w:szCs w:val="22"/>
              </w:rPr>
              <w:t>الدولة الحديثة</w:t>
            </w:r>
          </w:p>
        </w:tc>
        <w:tc>
          <w:tcPr>
            <w:tcW w:w="3120" w:type="dxa"/>
            <w:tcBorders>
              <w:top w:val="single" w:sz="4" w:space="0" w:color="AAAAAA"/>
              <w:left w:val="single" w:sz="4" w:space="0" w:color="AAAAAA"/>
              <w:bottom w:val="single" w:sz="4" w:space="0" w:color="AAAAAA"/>
              <w:right w:val="single" w:sz="4" w:space="0" w:color="AAAAAA"/>
            </w:tcBorders>
            <w:shd w:val="clear" w:color="auto" w:fill="1B3A5C"/>
            <w:tcMar>
              <w:top w:w="100" w:type="dxa"/>
              <w:left w:w="150" w:type="dxa"/>
              <w:bottom w:w="100" w:type="dxa"/>
              <w:right w:w="150" w:type="dxa"/>
            </w:tcMar>
            <w:vAlign w:val="center"/>
          </w:tcPr>
          <w:p w14:paraId="152F2A53" w14:textId="77777777" w:rsidR="0045635D" w:rsidRDefault="00000000" w:rsidP="00A62A2A">
            <w:r>
              <w:rPr>
                <w:b/>
                <w:bCs/>
                <w:color w:val="FFFFFF"/>
                <w:sz w:val="22"/>
                <w:szCs w:val="22"/>
              </w:rPr>
              <w:t>الدولة الاستخلافية</w:t>
            </w:r>
          </w:p>
        </w:tc>
      </w:tr>
      <w:tr w:rsidR="0045635D" w14:paraId="195B6924" w14:textId="77777777">
        <w:tc>
          <w:tcPr>
            <w:tcW w:w="3120" w:type="dxa"/>
            <w:tcBorders>
              <w:top w:val="single" w:sz="4" w:space="0" w:color="AAAAAA"/>
              <w:left w:val="single" w:sz="4" w:space="0" w:color="AAAAAA"/>
              <w:bottom w:val="single" w:sz="4" w:space="0" w:color="AAAAAA"/>
              <w:right w:val="single" w:sz="4" w:space="0" w:color="AAAAAA"/>
            </w:tcBorders>
            <w:shd w:val="clear" w:color="auto" w:fill="1D6A72"/>
            <w:tcMar>
              <w:top w:w="100" w:type="dxa"/>
              <w:left w:w="150" w:type="dxa"/>
              <w:bottom w:w="100" w:type="dxa"/>
              <w:right w:w="150" w:type="dxa"/>
            </w:tcMar>
            <w:vAlign w:val="center"/>
          </w:tcPr>
          <w:p w14:paraId="7C037ACF" w14:textId="77777777" w:rsidR="0045635D" w:rsidRDefault="00000000" w:rsidP="00A62A2A">
            <w:r>
              <w:rPr>
                <w:b/>
                <w:bCs/>
                <w:color w:val="FFFFFF"/>
                <w:sz w:val="22"/>
                <w:szCs w:val="22"/>
              </w:rPr>
              <w:t>مصدر السيادة</w:t>
            </w:r>
          </w:p>
        </w:tc>
        <w:tc>
          <w:tcPr>
            <w:tcW w:w="3120" w:type="dxa"/>
            <w:tcBorders>
              <w:top w:val="single" w:sz="4" w:space="0" w:color="AAAAAA"/>
              <w:left w:val="single" w:sz="4" w:space="0" w:color="AAAAAA"/>
              <w:bottom w:val="single" w:sz="4" w:space="0" w:color="AAAAAA"/>
              <w:right w:val="single" w:sz="4" w:space="0" w:color="AAAAAA"/>
            </w:tcBorders>
            <w:shd w:val="clear" w:color="auto" w:fill="D0EBEC"/>
            <w:tcMar>
              <w:top w:w="80" w:type="dxa"/>
              <w:left w:w="150" w:type="dxa"/>
              <w:bottom w:w="80" w:type="dxa"/>
              <w:right w:w="150" w:type="dxa"/>
            </w:tcMar>
            <w:vAlign w:val="center"/>
          </w:tcPr>
          <w:p w14:paraId="2C8B432C" w14:textId="77777777" w:rsidR="0045635D" w:rsidRDefault="00000000" w:rsidP="00A62A2A">
            <w:r>
              <w:rPr>
                <w:color w:val="1A1A2E"/>
                <w:sz w:val="21"/>
                <w:szCs w:val="21"/>
              </w:rPr>
              <w:t>إرادة الشعب / العقد الاجتماعي</w:t>
            </w:r>
          </w:p>
        </w:tc>
        <w:tc>
          <w:tcPr>
            <w:tcW w:w="312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50" w:type="dxa"/>
              <w:bottom w:w="80" w:type="dxa"/>
              <w:right w:w="150" w:type="dxa"/>
            </w:tcMar>
            <w:vAlign w:val="center"/>
          </w:tcPr>
          <w:p w14:paraId="759CBF14" w14:textId="77777777" w:rsidR="0045635D" w:rsidRDefault="00000000" w:rsidP="00A62A2A">
            <w:r>
              <w:rPr>
                <w:color w:val="1A1A2E"/>
                <w:sz w:val="21"/>
                <w:szCs w:val="21"/>
              </w:rPr>
              <w:t>الإرادة الإلهية عبر الوحي</w:t>
            </w:r>
          </w:p>
        </w:tc>
      </w:tr>
      <w:tr w:rsidR="0045635D" w14:paraId="3178DA82" w14:textId="77777777">
        <w:tc>
          <w:tcPr>
            <w:tcW w:w="3120" w:type="dxa"/>
            <w:tcBorders>
              <w:top w:val="single" w:sz="4" w:space="0" w:color="AAAAAA"/>
              <w:left w:val="single" w:sz="4" w:space="0" w:color="AAAAAA"/>
              <w:bottom w:val="single" w:sz="4" w:space="0" w:color="AAAAAA"/>
              <w:right w:val="single" w:sz="4" w:space="0" w:color="AAAAAA"/>
            </w:tcBorders>
            <w:shd w:val="clear" w:color="auto" w:fill="1D6A72"/>
            <w:tcMar>
              <w:top w:w="100" w:type="dxa"/>
              <w:left w:w="150" w:type="dxa"/>
              <w:bottom w:w="100" w:type="dxa"/>
              <w:right w:w="150" w:type="dxa"/>
            </w:tcMar>
            <w:vAlign w:val="center"/>
          </w:tcPr>
          <w:p w14:paraId="62DD3BC1" w14:textId="77777777" w:rsidR="0045635D" w:rsidRDefault="00000000" w:rsidP="00A62A2A">
            <w:r>
              <w:rPr>
                <w:b/>
                <w:bCs/>
                <w:color w:val="FFFFFF"/>
                <w:sz w:val="22"/>
                <w:szCs w:val="22"/>
              </w:rPr>
              <w:t>وظيفة البرلمان</w:t>
            </w:r>
          </w:p>
        </w:tc>
        <w:tc>
          <w:tcPr>
            <w:tcW w:w="3120" w:type="dxa"/>
            <w:tcBorders>
              <w:top w:val="single" w:sz="4" w:space="0" w:color="AAAAAA"/>
              <w:left w:val="single" w:sz="4" w:space="0" w:color="AAAAAA"/>
              <w:bottom w:val="single" w:sz="4" w:space="0" w:color="AAAAAA"/>
              <w:right w:val="single" w:sz="4" w:space="0" w:color="AAAAAA"/>
            </w:tcBorders>
            <w:shd w:val="clear" w:color="auto" w:fill="D0EBEC"/>
            <w:tcMar>
              <w:top w:w="80" w:type="dxa"/>
              <w:left w:w="150" w:type="dxa"/>
              <w:bottom w:w="80" w:type="dxa"/>
              <w:right w:w="150" w:type="dxa"/>
            </w:tcMar>
            <w:vAlign w:val="center"/>
          </w:tcPr>
          <w:p w14:paraId="5C4A455C" w14:textId="77777777" w:rsidR="0045635D" w:rsidRDefault="00000000" w:rsidP="00A62A2A">
            <w:r>
              <w:rPr>
                <w:color w:val="1A1A2E"/>
                <w:sz w:val="21"/>
                <w:szCs w:val="21"/>
              </w:rPr>
              <w:t>إنتاج القانون من الإرادة الشعبية</w:t>
            </w:r>
          </w:p>
        </w:tc>
        <w:tc>
          <w:tcPr>
            <w:tcW w:w="312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50" w:type="dxa"/>
              <w:bottom w:w="80" w:type="dxa"/>
              <w:right w:w="150" w:type="dxa"/>
            </w:tcMar>
            <w:vAlign w:val="center"/>
          </w:tcPr>
          <w:p w14:paraId="2853C9FE" w14:textId="77777777" w:rsidR="0045635D" w:rsidRDefault="00000000" w:rsidP="00A62A2A">
            <w:r>
              <w:rPr>
                <w:color w:val="1A1A2E"/>
                <w:sz w:val="21"/>
                <w:szCs w:val="21"/>
              </w:rPr>
              <w:t>استنباط الحكم الشرعي / الاجتهاد</w:t>
            </w:r>
          </w:p>
        </w:tc>
      </w:tr>
      <w:tr w:rsidR="0045635D" w14:paraId="379CD5FA" w14:textId="77777777">
        <w:tc>
          <w:tcPr>
            <w:tcW w:w="3120" w:type="dxa"/>
            <w:tcBorders>
              <w:top w:val="single" w:sz="4" w:space="0" w:color="AAAAAA"/>
              <w:left w:val="single" w:sz="4" w:space="0" w:color="AAAAAA"/>
              <w:bottom w:val="single" w:sz="4" w:space="0" w:color="AAAAAA"/>
              <w:right w:val="single" w:sz="4" w:space="0" w:color="AAAAAA"/>
            </w:tcBorders>
            <w:shd w:val="clear" w:color="auto" w:fill="1D6A72"/>
            <w:tcMar>
              <w:top w:w="100" w:type="dxa"/>
              <w:left w:w="150" w:type="dxa"/>
              <w:bottom w:w="100" w:type="dxa"/>
              <w:right w:w="150" w:type="dxa"/>
            </w:tcMar>
            <w:vAlign w:val="center"/>
          </w:tcPr>
          <w:p w14:paraId="046380C7" w14:textId="77777777" w:rsidR="0045635D" w:rsidRDefault="00000000" w:rsidP="00A62A2A">
            <w:r>
              <w:rPr>
                <w:b/>
                <w:bCs/>
                <w:color w:val="FFFFFF"/>
                <w:sz w:val="22"/>
                <w:szCs w:val="22"/>
              </w:rPr>
              <w:t>معيار الصواب</w:t>
            </w:r>
          </w:p>
        </w:tc>
        <w:tc>
          <w:tcPr>
            <w:tcW w:w="3120" w:type="dxa"/>
            <w:tcBorders>
              <w:top w:val="single" w:sz="4" w:space="0" w:color="AAAAAA"/>
              <w:left w:val="single" w:sz="4" w:space="0" w:color="AAAAAA"/>
              <w:bottom w:val="single" w:sz="4" w:space="0" w:color="AAAAAA"/>
              <w:right w:val="single" w:sz="4" w:space="0" w:color="AAAAAA"/>
            </w:tcBorders>
            <w:shd w:val="clear" w:color="auto" w:fill="D0EBEC"/>
            <w:tcMar>
              <w:top w:w="80" w:type="dxa"/>
              <w:left w:w="150" w:type="dxa"/>
              <w:bottom w:w="80" w:type="dxa"/>
              <w:right w:w="150" w:type="dxa"/>
            </w:tcMar>
            <w:vAlign w:val="center"/>
          </w:tcPr>
          <w:p w14:paraId="784FF3B5" w14:textId="77777777" w:rsidR="0045635D" w:rsidRDefault="00000000" w:rsidP="00A62A2A">
            <w:r>
              <w:rPr>
                <w:color w:val="1A1A2E"/>
                <w:sz w:val="21"/>
                <w:szCs w:val="21"/>
              </w:rPr>
              <w:t>الأغلبية + الإجماع الانتخابي</w:t>
            </w:r>
          </w:p>
        </w:tc>
        <w:tc>
          <w:tcPr>
            <w:tcW w:w="312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50" w:type="dxa"/>
              <w:bottom w:w="80" w:type="dxa"/>
              <w:right w:w="150" w:type="dxa"/>
            </w:tcMar>
            <w:vAlign w:val="center"/>
          </w:tcPr>
          <w:p w14:paraId="2E456768" w14:textId="77777777" w:rsidR="0045635D" w:rsidRDefault="00000000" w:rsidP="00A62A2A">
            <w:r>
              <w:rPr>
                <w:color w:val="1A1A2E"/>
                <w:sz w:val="21"/>
                <w:szCs w:val="21"/>
              </w:rPr>
              <w:t>المقاصد الكلية + الوحي</w:t>
            </w:r>
          </w:p>
        </w:tc>
      </w:tr>
      <w:tr w:rsidR="0045635D" w14:paraId="13C49AA2" w14:textId="77777777">
        <w:tc>
          <w:tcPr>
            <w:tcW w:w="3120" w:type="dxa"/>
            <w:tcBorders>
              <w:top w:val="single" w:sz="4" w:space="0" w:color="AAAAAA"/>
              <w:left w:val="single" w:sz="4" w:space="0" w:color="AAAAAA"/>
              <w:bottom w:val="single" w:sz="4" w:space="0" w:color="AAAAAA"/>
              <w:right w:val="single" w:sz="4" w:space="0" w:color="AAAAAA"/>
            </w:tcBorders>
            <w:shd w:val="clear" w:color="auto" w:fill="1D6A72"/>
            <w:tcMar>
              <w:top w:w="100" w:type="dxa"/>
              <w:left w:w="150" w:type="dxa"/>
              <w:bottom w:w="100" w:type="dxa"/>
              <w:right w:w="150" w:type="dxa"/>
            </w:tcMar>
            <w:vAlign w:val="center"/>
          </w:tcPr>
          <w:p w14:paraId="16C99F74" w14:textId="77777777" w:rsidR="0045635D" w:rsidRDefault="00000000" w:rsidP="00A62A2A">
            <w:r>
              <w:rPr>
                <w:b/>
                <w:bCs/>
                <w:color w:val="FFFFFF"/>
                <w:sz w:val="22"/>
                <w:szCs w:val="22"/>
              </w:rPr>
              <w:t>مرجع الرقابة</w:t>
            </w:r>
          </w:p>
        </w:tc>
        <w:tc>
          <w:tcPr>
            <w:tcW w:w="3120" w:type="dxa"/>
            <w:tcBorders>
              <w:top w:val="single" w:sz="4" w:space="0" w:color="AAAAAA"/>
              <w:left w:val="single" w:sz="4" w:space="0" w:color="AAAAAA"/>
              <w:bottom w:val="single" w:sz="4" w:space="0" w:color="AAAAAA"/>
              <w:right w:val="single" w:sz="4" w:space="0" w:color="AAAAAA"/>
            </w:tcBorders>
            <w:shd w:val="clear" w:color="auto" w:fill="D0EBEC"/>
            <w:tcMar>
              <w:top w:w="80" w:type="dxa"/>
              <w:left w:w="150" w:type="dxa"/>
              <w:bottom w:w="80" w:type="dxa"/>
              <w:right w:w="150" w:type="dxa"/>
            </w:tcMar>
            <w:vAlign w:val="center"/>
          </w:tcPr>
          <w:p w14:paraId="4FF6F17E" w14:textId="77777777" w:rsidR="0045635D" w:rsidRDefault="00000000" w:rsidP="00A62A2A">
            <w:r>
              <w:rPr>
                <w:color w:val="1A1A2E"/>
                <w:sz w:val="21"/>
                <w:szCs w:val="21"/>
              </w:rPr>
              <w:t>المحكمة الدستورية / الدستور المكتوب</w:t>
            </w:r>
          </w:p>
        </w:tc>
        <w:tc>
          <w:tcPr>
            <w:tcW w:w="312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50" w:type="dxa"/>
              <w:bottom w:w="80" w:type="dxa"/>
              <w:right w:w="150" w:type="dxa"/>
            </w:tcMar>
            <w:vAlign w:val="center"/>
          </w:tcPr>
          <w:p w14:paraId="4F9B4C22" w14:textId="77777777" w:rsidR="0045635D" w:rsidRDefault="00000000" w:rsidP="00A62A2A">
            <w:r>
              <w:rPr>
                <w:color w:val="1A1A2E"/>
                <w:sz w:val="21"/>
                <w:szCs w:val="21"/>
              </w:rPr>
              <w:t>العالِم + المجتمع + الضمير</w:t>
            </w:r>
          </w:p>
        </w:tc>
      </w:tr>
      <w:tr w:rsidR="0045635D" w14:paraId="1BF0A2D4" w14:textId="77777777">
        <w:tc>
          <w:tcPr>
            <w:tcW w:w="3120" w:type="dxa"/>
            <w:tcBorders>
              <w:top w:val="single" w:sz="4" w:space="0" w:color="AAAAAA"/>
              <w:left w:val="single" w:sz="4" w:space="0" w:color="AAAAAA"/>
              <w:bottom w:val="single" w:sz="4" w:space="0" w:color="AAAAAA"/>
              <w:right w:val="single" w:sz="4" w:space="0" w:color="AAAAAA"/>
            </w:tcBorders>
            <w:shd w:val="clear" w:color="auto" w:fill="1D6A72"/>
            <w:tcMar>
              <w:top w:w="100" w:type="dxa"/>
              <w:left w:w="150" w:type="dxa"/>
              <w:bottom w:w="100" w:type="dxa"/>
              <w:right w:w="150" w:type="dxa"/>
            </w:tcMar>
            <w:vAlign w:val="center"/>
          </w:tcPr>
          <w:p w14:paraId="786CEA00" w14:textId="77777777" w:rsidR="0045635D" w:rsidRDefault="00000000" w:rsidP="00A62A2A">
            <w:r>
              <w:rPr>
                <w:b/>
                <w:bCs/>
                <w:color w:val="FFFFFF"/>
                <w:sz w:val="22"/>
                <w:szCs w:val="22"/>
              </w:rPr>
              <w:t>طبيعة القانون</w:t>
            </w:r>
          </w:p>
        </w:tc>
        <w:tc>
          <w:tcPr>
            <w:tcW w:w="3120" w:type="dxa"/>
            <w:tcBorders>
              <w:top w:val="single" w:sz="4" w:space="0" w:color="AAAAAA"/>
              <w:left w:val="single" w:sz="4" w:space="0" w:color="AAAAAA"/>
              <w:bottom w:val="single" w:sz="4" w:space="0" w:color="AAAAAA"/>
              <w:right w:val="single" w:sz="4" w:space="0" w:color="AAAAAA"/>
            </w:tcBorders>
            <w:shd w:val="clear" w:color="auto" w:fill="D0EBEC"/>
            <w:tcMar>
              <w:top w:w="80" w:type="dxa"/>
              <w:left w:w="150" w:type="dxa"/>
              <w:bottom w:w="80" w:type="dxa"/>
              <w:right w:w="150" w:type="dxa"/>
            </w:tcMar>
            <w:vAlign w:val="center"/>
          </w:tcPr>
          <w:p w14:paraId="055A0833" w14:textId="77777777" w:rsidR="0045635D" w:rsidRDefault="00000000" w:rsidP="00A62A2A">
            <w:r>
              <w:rPr>
                <w:color w:val="1A1A2E"/>
                <w:sz w:val="21"/>
                <w:szCs w:val="21"/>
              </w:rPr>
              <w:t>أمر صادر عن صاحب سيادة (Hart)</w:t>
            </w:r>
          </w:p>
        </w:tc>
        <w:tc>
          <w:tcPr>
            <w:tcW w:w="312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50" w:type="dxa"/>
              <w:bottom w:w="80" w:type="dxa"/>
              <w:right w:w="150" w:type="dxa"/>
            </w:tcMar>
            <w:vAlign w:val="center"/>
          </w:tcPr>
          <w:p w14:paraId="69F94C4A" w14:textId="77777777" w:rsidR="0045635D" w:rsidRDefault="00000000" w:rsidP="00A62A2A">
            <w:r>
              <w:rPr>
                <w:color w:val="1A1A2E"/>
                <w:sz w:val="21"/>
                <w:szCs w:val="21"/>
              </w:rPr>
              <w:t>اكتشاف لقيم متعالية (القانون الطبيعي)</w:t>
            </w:r>
          </w:p>
        </w:tc>
      </w:tr>
    </w:tbl>
    <w:p w14:paraId="79A360B9" w14:textId="77777777" w:rsidR="0045635D" w:rsidRDefault="00000000" w:rsidP="00A62A2A">
      <w:pPr>
        <w:pStyle w:val="1"/>
        <w:pageBreakBefore/>
        <w:bidi/>
      </w:pPr>
      <w:r>
        <w:t>الفصل الثاني: «الدولة الاستخلافية» — نموذج بديل للسيادة الأخلاقية</w:t>
      </w:r>
    </w:p>
    <w:p w14:paraId="0BC2A4E0" w14:textId="77777777" w:rsidR="0045635D" w:rsidRDefault="00000000" w:rsidP="00A62A2A">
      <w:pPr>
        <w:pStyle w:val="2"/>
        <w:bidi/>
      </w:pPr>
      <w:r>
        <w:t>2.1 السيادة الأخلاقية لا السيادة القانونية</w:t>
      </w:r>
    </w:p>
    <w:p w14:paraId="453BEF08" w14:textId="11D76D88" w:rsidR="0045635D" w:rsidRDefault="00E61C3B" w:rsidP="00A62A2A">
      <w:pPr>
        <w:spacing w:before="100" w:after="100" w:line="340" w:lineRule="auto"/>
      </w:pPr>
      <w:r>
        <w:rPr>
          <w:rFonts w:hint="cs"/>
          <w:color w:val="1A1A2E"/>
          <w:rtl/>
        </w:rPr>
        <w:t>نطرح</w:t>
      </w:r>
      <w:r>
        <w:rPr>
          <w:color w:val="1A1A2E"/>
        </w:rPr>
        <w:t xml:space="preserve"> —بديلاً عن «الدولة الحديثة»— نموذج «الدولة الاستخلافية» التي تقوم على «السيادة للمنظومة الأخلاقية»: السيادة ليست للحاكم ولا للأمة بمعناها الانتخابي، بل لله بوصفه «مصدر القيم المطلقة». و«التشريع» —في هذه «الدولة»— ليس «فعل إرادة» (Will)، بل هو «عملية اكتشاف مستمر» للإرادة الإلهية عبر «منظومة الاجتهاد المتجدد».</w:t>
      </w:r>
    </w:p>
    <w:p w14:paraId="274DCE97" w14:textId="77777777" w:rsidR="0045635D" w:rsidRDefault="00000000" w:rsidP="00A62A2A">
      <w:pPr>
        <w:spacing w:before="100" w:after="100" w:line="340" w:lineRule="auto"/>
      </w:pPr>
      <w:r>
        <w:rPr>
          <w:color w:val="1A1A2E"/>
        </w:rPr>
        <w:t>وهذا —في منظور «فلسفة القانون»— هو «تحول» من «الوضعية القانونية» (Legal Positivism) التي ترى «القانون» كـ«أمر» صادر عن «صاحب السيادة»، إلى «نظرية القانون الطبيعي» (Natural Law Theory) التي ترى «القانون» كـ«اكتشاف» لـ«قيم متعالية»، لكن في صيغة «إسلامية» أصيلة تستند إلى الوحي لا إلى العقل المجرد.</w:t>
      </w:r>
    </w:p>
    <w:p w14:paraId="6EFB31AC" w14:textId="77777777" w:rsidR="0045635D" w:rsidRDefault="00000000" w:rsidP="00A62A2A">
      <w:pPr>
        <w:pStyle w:val="2"/>
        <w:bidi/>
      </w:pPr>
      <w:r>
        <w:t>2.2 الحكم بالإحسان: الخير الأعلى كمعيار دستوري</w:t>
      </w:r>
    </w:p>
    <w:p w14:paraId="35AD83E1" w14:textId="77777777" w:rsidR="0045635D" w:rsidRDefault="00000000" w:rsidP="00A62A2A">
      <w:pPr>
        <w:spacing w:before="100" w:after="100" w:line="340" w:lineRule="auto"/>
      </w:pPr>
      <w:r>
        <w:rPr>
          <w:color w:val="1A1A2E"/>
        </w:rPr>
        <w:t>من أبرز مميزات «الدولة الاستخلافية» أنها تجعل «الإحسان» (الخير الأعلى) هو «المعيار»، وليس فقط «العدل» (الحد الأدنى الواجب). فـ«القانون» —في «الدولة الحديثة»— يُحدد «الحد الأدنى» من «السلوك» المقبول (ما هو «مسموح» وما هو «ممنوع»). أما «القانون» —في «الدولة الاستخلافية»— فيُوجه نحو «الخير الأعلى» (ما هو «أفضل» و«أكمل» و«أليق» بكرامة الإنسان).</w:t>
      </w:r>
    </w:p>
    <w:p w14:paraId="5CA913E5" w14:textId="77777777" w:rsidR="0045635D" w:rsidRDefault="00000000" w:rsidP="00A62A2A">
      <w:pPr>
        <w:pStyle w:val="2"/>
        <w:bidi/>
      </w:pPr>
      <w:r>
        <w:t>2.3 تخليق الذات بدلاً من الإكراه القانوني</w:t>
      </w:r>
    </w:p>
    <w:p w14:paraId="5D6D2B21" w14:textId="1FEDCB7B" w:rsidR="0045635D" w:rsidRDefault="007D4D11" w:rsidP="00A62A2A">
      <w:pPr>
        <w:spacing w:before="100" w:after="100" w:line="340" w:lineRule="auto"/>
      </w:pPr>
      <w:r>
        <w:rPr>
          <w:rFonts w:hint="cs"/>
          <w:color w:val="1A1A2E"/>
          <w:rtl/>
        </w:rPr>
        <w:t>نرى</w:t>
      </w:r>
      <w:r>
        <w:rPr>
          <w:color w:val="1A1A2E"/>
        </w:rPr>
        <w:t xml:space="preserve"> أن نجاح أي نظام دستوري يُقاس بـ«قدرته» على إنتاج «مواطنين» يُحكّمون «ضمائرهم» (الفطرة) قبل «القانون». و«الدولة الاستخلافية» —في هذا السياق— تعتمد أساساً على «تخليق الذات» عبر «التربية» و«العبادة»، وتلجأ إلى «القانون» كـ«أداة مساندة» فقط.</w:t>
      </w:r>
    </w:p>
    <w:p w14:paraId="401C8341" w14:textId="77777777" w:rsidR="0045635D" w:rsidRDefault="00000000" w:rsidP="00A62A2A">
      <w:pPr>
        <w:spacing w:before="100" w:after="100" w:line="340" w:lineRule="auto"/>
      </w:pPr>
      <w:r>
        <w:rPr>
          <w:color w:val="1A1A2E"/>
        </w:rPr>
        <w:t>فـ«الصلاة» —مثلاً— في «النموذج الاستخلافي» ليست مجرد «شعيرة»، بل هي «أداة لإعادة ضبط المصنع الأخلاقي» (Moral Factory Reset) خمس مرات يومياً. و«الزكاة» ليست مجرد «ضريبة»، بل هي «تطهير» للنفس من «الشح» و«تدريب» على «العطاء». و«الصيام» ليس مجرد «امتناع» عن «الطعام»، بل هو «ترويض» لـ«النفس الأمارة» و«تقوية» لـ«الإرادة».</w:t>
      </w:r>
    </w:p>
    <w:p w14:paraId="20E42E88" w14:textId="77777777" w:rsidR="0045635D" w:rsidRDefault="00000000" w:rsidP="00A62A2A">
      <w:pPr>
        <w:pStyle w:val="1"/>
        <w:pageBreakBefore/>
        <w:bidi/>
      </w:pPr>
      <w:r>
        <w:t>الفصل الثالث: «منظومة الاجتهاد» — منهجية حية بديلة عن الجمود الدستوري</w:t>
      </w:r>
    </w:p>
    <w:p w14:paraId="6CD9C9AE" w14:textId="77777777" w:rsidR="0045635D" w:rsidRDefault="00000000" w:rsidP="00A62A2A">
      <w:pPr>
        <w:pStyle w:val="2"/>
        <w:bidi/>
      </w:pPr>
      <w:r>
        <w:t>3.1 المرونة التطبيقية: اجتهاد يستجيب لتحديات العصر</w:t>
      </w:r>
    </w:p>
    <w:p w14:paraId="7A1B13D7" w14:textId="77777777" w:rsidR="0045635D" w:rsidRDefault="00000000" w:rsidP="00A62A2A">
      <w:pPr>
        <w:spacing w:before="100" w:after="100" w:line="340" w:lineRule="auto"/>
      </w:pPr>
      <w:r>
        <w:rPr>
          <w:color w:val="1A1A2E"/>
        </w:rPr>
        <w:t>بينما «تعاني» الدساتير الوضعية من «الجمود» أمام «تسارع» «المتغيرات» (خاصة «الرقمية»)، تتيح «منظومة الاجتهاد» لـ«الدولة الاستخلافية» «الاستجابة للتحديات المتجددة بأدوات جديدة». فـ«الاجتهاد» —هنا— ليس «فعل تفسير» لـ«نص جامد»، بل هو «عملية اكتشاف مستمر» للإرادة الإلهية الأخلاقية.</w:t>
      </w:r>
    </w:p>
    <w:p w14:paraId="7BD51411" w14:textId="77777777" w:rsidR="0045635D" w:rsidRDefault="00000000" w:rsidP="00A62A2A">
      <w:pPr>
        <w:pStyle w:val="2"/>
        <w:bidi/>
      </w:pPr>
      <w:r>
        <w:t>3.2 منع تحنيط التراث الفقهي: المقاصد لا القوالب</w:t>
      </w:r>
    </w:p>
    <w:p w14:paraId="386FBED8" w14:textId="1A66E182" w:rsidR="0045635D" w:rsidRDefault="00000000" w:rsidP="00A62A2A">
      <w:pPr>
        <w:spacing w:before="100" w:after="100" w:line="340" w:lineRule="auto"/>
      </w:pPr>
      <w:r>
        <w:rPr>
          <w:color w:val="1A1A2E"/>
        </w:rPr>
        <w:t xml:space="preserve">تعمل «منظومة الاجتهاد» —في «النموذج الاستخلافي»— كـ«صمام أمان» ضد ما </w:t>
      </w:r>
      <w:r w:rsidR="0025648A">
        <w:rPr>
          <w:rFonts w:hint="cs"/>
          <w:color w:val="1A1A2E"/>
          <w:rtl/>
        </w:rPr>
        <w:t>نسميه</w:t>
      </w:r>
      <w:r>
        <w:rPr>
          <w:color w:val="1A1A2E"/>
        </w:rPr>
        <w:t xml:space="preserve"> «الجمود والتحنيط». فهي «تمنع» تحويل «النصوص» أو «التراث الفقهي» السابق إلى «عائق» يحجب «المصلحة» أو «يعطل» «العقل». فبدلاً من «الجمود القانوني» الذي «يقدس» «القوالب»، «يقدس» «الاجتهاد» «المقاصد الأخلاقية»، مما يجعل «القانون» «أداة خادمة» لـ«الإنسان الخليفة» وليس «سيداً» عليه.</w:t>
      </w:r>
    </w:p>
    <w:p w14:paraId="31F94940" w14:textId="77777777" w:rsidR="0045635D" w:rsidRDefault="00000000" w:rsidP="00A62A2A">
      <w:pPr>
        <w:pStyle w:val="2"/>
        <w:bidi/>
      </w:pPr>
      <w:r>
        <w:t>3.3 الاجتهاد الجيلي: قراءة المرجعية بعيون العصر</w:t>
      </w:r>
    </w:p>
    <w:p w14:paraId="437BDB7D" w14:textId="77777777" w:rsidR="0045635D" w:rsidRDefault="00000000" w:rsidP="00A62A2A">
      <w:pPr>
        <w:spacing w:before="100" w:after="100" w:line="340" w:lineRule="auto"/>
      </w:pPr>
      <w:r>
        <w:rPr>
          <w:color w:val="1A1A2E"/>
        </w:rPr>
        <w:t>تضمن «منظومة الاجتهاد» —في «النموذج الاستخلافي»— «التجديد المستمر»؛ حيث يُطالب كل جيل بإعادة «قراءة» «المرجعية الوحيانية» (القرآن والسنة) وفق «سياقه التاريخي والتقني». هذا «التفاعل» يجعل «الدولة الاستخلافية» «كياناً حياً» ينمو ويتطور.</w:t>
      </w:r>
    </w:p>
    <w:p w14:paraId="01A02FF1" w14:textId="77777777" w:rsidR="0045635D" w:rsidRDefault="00000000" w:rsidP="00A62A2A">
      <w:pPr>
        <w:pStyle w:val="2"/>
        <w:bidi/>
      </w:pPr>
      <w:r>
        <w:t>3.4 توزيع سلطة التفسير: ثلاثية الحكم في الدولة الاستخلافية</w:t>
      </w:r>
    </w:p>
    <w:p w14:paraId="795BE8BE" w14:textId="77777777" w:rsidR="0045635D" w:rsidRDefault="00000000" w:rsidP="00A62A2A">
      <w:pPr>
        <w:spacing w:before="100" w:after="100" w:line="340" w:lineRule="auto"/>
      </w:pPr>
      <w:r>
        <w:rPr>
          <w:color w:val="1A1A2E"/>
        </w:rPr>
        <w:t>«البديل العملي» لـ«الجمود» —في «النموذج الاستخلافي»— هو «توزيع المسؤولية». فـ«منظومة الاجتهاد» لا «تنحصر» في «الحاكم»، بل «تتوزع» على: العالِم (حارس المنظومة)، والمجتمع (الرقيب الحي)، والحاكم (المُنفِّذ الأمين). وهذا —في منظور «فلسفة السياسة»— هو «تحول» من «مركزية السلطة» (Sovereign Centrism) إلى «تعددية الاجتهاد» (Ijtihadic Pluralism).</w:t>
      </w:r>
    </w:p>
    <w:p w14:paraId="55FCCA11" w14:textId="77777777" w:rsidR="0045635D" w:rsidRDefault="00000000" w:rsidP="00A62A2A">
      <w:pPr>
        <w:pStyle w:val="1"/>
        <w:pageBreakBefore/>
        <w:bidi/>
      </w:pPr>
      <w:r>
        <w:t>الفصل الرابع [جديد]: إشكالية التحقق من صحة الاجتهاد — بين الاجتهاد والاستبداد الديني</w:t>
      </w:r>
    </w:p>
    <w:p w14:paraId="5DE0DBF2" w14:textId="77777777" w:rsidR="0045635D" w:rsidRDefault="00000000" w:rsidP="00A62A2A">
      <w:pPr>
        <w:spacing w:before="100" w:after="100" w:line="340" w:lineRule="auto"/>
      </w:pPr>
      <w:r>
        <w:rPr>
          <w:color w:val="1A1A2E"/>
        </w:rPr>
        <w:t>يُمثّل هذا الفصل الإضافة الأولى الجوهرية على البحث الأصلي. فبعد أن يطرح الزراع «منظومة الاجتهاد» بوصفها الآلية المحورية للدولة الاستخلافية، يبقى السؤال الأخطر معلقاً: من يحكم على صحة الاجتهاد؟ وما المعيار الذي يُميّز «الاجتهاد المشروع» من «الاستبداد الديني» المتلفّع بعباءة الشريعة؟</w:t>
      </w:r>
    </w:p>
    <w:p w14:paraId="1662B0BA" w14:textId="77777777" w:rsidR="0045635D" w:rsidRDefault="00000000" w:rsidP="00A62A2A">
      <w:pPr>
        <w:pStyle w:val="2"/>
        <w:bidi/>
      </w:pPr>
      <w:r>
        <w:t>4.1 المأزق الكلاسيكي: مَن يحرس الحراس؟</w:t>
      </w:r>
    </w:p>
    <w:p w14:paraId="632292EE" w14:textId="77777777" w:rsidR="0045635D" w:rsidRDefault="00000000" w:rsidP="00A62A2A">
      <w:pPr>
        <w:spacing w:before="100" w:after="100" w:line="340" w:lineRule="auto"/>
      </w:pPr>
      <w:r>
        <w:rPr>
          <w:color w:val="1A1A2E"/>
        </w:rPr>
        <w:t>طرح الفيلسوف الروماني يوفينال سؤاله الشهير: «Quis custodiet ipsos custodes» (مَن يحرس الحراس أنفسهم؟). وهو بعينه السؤال الذي يواجه كل نظرية في الحوكمة الدينية، من نموذج الخلافة الكلاسيكية إلى نظرية ولاية الفقيه في الفقه الشيعي المعاصر. فإن كان «العالِم» هو «حارس المنظومة» في النموذج الاستخلافي، فمن يحرس العالِم؟ وإن كانت «منظومة الاجتهاد» هي معيار الصواب، فمن يحكم على «منظومة الاجتهاد» ذاتها؟</w:t>
      </w:r>
    </w:p>
    <w:p w14:paraId="406B999D" w14:textId="77777777" w:rsidR="0045635D" w:rsidRDefault="00000000" w:rsidP="00A62A2A">
      <w:pPr>
        <w:spacing w:before="100" w:after="100" w:line="340" w:lineRule="auto"/>
      </w:pPr>
      <w:r>
        <w:rPr>
          <w:color w:val="1A1A2E"/>
        </w:rPr>
        <w:t>التاريخ الإسلامي حافل بنماذج مأساوية لـ«الاجتهاد» الذي تحول إلى أداة للسلطة السياسية. فالفقه الحنبلي في عصره المتأخر تحوّل أحياناً إلى تبرير للاستبداد، وفتاوى علماء السلاطين أضفت شرعية على الظلم. وقد عاش أئمة كأحمد بن حنبل وعز الدين بن عبد السلام ظلال هذا التوتر بين الفقيه المستقل والفقيه الملحق بالسلطة.</w:t>
      </w:r>
    </w:p>
    <w:p w14:paraId="7AF0FE1D" w14:textId="77777777" w:rsidR="0045635D" w:rsidRDefault="00000000" w:rsidP="00A62A2A">
      <w:pPr>
        <w:pStyle w:val="2"/>
        <w:bidi/>
      </w:pPr>
      <w:r>
        <w:t>4.2 معايير الاجتهاد الصحيح في الأطروحة الاستخلافية</w:t>
      </w:r>
    </w:p>
    <w:p w14:paraId="0A5195D3" w14:textId="77777777" w:rsidR="0045635D" w:rsidRDefault="00000000" w:rsidP="00A62A2A">
      <w:pPr>
        <w:spacing w:before="100" w:after="100" w:line="340" w:lineRule="auto"/>
      </w:pPr>
      <w:r>
        <w:rPr>
          <w:color w:val="1A1A2E"/>
        </w:rPr>
        <w:t>يُقدم الزراع جملةً من الضوابط الجوهرية للحكم على صحة الاجتهاد، يمكن استخلاصها من منظومته الفكرية على النحو الآتي:</w:t>
      </w:r>
    </w:p>
    <w:p w14:paraId="76ED79B8" w14:textId="77777777" w:rsidR="0045635D" w:rsidRDefault="00000000" w:rsidP="00A62A2A">
      <w:pPr>
        <w:spacing w:before="100" w:after="100" w:line="340" w:lineRule="auto"/>
      </w:pPr>
      <w:r>
        <w:rPr>
          <w:color w:val="1A1A2E"/>
        </w:rPr>
        <w:t>أولاً: معيار المقاصد الكلية — لا يُعدّ اجتهاداً صحيحاً ما أفضى إلى الإخلال بمقاصد الشريعة الخمس (حفظ الدين، النفس، العقل، النسل، المال). وهذا معيار موضوعي نسبياً يمكن الاحتجاج به أمام مجلس الاجتهاد.</w:t>
      </w:r>
    </w:p>
    <w:p w14:paraId="0F637F48" w14:textId="77777777" w:rsidR="0045635D" w:rsidRDefault="00000000" w:rsidP="00A62A2A">
      <w:pPr>
        <w:spacing w:before="100" w:after="100" w:line="340" w:lineRule="auto"/>
      </w:pPr>
      <w:r>
        <w:rPr>
          <w:color w:val="1A1A2E"/>
        </w:rPr>
        <w:t>ثانياً: معيار الشورى والتداوُل — لا يُعتدّ باجتهاد فرد بمعزل عن التداول المجتمعي والعلمي. فـ«الاجتهاد الجماعي» (كهيئات الفتوى الكبرى ومجامع الفقه) هو الضمانة ضد الأخطاء الفردية وضد الهيمنة السياسية.</w:t>
      </w:r>
    </w:p>
    <w:p w14:paraId="7716B529" w14:textId="77777777" w:rsidR="0045635D" w:rsidRDefault="00000000" w:rsidP="00A62A2A">
      <w:pPr>
        <w:spacing w:before="100" w:after="100" w:line="340" w:lineRule="auto"/>
      </w:pPr>
      <w:r>
        <w:rPr>
          <w:color w:val="1A1A2E"/>
        </w:rPr>
        <w:t>ثالثاً: معيار الشفافية الاستدلالية — يُلزَم المجتهد بتقديم سلسلة استدلاله كاملةً للعموم، لا مجرد نتيجة النظر. فـ«الفتوى المعللة» التي تفتح باب المناقشة أصدق من «الفتوى الوجوبية» التي تُغلقه.</w:t>
      </w:r>
    </w:p>
    <w:p w14:paraId="3D30D517" w14:textId="77777777" w:rsidR="0045635D" w:rsidRDefault="00000000" w:rsidP="00A62A2A">
      <w:pPr>
        <w:spacing w:before="100" w:after="100" w:line="340" w:lineRule="auto"/>
      </w:pPr>
      <w:r>
        <w:rPr>
          <w:color w:val="1A1A2E"/>
        </w:rPr>
        <w:t>رابعاً: معيار التاريخية النقدية — يستلزم الاجتهاد وعياً بالسياق التاريخي للنص المُستدَل به، ومعرفةً بأسباب النزول وملابسات التشريع. فالاجتهاد الذي يتجاهل التاريخية يُجمّد النص في سياق لم يُقصد به.</w:t>
      </w:r>
    </w:p>
    <w:p w14:paraId="156B9C1D" w14:textId="77777777" w:rsidR="0045635D" w:rsidRDefault="00000000" w:rsidP="00A62A2A">
      <w:pPr>
        <w:pStyle w:val="2"/>
        <w:bidi/>
      </w:pPr>
      <w:r>
        <w:t>4.3 مقارنة: شروط الخطاب التداولي عند هابرماس كنقطة حوار</w:t>
      </w:r>
    </w:p>
    <w:p w14:paraId="5C50C652" w14:textId="77777777" w:rsidR="0045635D" w:rsidRDefault="00000000" w:rsidP="00A62A2A">
      <w:pPr>
        <w:spacing w:before="100" w:after="100" w:line="340" w:lineRule="auto"/>
      </w:pPr>
      <w:r>
        <w:rPr>
          <w:color w:val="1A1A2E"/>
        </w:rPr>
        <w:t>يطرح يورغن هابرماس في نظريته التداولية (Communicative Rationality) شروطاً لـ«الخطاب المشروع»: المساواة في المشاركة، وحرية الاعتراض، وغياب الإكراه، والتوجه نحو الإجماع العقلي. وهي شروط تبدو بعيدة عن الأُطر الفقهية التقليدية، لكنها في الوقت ذاته تُضيء ما يغيب أحياناً في نماذج الاجتهاد المؤسسي.</w:t>
      </w:r>
    </w:p>
    <w:p w14:paraId="21D52410" w14:textId="77777777" w:rsidR="0045635D" w:rsidRDefault="00000000" w:rsidP="00A62A2A">
      <w:pPr>
        <w:spacing w:before="100" w:after="100" w:line="340" w:lineRule="auto"/>
      </w:pPr>
      <w:r>
        <w:rPr>
          <w:color w:val="1A1A2E"/>
        </w:rPr>
        <w:t>لا يستطيع النموذج الاستخلافي تبني هابرماس كلياً، لأن الأخير يفترض «الفضاء العلماني» معياراً للحوار. غير أنه يمكن استعارة الهيكل الإجرائي لـ«التداول الحر» دون استعارة المرجعية الفلسفية. فـ«الاجتهاد الجماعي المفتوح» في الدولة الاستخلافية يمكن أن يشترط: حضور العلماء من مختلف المدارس الفقهية، وإتاحة المعارضة العلمية المبررة، وتعليل القرار تعليلاً مقاصدياً قابلاً للفحص.</w:t>
      </w:r>
    </w:p>
    <w:p w14:paraId="08D53F5A" w14:textId="77777777" w:rsidR="0045635D" w:rsidRDefault="00000000" w:rsidP="00E811AA">
      <w:pPr>
        <w:pStyle w:val="3"/>
        <w:bidi/>
      </w:pPr>
      <w:r>
        <w:t>جدول مقارن: الاجتهاد الصحيح مقابل الاستبداد الديني</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3120"/>
        <w:gridCol w:w="3120"/>
      </w:tblGrid>
      <w:tr w:rsidR="0045635D" w14:paraId="1741CE0B" w14:textId="77777777">
        <w:tc>
          <w:tcPr>
            <w:tcW w:w="3120" w:type="dxa"/>
            <w:tcBorders>
              <w:top w:val="single" w:sz="4" w:space="0" w:color="AAAAAA"/>
              <w:left w:val="single" w:sz="4" w:space="0" w:color="AAAAAA"/>
              <w:bottom w:val="single" w:sz="4" w:space="0" w:color="AAAAAA"/>
              <w:right w:val="single" w:sz="4" w:space="0" w:color="AAAAAA"/>
            </w:tcBorders>
            <w:shd w:val="clear" w:color="auto" w:fill="1B3A5C"/>
            <w:tcMar>
              <w:top w:w="100" w:type="dxa"/>
              <w:left w:w="150" w:type="dxa"/>
              <w:bottom w:w="100" w:type="dxa"/>
              <w:right w:w="150" w:type="dxa"/>
            </w:tcMar>
            <w:vAlign w:val="center"/>
          </w:tcPr>
          <w:p w14:paraId="77EC0262" w14:textId="77777777" w:rsidR="0045635D" w:rsidRDefault="00000000" w:rsidP="00E811AA">
            <w:r>
              <w:rPr>
                <w:b/>
                <w:bCs/>
                <w:color w:val="FFFFFF"/>
                <w:sz w:val="22"/>
                <w:szCs w:val="22"/>
              </w:rPr>
              <w:t>المعيار</w:t>
            </w:r>
          </w:p>
        </w:tc>
        <w:tc>
          <w:tcPr>
            <w:tcW w:w="3120" w:type="dxa"/>
            <w:tcBorders>
              <w:top w:val="single" w:sz="4" w:space="0" w:color="AAAAAA"/>
              <w:left w:val="single" w:sz="4" w:space="0" w:color="AAAAAA"/>
              <w:bottom w:val="single" w:sz="4" w:space="0" w:color="AAAAAA"/>
              <w:right w:val="single" w:sz="4" w:space="0" w:color="AAAAAA"/>
            </w:tcBorders>
            <w:shd w:val="clear" w:color="auto" w:fill="1B3A5C"/>
            <w:tcMar>
              <w:top w:w="100" w:type="dxa"/>
              <w:left w:w="150" w:type="dxa"/>
              <w:bottom w:w="100" w:type="dxa"/>
              <w:right w:w="150" w:type="dxa"/>
            </w:tcMar>
            <w:vAlign w:val="center"/>
          </w:tcPr>
          <w:p w14:paraId="34246DA0" w14:textId="77777777" w:rsidR="0045635D" w:rsidRDefault="00000000" w:rsidP="00E811AA">
            <w:r>
              <w:rPr>
                <w:b/>
                <w:bCs/>
                <w:color w:val="FFFFFF"/>
                <w:sz w:val="22"/>
                <w:szCs w:val="22"/>
              </w:rPr>
              <w:t>الاجتهاد الصحيح</w:t>
            </w:r>
          </w:p>
        </w:tc>
        <w:tc>
          <w:tcPr>
            <w:tcW w:w="3120" w:type="dxa"/>
            <w:tcBorders>
              <w:top w:val="single" w:sz="4" w:space="0" w:color="AAAAAA"/>
              <w:left w:val="single" w:sz="4" w:space="0" w:color="AAAAAA"/>
              <w:bottom w:val="single" w:sz="4" w:space="0" w:color="AAAAAA"/>
              <w:right w:val="single" w:sz="4" w:space="0" w:color="AAAAAA"/>
            </w:tcBorders>
            <w:shd w:val="clear" w:color="auto" w:fill="1B3A5C"/>
            <w:tcMar>
              <w:top w:w="100" w:type="dxa"/>
              <w:left w:w="150" w:type="dxa"/>
              <w:bottom w:w="100" w:type="dxa"/>
              <w:right w:w="150" w:type="dxa"/>
            </w:tcMar>
            <w:vAlign w:val="center"/>
          </w:tcPr>
          <w:p w14:paraId="748E6EE9" w14:textId="77777777" w:rsidR="0045635D" w:rsidRDefault="00000000" w:rsidP="00E811AA">
            <w:r>
              <w:rPr>
                <w:b/>
                <w:bCs/>
                <w:color w:val="FFFFFF"/>
                <w:sz w:val="22"/>
                <w:szCs w:val="22"/>
              </w:rPr>
              <w:t>الاستبداد الديني</w:t>
            </w:r>
          </w:p>
        </w:tc>
      </w:tr>
      <w:tr w:rsidR="0045635D" w14:paraId="7E81053D" w14:textId="77777777">
        <w:tc>
          <w:tcPr>
            <w:tcW w:w="3120" w:type="dxa"/>
            <w:tcBorders>
              <w:top w:val="single" w:sz="4" w:space="0" w:color="AAAAAA"/>
              <w:left w:val="single" w:sz="4" w:space="0" w:color="AAAAAA"/>
              <w:bottom w:val="single" w:sz="4" w:space="0" w:color="AAAAAA"/>
              <w:right w:val="single" w:sz="4" w:space="0" w:color="AAAAAA"/>
            </w:tcBorders>
            <w:shd w:val="clear" w:color="auto" w:fill="1D6A72"/>
            <w:tcMar>
              <w:top w:w="100" w:type="dxa"/>
              <w:left w:w="150" w:type="dxa"/>
              <w:bottom w:w="100" w:type="dxa"/>
              <w:right w:w="150" w:type="dxa"/>
            </w:tcMar>
            <w:vAlign w:val="center"/>
          </w:tcPr>
          <w:p w14:paraId="528A36F7" w14:textId="77777777" w:rsidR="0045635D" w:rsidRDefault="00000000" w:rsidP="00E811AA">
            <w:r>
              <w:rPr>
                <w:b/>
                <w:bCs/>
                <w:color w:val="FFFFFF"/>
                <w:sz w:val="22"/>
                <w:szCs w:val="22"/>
              </w:rPr>
              <w:t>مصدر التوجيه</w:t>
            </w:r>
          </w:p>
        </w:tc>
        <w:tc>
          <w:tcPr>
            <w:tcW w:w="3120" w:type="dxa"/>
            <w:tcBorders>
              <w:top w:val="single" w:sz="4" w:space="0" w:color="AAAAAA"/>
              <w:left w:val="single" w:sz="4" w:space="0" w:color="AAAAAA"/>
              <w:bottom w:val="single" w:sz="4" w:space="0" w:color="AAAAAA"/>
              <w:right w:val="single" w:sz="4" w:space="0" w:color="AAAAAA"/>
            </w:tcBorders>
            <w:shd w:val="clear" w:color="auto" w:fill="D0EBEC"/>
            <w:tcMar>
              <w:top w:w="80" w:type="dxa"/>
              <w:left w:w="150" w:type="dxa"/>
              <w:bottom w:w="80" w:type="dxa"/>
              <w:right w:w="150" w:type="dxa"/>
            </w:tcMar>
            <w:vAlign w:val="center"/>
          </w:tcPr>
          <w:p w14:paraId="1B6B79B3" w14:textId="77777777" w:rsidR="0045635D" w:rsidRDefault="00000000" w:rsidP="00E811AA">
            <w:r>
              <w:rPr>
                <w:color w:val="1A1A2E"/>
                <w:sz w:val="21"/>
                <w:szCs w:val="21"/>
              </w:rPr>
              <w:t>المقاصد الكلية + الوحي</w:t>
            </w:r>
          </w:p>
        </w:tc>
        <w:tc>
          <w:tcPr>
            <w:tcW w:w="3120" w:type="dxa"/>
            <w:tcBorders>
              <w:top w:val="single" w:sz="4" w:space="0" w:color="AAAAAA"/>
              <w:left w:val="single" w:sz="4" w:space="0" w:color="AAAAAA"/>
              <w:bottom w:val="single" w:sz="4" w:space="0" w:color="AAAAAA"/>
              <w:right w:val="single" w:sz="4" w:space="0" w:color="AAAAAA"/>
            </w:tcBorders>
            <w:shd w:val="clear" w:color="auto" w:fill="FFF3CD"/>
            <w:tcMar>
              <w:top w:w="80" w:type="dxa"/>
              <w:left w:w="150" w:type="dxa"/>
              <w:bottom w:w="80" w:type="dxa"/>
              <w:right w:w="150" w:type="dxa"/>
            </w:tcMar>
            <w:vAlign w:val="center"/>
          </w:tcPr>
          <w:p w14:paraId="052884F3" w14:textId="77777777" w:rsidR="0045635D" w:rsidRDefault="00000000" w:rsidP="00E811AA">
            <w:r>
              <w:rPr>
                <w:color w:val="1A1A2E"/>
                <w:sz w:val="21"/>
                <w:szCs w:val="21"/>
              </w:rPr>
              <w:t>إرادة الحاكم ملبوسة بالشرع</w:t>
            </w:r>
          </w:p>
        </w:tc>
      </w:tr>
      <w:tr w:rsidR="0045635D" w14:paraId="21D25F89" w14:textId="77777777">
        <w:tc>
          <w:tcPr>
            <w:tcW w:w="3120" w:type="dxa"/>
            <w:tcBorders>
              <w:top w:val="single" w:sz="4" w:space="0" w:color="AAAAAA"/>
              <w:left w:val="single" w:sz="4" w:space="0" w:color="AAAAAA"/>
              <w:bottom w:val="single" w:sz="4" w:space="0" w:color="AAAAAA"/>
              <w:right w:val="single" w:sz="4" w:space="0" w:color="AAAAAA"/>
            </w:tcBorders>
            <w:shd w:val="clear" w:color="auto" w:fill="1D6A72"/>
            <w:tcMar>
              <w:top w:w="100" w:type="dxa"/>
              <w:left w:w="150" w:type="dxa"/>
              <w:bottom w:w="100" w:type="dxa"/>
              <w:right w:w="150" w:type="dxa"/>
            </w:tcMar>
            <w:vAlign w:val="center"/>
          </w:tcPr>
          <w:p w14:paraId="36B2E062" w14:textId="77777777" w:rsidR="0045635D" w:rsidRDefault="00000000" w:rsidP="00E811AA">
            <w:r>
              <w:rPr>
                <w:b/>
                <w:bCs/>
                <w:color w:val="FFFFFF"/>
                <w:sz w:val="22"/>
                <w:szCs w:val="22"/>
              </w:rPr>
              <w:t>الشفافية</w:t>
            </w:r>
          </w:p>
        </w:tc>
        <w:tc>
          <w:tcPr>
            <w:tcW w:w="3120" w:type="dxa"/>
            <w:tcBorders>
              <w:top w:val="single" w:sz="4" w:space="0" w:color="AAAAAA"/>
              <w:left w:val="single" w:sz="4" w:space="0" w:color="AAAAAA"/>
              <w:bottom w:val="single" w:sz="4" w:space="0" w:color="AAAAAA"/>
              <w:right w:val="single" w:sz="4" w:space="0" w:color="AAAAAA"/>
            </w:tcBorders>
            <w:shd w:val="clear" w:color="auto" w:fill="D0EBEC"/>
            <w:tcMar>
              <w:top w:w="80" w:type="dxa"/>
              <w:left w:w="150" w:type="dxa"/>
              <w:bottom w:w="80" w:type="dxa"/>
              <w:right w:w="150" w:type="dxa"/>
            </w:tcMar>
            <w:vAlign w:val="center"/>
          </w:tcPr>
          <w:p w14:paraId="0756E6BF" w14:textId="77777777" w:rsidR="0045635D" w:rsidRDefault="00000000" w:rsidP="00E811AA">
            <w:r>
              <w:rPr>
                <w:color w:val="1A1A2E"/>
                <w:sz w:val="21"/>
                <w:szCs w:val="21"/>
              </w:rPr>
              <w:t>استدلال معلن قابل للنقد</w:t>
            </w:r>
          </w:p>
        </w:tc>
        <w:tc>
          <w:tcPr>
            <w:tcW w:w="3120" w:type="dxa"/>
            <w:tcBorders>
              <w:top w:val="single" w:sz="4" w:space="0" w:color="AAAAAA"/>
              <w:left w:val="single" w:sz="4" w:space="0" w:color="AAAAAA"/>
              <w:bottom w:val="single" w:sz="4" w:space="0" w:color="AAAAAA"/>
              <w:right w:val="single" w:sz="4" w:space="0" w:color="AAAAAA"/>
            </w:tcBorders>
            <w:shd w:val="clear" w:color="auto" w:fill="FFF3CD"/>
            <w:tcMar>
              <w:top w:w="80" w:type="dxa"/>
              <w:left w:w="150" w:type="dxa"/>
              <w:bottom w:w="80" w:type="dxa"/>
              <w:right w:w="150" w:type="dxa"/>
            </w:tcMar>
            <w:vAlign w:val="center"/>
          </w:tcPr>
          <w:p w14:paraId="2BDEEA61" w14:textId="77777777" w:rsidR="0045635D" w:rsidRDefault="00000000" w:rsidP="00E811AA">
            <w:r>
              <w:rPr>
                <w:color w:val="1A1A2E"/>
                <w:sz w:val="21"/>
                <w:szCs w:val="21"/>
              </w:rPr>
              <w:t>فتوى مُغلقة لا تقبل التعليل</w:t>
            </w:r>
          </w:p>
        </w:tc>
      </w:tr>
      <w:tr w:rsidR="0045635D" w14:paraId="05C59EB9" w14:textId="77777777">
        <w:tc>
          <w:tcPr>
            <w:tcW w:w="3120" w:type="dxa"/>
            <w:tcBorders>
              <w:top w:val="single" w:sz="4" w:space="0" w:color="AAAAAA"/>
              <w:left w:val="single" w:sz="4" w:space="0" w:color="AAAAAA"/>
              <w:bottom w:val="single" w:sz="4" w:space="0" w:color="AAAAAA"/>
              <w:right w:val="single" w:sz="4" w:space="0" w:color="AAAAAA"/>
            </w:tcBorders>
            <w:shd w:val="clear" w:color="auto" w:fill="1D6A72"/>
            <w:tcMar>
              <w:top w:w="100" w:type="dxa"/>
              <w:left w:w="150" w:type="dxa"/>
              <w:bottom w:w="100" w:type="dxa"/>
              <w:right w:w="150" w:type="dxa"/>
            </w:tcMar>
            <w:vAlign w:val="center"/>
          </w:tcPr>
          <w:p w14:paraId="1EA7CB83" w14:textId="77777777" w:rsidR="0045635D" w:rsidRDefault="00000000" w:rsidP="00E811AA">
            <w:r>
              <w:rPr>
                <w:b/>
                <w:bCs/>
                <w:color w:val="FFFFFF"/>
                <w:sz w:val="22"/>
                <w:szCs w:val="22"/>
              </w:rPr>
              <w:t>التداوُل</w:t>
            </w:r>
          </w:p>
        </w:tc>
        <w:tc>
          <w:tcPr>
            <w:tcW w:w="3120" w:type="dxa"/>
            <w:tcBorders>
              <w:top w:val="single" w:sz="4" w:space="0" w:color="AAAAAA"/>
              <w:left w:val="single" w:sz="4" w:space="0" w:color="AAAAAA"/>
              <w:bottom w:val="single" w:sz="4" w:space="0" w:color="AAAAAA"/>
              <w:right w:val="single" w:sz="4" w:space="0" w:color="AAAAAA"/>
            </w:tcBorders>
            <w:shd w:val="clear" w:color="auto" w:fill="D0EBEC"/>
            <w:tcMar>
              <w:top w:w="80" w:type="dxa"/>
              <w:left w:w="150" w:type="dxa"/>
              <w:bottom w:w="80" w:type="dxa"/>
              <w:right w:w="150" w:type="dxa"/>
            </w:tcMar>
            <w:vAlign w:val="center"/>
          </w:tcPr>
          <w:p w14:paraId="263711AB" w14:textId="77777777" w:rsidR="0045635D" w:rsidRDefault="00000000" w:rsidP="00E811AA">
            <w:r>
              <w:rPr>
                <w:color w:val="1A1A2E"/>
                <w:sz w:val="21"/>
                <w:szCs w:val="21"/>
              </w:rPr>
              <w:t>اجتهاد جماعي مفتوح</w:t>
            </w:r>
          </w:p>
        </w:tc>
        <w:tc>
          <w:tcPr>
            <w:tcW w:w="3120" w:type="dxa"/>
            <w:tcBorders>
              <w:top w:val="single" w:sz="4" w:space="0" w:color="AAAAAA"/>
              <w:left w:val="single" w:sz="4" w:space="0" w:color="AAAAAA"/>
              <w:bottom w:val="single" w:sz="4" w:space="0" w:color="AAAAAA"/>
              <w:right w:val="single" w:sz="4" w:space="0" w:color="AAAAAA"/>
            </w:tcBorders>
            <w:shd w:val="clear" w:color="auto" w:fill="FFF3CD"/>
            <w:tcMar>
              <w:top w:w="80" w:type="dxa"/>
              <w:left w:w="150" w:type="dxa"/>
              <w:bottom w:w="80" w:type="dxa"/>
              <w:right w:w="150" w:type="dxa"/>
            </w:tcMar>
            <w:vAlign w:val="center"/>
          </w:tcPr>
          <w:p w14:paraId="29ADA5FD" w14:textId="77777777" w:rsidR="0045635D" w:rsidRDefault="00000000" w:rsidP="00E811AA">
            <w:r>
              <w:rPr>
                <w:color w:val="1A1A2E"/>
                <w:sz w:val="21"/>
                <w:szCs w:val="21"/>
              </w:rPr>
              <w:t>انفراد الفرد أو الجماعة السياسية</w:t>
            </w:r>
          </w:p>
        </w:tc>
      </w:tr>
      <w:tr w:rsidR="0045635D" w14:paraId="3DBEC8F7" w14:textId="77777777">
        <w:tc>
          <w:tcPr>
            <w:tcW w:w="3120" w:type="dxa"/>
            <w:tcBorders>
              <w:top w:val="single" w:sz="4" w:space="0" w:color="AAAAAA"/>
              <w:left w:val="single" w:sz="4" w:space="0" w:color="AAAAAA"/>
              <w:bottom w:val="single" w:sz="4" w:space="0" w:color="AAAAAA"/>
              <w:right w:val="single" w:sz="4" w:space="0" w:color="AAAAAA"/>
            </w:tcBorders>
            <w:shd w:val="clear" w:color="auto" w:fill="1D6A72"/>
            <w:tcMar>
              <w:top w:w="100" w:type="dxa"/>
              <w:left w:w="150" w:type="dxa"/>
              <w:bottom w:w="100" w:type="dxa"/>
              <w:right w:w="150" w:type="dxa"/>
            </w:tcMar>
            <w:vAlign w:val="center"/>
          </w:tcPr>
          <w:p w14:paraId="0966E173" w14:textId="77777777" w:rsidR="0045635D" w:rsidRDefault="00000000" w:rsidP="00E811AA">
            <w:r>
              <w:rPr>
                <w:b/>
                <w:bCs/>
                <w:color w:val="FFFFFF"/>
                <w:sz w:val="22"/>
                <w:szCs w:val="22"/>
              </w:rPr>
              <w:t>المراجعة</w:t>
            </w:r>
          </w:p>
        </w:tc>
        <w:tc>
          <w:tcPr>
            <w:tcW w:w="3120" w:type="dxa"/>
            <w:tcBorders>
              <w:top w:val="single" w:sz="4" w:space="0" w:color="AAAAAA"/>
              <w:left w:val="single" w:sz="4" w:space="0" w:color="AAAAAA"/>
              <w:bottom w:val="single" w:sz="4" w:space="0" w:color="AAAAAA"/>
              <w:right w:val="single" w:sz="4" w:space="0" w:color="AAAAAA"/>
            </w:tcBorders>
            <w:shd w:val="clear" w:color="auto" w:fill="D0EBEC"/>
            <w:tcMar>
              <w:top w:w="80" w:type="dxa"/>
              <w:left w:w="150" w:type="dxa"/>
              <w:bottom w:w="80" w:type="dxa"/>
              <w:right w:w="150" w:type="dxa"/>
            </w:tcMar>
            <w:vAlign w:val="center"/>
          </w:tcPr>
          <w:p w14:paraId="4AE39BC5" w14:textId="77777777" w:rsidR="0045635D" w:rsidRDefault="00000000" w:rsidP="00E811AA">
            <w:r>
              <w:rPr>
                <w:color w:val="1A1A2E"/>
                <w:sz w:val="21"/>
                <w:szCs w:val="21"/>
              </w:rPr>
              <w:t>قابلية الإعادة والتصحيح</w:t>
            </w:r>
          </w:p>
        </w:tc>
        <w:tc>
          <w:tcPr>
            <w:tcW w:w="3120" w:type="dxa"/>
            <w:tcBorders>
              <w:top w:val="single" w:sz="4" w:space="0" w:color="AAAAAA"/>
              <w:left w:val="single" w:sz="4" w:space="0" w:color="AAAAAA"/>
              <w:bottom w:val="single" w:sz="4" w:space="0" w:color="AAAAAA"/>
              <w:right w:val="single" w:sz="4" w:space="0" w:color="AAAAAA"/>
            </w:tcBorders>
            <w:shd w:val="clear" w:color="auto" w:fill="FFF3CD"/>
            <w:tcMar>
              <w:top w:w="80" w:type="dxa"/>
              <w:left w:w="150" w:type="dxa"/>
              <w:bottom w:w="80" w:type="dxa"/>
              <w:right w:w="150" w:type="dxa"/>
            </w:tcMar>
            <w:vAlign w:val="center"/>
          </w:tcPr>
          <w:p w14:paraId="18DBA7BD" w14:textId="77777777" w:rsidR="0045635D" w:rsidRDefault="00000000" w:rsidP="00E811AA">
            <w:r>
              <w:rPr>
                <w:color w:val="1A1A2E"/>
                <w:sz w:val="21"/>
                <w:szCs w:val="21"/>
              </w:rPr>
              <w:t>لا مراجعة — قداسة القرار</w:t>
            </w:r>
          </w:p>
        </w:tc>
      </w:tr>
      <w:tr w:rsidR="0045635D" w14:paraId="7BF3889C" w14:textId="77777777">
        <w:tc>
          <w:tcPr>
            <w:tcW w:w="3120" w:type="dxa"/>
            <w:tcBorders>
              <w:top w:val="single" w:sz="4" w:space="0" w:color="AAAAAA"/>
              <w:left w:val="single" w:sz="4" w:space="0" w:color="AAAAAA"/>
              <w:bottom w:val="single" w:sz="4" w:space="0" w:color="AAAAAA"/>
              <w:right w:val="single" w:sz="4" w:space="0" w:color="AAAAAA"/>
            </w:tcBorders>
            <w:shd w:val="clear" w:color="auto" w:fill="1D6A72"/>
            <w:tcMar>
              <w:top w:w="100" w:type="dxa"/>
              <w:left w:w="150" w:type="dxa"/>
              <w:bottom w:w="100" w:type="dxa"/>
              <w:right w:w="150" w:type="dxa"/>
            </w:tcMar>
            <w:vAlign w:val="center"/>
          </w:tcPr>
          <w:p w14:paraId="5B307442" w14:textId="77777777" w:rsidR="0045635D" w:rsidRDefault="00000000" w:rsidP="00E811AA">
            <w:r>
              <w:rPr>
                <w:b/>
                <w:bCs/>
                <w:color w:val="FFFFFF"/>
                <w:sz w:val="22"/>
                <w:szCs w:val="22"/>
              </w:rPr>
              <w:t>المعيار التاريخي</w:t>
            </w:r>
          </w:p>
        </w:tc>
        <w:tc>
          <w:tcPr>
            <w:tcW w:w="3120" w:type="dxa"/>
            <w:tcBorders>
              <w:top w:val="single" w:sz="4" w:space="0" w:color="AAAAAA"/>
              <w:left w:val="single" w:sz="4" w:space="0" w:color="AAAAAA"/>
              <w:bottom w:val="single" w:sz="4" w:space="0" w:color="AAAAAA"/>
              <w:right w:val="single" w:sz="4" w:space="0" w:color="AAAAAA"/>
            </w:tcBorders>
            <w:shd w:val="clear" w:color="auto" w:fill="D0EBEC"/>
            <w:tcMar>
              <w:top w:w="80" w:type="dxa"/>
              <w:left w:w="150" w:type="dxa"/>
              <w:bottom w:w="80" w:type="dxa"/>
              <w:right w:w="150" w:type="dxa"/>
            </w:tcMar>
            <w:vAlign w:val="center"/>
          </w:tcPr>
          <w:p w14:paraId="6CE90195" w14:textId="77777777" w:rsidR="0045635D" w:rsidRDefault="00000000" w:rsidP="00E811AA">
            <w:r>
              <w:rPr>
                <w:color w:val="1A1A2E"/>
                <w:sz w:val="21"/>
                <w:szCs w:val="21"/>
              </w:rPr>
              <w:t>وعي بالسياق والتاريخية</w:t>
            </w:r>
          </w:p>
        </w:tc>
        <w:tc>
          <w:tcPr>
            <w:tcW w:w="3120" w:type="dxa"/>
            <w:tcBorders>
              <w:top w:val="single" w:sz="4" w:space="0" w:color="AAAAAA"/>
              <w:left w:val="single" w:sz="4" w:space="0" w:color="AAAAAA"/>
              <w:bottom w:val="single" w:sz="4" w:space="0" w:color="AAAAAA"/>
              <w:right w:val="single" w:sz="4" w:space="0" w:color="AAAAAA"/>
            </w:tcBorders>
            <w:shd w:val="clear" w:color="auto" w:fill="FFF3CD"/>
            <w:tcMar>
              <w:top w:w="80" w:type="dxa"/>
              <w:left w:w="150" w:type="dxa"/>
              <w:bottom w:w="80" w:type="dxa"/>
              <w:right w:w="150" w:type="dxa"/>
            </w:tcMar>
            <w:vAlign w:val="center"/>
          </w:tcPr>
          <w:p w14:paraId="41EEA9C3" w14:textId="77777777" w:rsidR="0045635D" w:rsidRDefault="00000000" w:rsidP="00E811AA">
            <w:r>
              <w:rPr>
                <w:color w:val="1A1A2E"/>
                <w:sz w:val="21"/>
                <w:szCs w:val="21"/>
              </w:rPr>
              <w:t>تجميد النص خارج سياقه</w:t>
            </w:r>
          </w:p>
        </w:tc>
      </w:tr>
    </w:tbl>
    <w:p w14:paraId="48CCC2A8" w14:textId="77777777" w:rsidR="0045635D" w:rsidRDefault="00000000" w:rsidP="00E811AA">
      <w:pPr>
        <w:pStyle w:val="1"/>
        <w:pageBreakBefore/>
        <w:bidi/>
      </w:pPr>
      <w:r>
        <w:t>الفصل الخامس [جديد]: البنية المؤسسية للدولة الاستخلافية — من المبدأ إلى الآلية</w:t>
      </w:r>
    </w:p>
    <w:p w14:paraId="725475C7" w14:textId="77777777" w:rsidR="0045635D" w:rsidRDefault="00000000" w:rsidP="00E811AA">
      <w:pPr>
        <w:spacing w:before="100" w:after="100" w:line="340" w:lineRule="auto"/>
      </w:pPr>
      <w:r>
        <w:rPr>
          <w:color w:val="1A1A2E"/>
        </w:rPr>
        <w:t>الثغرة الأبرز في الطرح الاستخلافي كما ورد في بحثه الأصلي هي الفجوة بين المبدأ والآلية. فبعد أن يُرسم نموذج «الدولة الاستخلافية» بصورة فلسفية باهرة، يبقى السؤال: كيف تُجسَّد هذه المبادئ في مؤسسات فعلية؟ وما البنى التنظيمية التي تُترجم «السيادة الأخلاقية» إلى حوكمة يومية؟</w:t>
      </w:r>
    </w:p>
    <w:p w14:paraId="2D374FD3" w14:textId="77777777" w:rsidR="0045635D" w:rsidRDefault="00000000" w:rsidP="00E811AA">
      <w:pPr>
        <w:pStyle w:val="2"/>
        <w:bidi/>
      </w:pPr>
      <w:r>
        <w:t>5.1 نماذج مقارنة من التجارب التاريخية والمعاصرة</w:t>
      </w:r>
    </w:p>
    <w:p w14:paraId="3DFE2725" w14:textId="77777777" w:rsidR="0045635D" w:rsidRDefault="00000000" w:rsidP="00E811AA">
      <w:pPr>
        <w:spacing w:before="100" w:after="100" w:line="340" w:lineRule="auto"/>
      </w:pPr>
      <w:r>
        <w:rPr>
          <w:color w:val="1A1A2E"/>
        </w:rPr>
        <w:t>أولاً: النموذج الماليزي — تجربة هيئة شرعية موازية للبرلمان. نجحت ماليزيا نسبياً في إنشاء مجلس الشريعة الوطني (JAKIM) الذي يُصدر فتاوى ملزمة في الشؤون الشخصية والمالية الإسلامية. غير أن النموذج يُعاني من ثنائية متوترة: فضاء علماني للاقتصاد والسياسة الكبرى، وفضاء شرعي للأحوال الشخصية. وهو ما يُعيد إنتاج «الفصام» الذي يُشخّصه الزراع، إن كان بصورة أقل حدةً.</w:t>
      </w:r>
    </w:p>
    <w:p w14:paraId="5A3099F2" w14:textId="77777777" w:rsidR="0045635D" w:rsidRDefault="00000000" w:rsidP="00E811AA">
      <w:pPr>
        <w:spacing w:before="100" w:after="100" w:line="340" w:lineRule="auto"/>
      </w:pPr>
      <w:r>
        <w:rPr>
          <w:color w:val="1A1A2E"/>
        </w:rPr>
        <w:t>ثانياً: النموذج الإيراني — تجربة ولاية الفقيه. يمثّل النموذج الإيراني المحاولة الأوسع لتأسيس دولة على مرجعية الوحي في العصر الحديث. بيد أنه يُكرّس النقيض تماماً لما يسعى إليه الزراع: فبدلاً من «توزيع سلطة التفسير»، يُركّزها في الولي الفقيه الذي يجمع بين الفقاهة والسلطة التنفيذية العليا. وهذا —من منظور الأطروحة الاستخلافية— خطأ معماري جذري يُعيد إنتاج الاستبداد بعباءة دينية.</w:t>
      </w:r>
    </w:p>
    <w:p w14:paraId="158EBB26" w14:textId="77777777" w:rsidR="0045635D" w:rsidRDefault="00000000" w:rsidP="00E811AA">
      <w:pPr>
        <w:spacing w:before="100" w:after="100" w:line="340" w:lineRule="auto"/>
      </w:pPr>
      <w:r>
        <w:rPr>
          <w:color w:val="1A1A2E"/>
        </w:rPr>
        <w:t>ثالثاً: تجربة المجامع الفقهية الدولية — رابطة العالم الإسلامي، والمجمع الفقهي الإسلامي الدولي. تمثّل هذه المجامع محاولات لتجميع الاجتهاد الجماعي العابر للحدود. وهي الأقرب إلى نموذج «الاجتهاد الجماعي المفتوح» الذي تتطلبه الدولة الاستخلافية، لكنها تفتقر إلى الصلة بالسلطة السياسية والصلاحيات التنفيذية.</w:t>
      </w:r>
    </w:p>
    <w:p w14:paraId="1FAE594E" w14:textId="77777777" w:rsidR="0045635D" w:rsidRDefault="00000000" w:rsidP="00E811AA">
      <w:pPr>
        <w:pStyle w:val="2"/>
        <w:bidi/>
      </w:pPr>
      <w:r>
        <w:t>5.2 نحو تصوّر مؤسسي استخلافي</w:t>
      </w:r>
    </w:p>
    <w:p w14:paraId="7EA4B729" w14:textId="77777777" w:rsidR="0045635D" w:rsidRDefault="00000000" w:rsidP="00E811AA">
      <w:pPr>
        <w:spacing w:before="100" w:after="100" w:line="340" w:lineRule="auto"/>
      </w:pPr>
      <w:r>
        <w:rPr>
          <w:color w:val="1A1A2E"/>
        </w:rPr>
        <w:t>انطلاقاً من تشخيص الزراع وضوابط الاجتهاد الصحيح، يمكن اقتراح البنية المؤسسية الآتية للدولة الاستخلافية:</w:t>
      </w:r>
    </w:p>
    <w:p w14:paraId="10139815" w14:textId="77777777" w:rsidR="0045635D" w:rsidRDefault="00000000" w:rsidP="00E811AA">
      <w:pPr>
        <w:spacing w:before="100" w:after="100" w:line="340" w:lineRule="auto"/>
      </w:pPr>
      <w:r>
        <w:rPr>
          <w:color w:val="1A1A2E"/>
        </w:rPr>
        <w:t>أولاً: مجلس الشورى المقاصدي — هيئة مركبة من علماء الشريعة وعلماء الاجتماع والاقتصاد والطبيعة، تُصدر «الخارطة المقاصدية» التي تُقيّم القوانين لا وفق «مطابقة النص» بل وفق «خدمة المقاصد». يُميّز هذا الهيكل بوضوح بين العالِم الفقيه (يُحدد الغايات) وعالِم الاجتماع (يُحدد الوسائل).</w:t>
      </w:r>
    </w:p>
    <w:p w14:paraId="5ABE1E97" w14:textId="77777777" w:rsidR="0045635D" w:rsidRDefault="00000000" w:rsidP="00E811AA">
      <w:pPr>
        <w:spacing w:before="100" w:after="100" w:line="340" w:lineRule="auto"/>
      </w:pPr>
      <w:r>
        <w:rPr>
          <w:color w:val="1A1A2E"/>
        </w:rPr>
        <w:t>ثانياً: هيئة التجديد الاجتهادي — مجلس متخصص في استشراف المستجدات (الرقمية، البيوأخلاقية، البيئية) وإنتاج الاجتهاد الاستباقي، بدلاً من الانتظار حتى تُفرض المشكلة. وهذا استجابة مباشرة لنقد الزراع للجمود الدستوري.</w:t>
      </w:r>
    </w:p>
    <w:p w14:paraId="4AA87334" w14:textId="77777777" w:rsidR="0045635D" w:rsidRDefault="00000000" w:rsidP="00E811AA">
      <w:pPr>
        <w:spacing w:before="100" w:after="100" w:line="340" w:lineRule="auto"/>
      </w:pPr>
      <w:r>
        <w:rPr>
          <w:color w:val="1A1A2E"/>
        </w:rPr>
        <w:t>ثالثاً: مؤسسة التخليق الأخلاقي — بديل استخلافي عن وزارة التعليم التقليدية. مهمتها ليس نقل المعرفة فحسب، بل بناء «الإنسان الخليفة» عبر مناهج تُدمج العبادة بالمعرفة والمهارة والمسؤولية. وهي التجسيد المؤسسي لمبدأ «تخليق الذات» بدلاً من «الإكراه القانوني».</w:t>
      </w:r>
    </w:p>
    <w:p w14:paraId="3B585E65" w14:textId="77777777" w:rsidR="0045635D" w:rsidRDefault="00000000" w:rsidP="00E811AA">
      <w:pPr>
        <w:pStyle w:val="1"/>
        <w:pageBreakBefore/>
        <w:bidi/>
      </w:pPr>
      <w:r>
        <w:t>الفصل السادس [جديد]: جدل حلاق والزراع — بين «استحالة الدولة الإسلامية» و«ضرورة التأسيس»</w:t>
      </w:r>
    </w:p>
    <w:p w14:paraId="482A0DA0" w14:textId="77777777" w:rsidR="0045635D" w:rsidRDefault="00000000" w:rsidP="00E811AA">
      <w:pPr>
        <w:spacing w:before="100" w:after="100" w:line="340" w:lineRule="auto"/>
      </w:pPr>
      <w:r>
        <w:rPr>
          <w:color w:val="1A1A2E"/>
        </w:rPr>
        <w:t>يستدعي البحث الأصلي وائل حلاق كمرجعية نقدية، لكنه لا يُواجه التوتر الصريح بين موقف حلاق وموقف الزراع. فحلاق —في كتابه الأساسي «الدولة المستحيلة» (2013)— يذهب إلى أن «الدولة الإسلامية» مصطلح متناقض في حد ذاته، لأن الدولة الحديثة بنيوياً لا تقبل الإسلام وجوداً فاعلاً. أما الزراع فيذهب إلى ضرورة «التأسيس البديل».</w:t>
      </w:r>
    </w:p>
    <w:p w14:paraId="1059912A" w14:textId="77777777" w:rsidR="0045635D" w:rsidRDefault="00000000" w:rsidP="00E811AA">
      <w:pPr>
        <w:pStyle w:val="2"/>
        <w:bidi/>
      </w:pPr>
      <w:r>
        <w:t>6.1 أطروحة حلاق: لماذا الدولة الإسلامية مستحيلة؟</w:t>
      </w:r>
    </w:p>
    <w:p w14:paraId="5722AA29" w14:textId="77777777" w:rsidR="0045635D" w:rsidRDefault="00000000" w:rsidP="00E811AA">
      <w:pPr>
        <w:spacing w:before="100" w:after="100" w:line="340" w:lineRule="auto"/>
      </w:pPr>
      <w:r>
        <w:rPr>
          <w:color w:val="1A1A2E"/>
        </w:rPr>
        <w:t>يرى حلاق أن الدولة الحديثة —في معماريتها الجوهرية— هي آلة مغايرة تماماً لكل ما أنتجه الإسلام تاريخياً من أشكال الحكم. فالدولة تقوم على: (1) الاحتكار المطلق للعنف المشروع (ماكس فيبر)؛ (2) السيادة المطلقة غير القابلة للتجزئة؛ (3) فصل الأخلاق عن القانون (الوضعية القانونية). وهذه الثلاثة تتعارض بنيوياً مع الأخلاق الإسلامية التي تقوم على: التشارك في الأخلاق (لا احتكار العنف)، والسيادة التوزيعية (لله ثم للأمة ثم للحاكم)، ووحدة القانون والأخلاق.</w:t>
      </w:r>
    </w:p>
    <w:p w14:paraId="67E6BFAF" w14:textId="77777777" w:rsidR="0045635D" w:rsidRDefault="00000000" w:rsidP="00E811AA">
      <w:pPr>
        <w:spacing w:before="100" w:after="100" w:line="340" w:lineRule="auto"/>
      </w:pPr>
      <w:r>
        <w:rPr>
          <w:color w:val="1A1A2E"/>
        </w:rPr>
        <w:t>خلاصة حلاق: أي محاولة لـ«أسلمة» الدولة الحديثة هي في الواقع «علمنة» الإسلام، لأن الإسلام يُدخل إلى الآلة الدولتية فيتشكّل وفق منطقها لا العكس. وهذا ما يُسمّيه «الاستعمار المعرفي» الأخطر.</w:t>
      </w:r>
    </w:p>
    <w:p w14:paraId="1A547FC8" w14:textId="77777777" w:rsidR="0045635D" w:rsidRDefault="00000000" w:rsidP="00E811AA">
      <w:pPr>
        <w:pStyle w:val="2"/>
        <w:bidi/>
      </w:pPr>
      <w:r>
        <w:t>6.2 موقف الزراع: لماذا التأسيس البديل ضرورة وليس وهماً؟</w:t>
      </w:r>
    </w:p>
    <w:p w14:paraId="36B6E204" w14:textId="77777777" w:rsidR="0045635D" w:rsidRDefault="00000000" w:rsidP="00E811AA">
      <w:pPr>
        <w:spacing w:before="100" w:after="100" w:line="340" w:lineRule="auto"/>
      </w:pPr>
      <w:r>
        <w:rPr>
          <w:color w:val="1A1A2E"/>
        </w:rPr>
        <w:t>يوافق الزراع حلاق في التشخيص: «الترميم السطحي» لا يجدي. لكنه يختلف معه في الخلاصة. فبينما يميل حلاق نحو «الغياب التكتيكي» عن الدولة وبناء مؤسسات مدنية وعلمية مستقلة عنها، يرى الزراع أن «تأسيس نموذج بديل» واجب وممكن، ويستند في ذلك إلى مسوّغات ثلاثة:</w:t>
      </w:r>
    </w:p>
    <w:p w14:paraId="21097C6F" w14:textId="77777777" w:rsidR="0045635D" w:rsidRDefault="00000000" w:rsidP="00E811AA">
      <w:pPr>
        <w:spacing w:before="100" w:after="100" w:line="340" w:lineRule="auto"/>
      </w:pPr>
      <w:r>
        <w:rPr>
          <w:color w:val="1A1A2E"/>
        </w:rPr>
        <w:t>المسوّغ الأول — تاريخي: الحضارة الإسلامية أنتجت بالفعل نماذج حوكمة مغايرة للنموذج الغربي، من المدينة النبوية إلى نظام الخلافة في أوجه، إلى تجارب المدن الأندلسية. وهذا دليل تاريخي على الإمكان لا على الاستحالة.</w:t>
      </w:r>
    </w:p>
    <w:p w14:paraId="03F78505" w14:textId="77777777" w:rsidR="0045635D" w:rsidRDefault="00000000" w:rsidP="00E811AA">
      <w:pPr>
        <w:spacing w:before="100" w:after="100" w:line="340" w:lineRule="auto"/>
      </w:pPr>
      <w:r>
        <w:rPr>
          <w:color w:val="1A1A2E"/>
        </w:rPr>
        <w:t>المسوّغ الثاني — وجودي: الإنسان المسلم لا يستطيع الهروب من «الدولة» في عالم اليوم؛ فهي حقيقة وجودية تُحيط به من كل جانب. ومن ثَمّ، فإن الانسحاب منها ليس «نقاءً» بل هو «غياب» يترك الميدان للنماذج المناقضة.</w:t>
      </w:r>
    </w:p>
    <w:p w14:paraId="49B6CA5C" w14:textId="77777777" w:rsidR="0045635D" w:rsidRDefault="00000000" w:rsidP="00E811AA">
      <w:pPr>
        <w:spacing w:before="100" w:after="100" w:line="340" w:lineRule="auto"/>
      </w:pPr>
      <w:r>
        <w:rPr>
          <w:color w:val="1A1A2E"/>
        </w:rPr>
        <w:t>المسوّغ الثالث — إيماني: الإيمان بالاستخلاف يستلزم العمل على تحقيق «الإصلاح في الأرض» لا الانتظار السلبي. وهذا المسوّغ يجعل بناء «الدولة الاستخلافية» فريضةً وجودية لا خياراً سياسياً.</w:t>
      </w:r>
    </w:p>
    <w:p w14:paraId="047E1872" w14:textId="77777777" w:rsidR="0045635D" w:rsidRDefault="00000000" w:rsidP="00E811AA">
      <w:pPr>
        <w:pStyle w:val="2"/>
        <w:bidi/>
      </w:pPr>
      <w:r>
        <w:t>6.3 تقييم نقدي: أين يلتقيان وأين يفترقان؟</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3120"/>
        <w:gridCol w:w="3120"/>
      </w:tblGrid>
      <w:tr w:rsidR="0045635D" w14:paraId="320ECDBB" w14:textId="77777777">
        <w:tc>
          <w:tcPr>
            <w:tcW w:w="3120" w:type="dxa"/>
            <w:tcBorders>
              <w:top w:val="single" w:sz="4" w:space="0" w:color="AAAAAA"/>
              <w:left w:val="single" w:sz="4" w:space="0" w:color="AAAAAA"/>
              <w:bottom w:val="single" w:sz="4" w:space="0" w:color="AAAAAA"/>
              <w:right w:val="single" w:sz="4" w:space="0" w:color="AAAAAA"/>
            </w:tcBorders>
            <w:shd w:val="clear" w:color="auto" w:fill="1B3A5C"/>
            <w:tcMar>
              <w:top w:w="100" w:type="dxa"/>
              <w:left w:w="150" w:type="dxa"/>
              <w:bottom w:w="100" w:type="dxa"/>
              <w:right w:w="150" w:type="dxa"/>
            </w:tcMar>
            <w:vAlign w:val="center"/>
          </w:tcPr>
          <w:p w14:paraId="747C8BE7" w14:textId="77777777" w:rsidR="0045635D" w:rsidRDefault="00000000" w:rsidP="00E811AA">
            <w:r>
              <w:rPr>
                <w:b/>
                <w:bCs/>
                <w:color w:val="FFFFFF"/>
                <w:sz w:val="22"/>
                <w:szCs w:val="22"/>
              </w:rPr>
              <w:t>الموضع</w:t>
            </w:r>
          </w:p>
        </w:tc>
        <w:tc>
          <w:tcPr>
            <w:tcW w:w="3120" w:type="dxa"/>
            <w:tcBorders>
              <w:top w:val="single" w:sz="4" w:space="0" w:color="AAAAAA"/>
              <w:left w:val="single" w:sz="4" w:space="0" w:color="AAAAAA"/>
              <w:bottom w:val="single" w:sz="4" w:space="0" w:color="AAAAAA"/>
              <w:right w:val="single" w:sz="4" w:space="0" w:color="AAAAAA"/>
            </w:tcBorders>
            <w:shd w:val="clear" w:color="auto" w:fill="1B3A5C"/>
            <w:tcMar>
              <w:top w:w="100" w:type="dxa"/>
              <w:left w:w="150" w:type="dxa"/>
              <w:bottom w:w="100" w:type="dxa"/>
              <w:right w:w="150" w:type="dxa"/>
            </w:tcMar>
            <w:vAlign w:val="center"/>
          </w:tcPr>
          <w:p w14:paraId="6910097D" w14:textId="77777777" w:rsidR="0045635D" w:rsidRDefault="00000000" w:rsidP="00E811AA">
            <w:r>
              <w:rPr>
                <w:b/>
                <w:bCs/>
                <w:color w:val="FFFFFF"/>
                <w:sz w:val="22"/>
                <w:szCs w:val="22"/>
              </w:rPr>
              <w:t>حلاق</w:t>
            </w:r>
          </w:p>
        </w:tc>
        <w:tc>
          <w:tcPr>
            <w:tcW w:w="3120" w:type="dxa"/>
            <w:tcBorders>
              <w:top w:val="single" w:sz="4" w:space="0" w:color="AAAAAA"/>
              <w:left w:val="single" w:sz="4" w:space="0" w:color="AAAAAA"/>
              <w:bottom w:val="single" w:sz="4" w:space="0" w:color="AAAAAA"/>
              <w:right w:val="single" w:sz="4" w:space="0" w:color="AAAAAA"/>
            </w:tcBorders>
            <w:shd w:val="clear" w:color="auto" w:fill="1B3A5C"/>
            <w:tcMar>
              <w:top w:w="100" w:type="dxa"/>
              <w:left w:w="150" w:type="dxa"/>
              <w:bottom w:w="100" w:type="dxa"/>
              <w:right w:w="150" w:type="dxa"/>
            </w:tcMar>
            <w:vAlign w:val="center"/>
          </w:tcPr>
          <w:p w14:paraId="2748E1E5" w14:textId="77777777" w:rsidR="0045635D" w:rsidRDefault="00000000" w:rsidP="00E811AA">
            <w:r>
              <w:rPr>
                <w:b/>
                <w:bCs/>
                <w:color w:val="FFFFFF"/>
                <w:sz w:val="22"/>
                <w:szCs w:val="22"/>
              </w:rPr>
              <w:t>الزراع</w:t>
            </w:r>
          </w:p>
        </w:tc>
      </w:tr>
      <w:tr w:rsidR="0045635D" w14:paraId="2C53AAB7" w14:textId="77777777">
        <w:tc>
          <w:tcPr>
            <w:tcW w:w="3120" w:type="dxa"/>
            <w:tcBorders>
              <w:top w:val="single" w:sz="4" w:space="0" w:color="AAAAAA"/>
              <w:left w:val="single" w:sz="4" w:space="0" w:color="AAAAAA"/>
              <w:bottom w:val="single" w:sz="4" w:space="0" w:color="AAAAAA"/>
              <w:right w:val="single" w:sz="4" w:space="0" w:color="AAAAAA"/>
            </w:tcBorders>
            <w:shd w:val="clear" w:color="auto" w:fill="1D6A72"/>
            <w:tcMar>
              <w:top w:w="100" w:type="dxa"/>
              <w:left w:w="150" w:type="dxa"/>
              <w:bottom w:w="100" w:type="dxa"/>
              <w:right w:w="150" w:type="dxa"/>
            </w:tcMar>
            <w:vAlign w:val="center"/>
          </w:tcPr>
          <w:p w14:paraId="7CF759F8" w14:textId="77777777" w:rsidR="0045635D" w:rsidRDefault="00000000" w:rsidP="00E811AA">
            <w:r>
              <w:rPr>
                <w:b/>
                <w:bCs/>
                <w:color w:val="FFFFFF"/>
                <w:sz w:val="22"/>
                <w:szCs w:val="22"/>
              </w:rPr>
              <w:t>تشخيص المشكلة</w:t>
            </w:r>
          </w:p>
        </w:tc>
        <w:tc>
          <w:tcPr>
            <w:tcW w:w="3120" w:type="dxa"/>
            <w:tcBorders>
              <w:top w:val="single" w:sz="4" w:space="0" w:color="AAAAAA"/>
              <w:left w:val="single" w:sz="4" w:space="0" w:color="AAAAAA"/>
              <w:bottom w:val="single" w:sz="4" w:space="0" w:color="AAAAAA"/>
              <w:right w:val="single" w:sz="4" w:space="0" w:color="AAAAAA"/>
            </w:tcBorders>
            <w:shd w:val="clear" w:color="auto" w:fill="D0EBEC"/>
            <w:tcMar>
              <w:top w:w="80" w:type="dxa"/>
              <w:left w:w="150" w:type="dxa"/>
              <w:bottom w:w="80" w:type="dxa"/>
              <w:right w:w="150" w:type="dxa"/>
            </w:tcMar>
            <w:vAlign w:val="center"/>
          </w:tcPr>
          <w:p w14:paraId="38437388" w14:textId="77777777" w:rsidR="0045635D" w:rsidRDefault="00000000" w:rsidP="00E811AA">
            <w:r>
              <w:rPr>
                <w:color w:val="1A1A2E"/>
                <w:sz w:val="21"/>
                <w:szCs w:val="21"/>
              </w:rPr>
              <w:t>الدولة الحديثة بنيوياً معادية للإسلام</w:t>
            </w:r>
          </w:p>
        </w:tc>
        <w:tc>
          <w:tcPr>
            <w:tcW w:w="312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50" w:type="dxa"/>
              <w:bottom w:w="80" w:type="dxa"/>
              <w:right w:w="150" w:type="dxa"/>
            </w:tcMar>
            <w:vAlign w:val="center"/>
          </w:tcPr>
          <w:p w14:paraId="0EB40C97" w14:textId="77777777" w:rsidR="0045635D" w:rsidRDefault="00000000" w:rsidP="00E811AA">
            <w:r>
              <w:rPr>
                <w:color w:val="1A1A2E"/>
                <w:sz w:val="21"/>
                <w:szCs w:val="21"/>
              </w:rPr>
              <w:t>موافق: الترميم السطحي إخفاق وجودي</w:t>
            </w:r>
          </w:p>
        </w:tc>
      </w:tr>
      <w:tr w:rsidR="0045635D" w14:paraId="389A5E6B" w14:textId="77777777">
        <w:tc>
          <w:tcPr>
            <w:tcW w:w="3120" w:type="dxa"/>
            <w:tcBorders>
              <w:top w:val="single" w:sz="4" w:space="0" w:color="AAAAAA"/>
              <w:left w:val="single" w:sz="4" w:space="0" w:color="AAAAAA"/>
              <w:bottom w:val="single" w:sz="4" w:space="0" w:color="AAAAAA"/>
              <w:right w:val="single" w:sz="4" w:space="0" w:color="AAAAAA"/>
            </w:tcBorders>
            <w:shd w:val="clear" w:color="auto" w:fill="1D6A72"/>
            <w:tcMar>
              <w:top w:w="100" w:type="dxa"/>
              <w:left w:w="150" w:type="dxa"/>
              <w:bottom w:w="100" w:type="dxa"/>
              <w:right w:w="150" w:type="dxa"/>
            </w:tcMar>
            <w:vAlign w:val="center"/>
          </w:tcPr>
          <w:p w14:paraId="20C8E841" w14:textId="77777777" w:rsidR="0045635D" w:rsidRDefault="00000000" w:rsidP="00E811AA">
            <w:r>
              <w:rPr>
                <w:b/>
                <w:bCs/>
                <w:color w:val="FFFFFF"/>
                <w:sz w:val="22"/>
                <w:szCs w:val="22"/>
              </w:rPr>
              <w:t>العلاج</w:t>
            </w:r>
          </w:p>
        </w:tc>
        <w:tc>
          <w:tcPr>
            <w:tcW w:w="3120" w:type="dxa"/>
            <w:tcBorders>
              <w:top w:val="single" w:sz="4" w:space="0" w:color="AAAAAA"/>
              <w:left w:val="single" w:sz="4" w:space="0" w:color="AAAAAA"/>
              <w:bottom w:val="single" w:sz="4" w:space="0" w:color="AAAAAA"/>
              <w:right w:val="single" w:sz="4" w:space="0" w:color="AAAAAA"/>
            </w:tcBorders>
            <w:shd w:val="clear" w:color="auto" w:fill="D0EBEC"/>
            <w:tcMar>
              <w:top w:w="80" w:type="dxa"/>
              <w:left w:w="150" w:type="dxa"/>
              <w:bottom w:w="80" w:type="dxa"/>
              <w:right w:w="150" w:type="dxa"/>
            </w:tcMar>
            <w:vAlign w:val="center"/>
          </w:tcPr>
          <w:p w14:paraId="5682BAD0" w14:textId="77777777" w:rsidR="0045635D" w:rsidRDefault="00000000" w:rsidP="00E811AA">
            <w:r>
              <w:rPr>
                <w:color w:val="1A1A2E"/>
                <w:sz w:val="21"/>
                <w:szCs w:val="21"/>
              </w:rPr>
              <w:t>الانسحاب التكتيكي وبناء المدني</w:t>
            </w:r>
          </w:p>
        </w:tc>
        <w:tc>
          <w:tcPr>
            <w:tcW w:w="312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50" w:type="dxa"/>
              <w:bottom w:w="80" w:type="dxa"/>
              <w:right w:w="150" w:type="dxa"/>
            </w:tcMar>
            <w:vAlign w:val="center"/>
          </w:tcPr>
          <w:p w14:paraId="7045960D" w14:textId="77777777" w:rsidR="0045635D" w:rsidRDefault="00000000" w:rsidP="00E811AA">
            <w:r>
              <w:rPr>
                <w:color w:val="1A1A2E"/>
                <w:sz w:val="21"/>
                <w:szCs w:val="21"/>
              </w:rPr>
              <w:t>التأسيس البديل: هندسة دولة جديدة</w:t>
            </w:r>
          </w:p>
        </w:tc>
      </w:tr>
      <w:tr w:rsidR="0045635D" w14:paraId="60CA0F0B" w14:textId="77777777">
        <w:tc>
          <w:tcPr>
            <w:tcW w:w="3120" w:type="dxa"/>
            <w:tcBorders>
              <w:top w:val="single" w:sz="4" w:space="0" w:color="AAAAAA"/>
              <w:left w:val="single" w:sz="4" w:space="0" w:color="AAAAAA"/>
              <w:bottom w:val="single" w:sz="4" w:space="0" w:color="AAAAAA"/>
              <w:right w:val="single" w:sz="4" w:space="0" w:color="AAAAAA"/>
            </w:tcBorders>
            <w:shd w:val="clear" w:color="auto" w:fill="1D6A72"/>
            <w:tcMar>
              <w:top w:w="100" w:type="dxa"/>
              <w:left w:w="150" w:type="dxa"/>
              <w:bottom w:w="100" w:type="dxa"/>
              <w:right w:w="150" w:type="dxa"/>
            </w:tcMar>
            <w:vAlign w:val="center"/>
          </w:tcPr>
          <w:p w14:paraId="152505B7" w14:textId="77777777" w:rsidR="0045635D" w:rsidRDefault="00000000" w:rsidP="00E811AA">
            <w:r>
              <w:rPr>
                <w:b/>
                <w:bCs/>
                <w:color w:val="FFFFFF"/>
                <w:sz w:val="22"/>
                <w:szCs w:val="22"/>
              </w:rPr>
              <w:t>موقف الشريعة</w:t>
            </w:r>
          </w:p>
        </w:tc>
        <w:tc>
          <w:tcPr>
            <w:tcW w:w="3120" w:type="dxa"/>
            <w:tcBorders>
              <w:top w:val="single" w:sz="4" w:space="0" w:color="AAAAAA"/>
              <w:left w:val="single" w:sz="4" w:space="0" w:color="AAAAAA"/>
              <w:bottom w:val="single" w:sz="4" w:space="0" w:color="AAAAAA"/>
              <w:right w:val="single" w:sz="4" w:space="0" w:color="AAAAAA"/>
            </w:tcBorders>
            <w:shd w:val="clear" w:color="auto" w:fill="D0EBEC"/>
            <w:tcMar>
              <w:top w:w="80" w:type="dxa"/>
              <w:left w:w="150" w:type="dxa"/>
              <w:bottom w:w="80" w:type="dxa"/>
              <w:right w:w="150" w:type="dxa"/>
            </w:tcMar>
            <w:vAlign w:val="center"/>
          </w:tcPr>
          <w:p w14:paraId="485904F6" w14:textId="77777777" w:rsidR="0045635D" w:rsidRDefault="00000000" w:rsidP="00E811AA">
            <w:r>
              <w:rPr>
                <w:color w:val="1A1A2E"/>
                <w:sz w:val="21"/>
                <w:szCs w:val="21"/>
              </w:rPr>
              <w:t>لا تُدمج في إطار الدولة الحديثة</w:t>
            </w:r>
          </w:p>
        </w:tc>
        <w:tc>
          <w:tcPr>
            <w:tcW w:w="312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50" w:type="dxa"/>
              <w:bottom w:w="80" w:type="dxa"/>
              <w:right w:w="150" w:type="dxa"/>
            </w:tcMar>
            <w:vAlign w:val="center"/>
          </w:tcPr>
          <w:p w14:paraId="1A203626" w14:textId="77777777" w:rsidR="0045635D" w:rsidRDefault="00000000" w:rsidP="00E811AA">
            <w:r>
              <w:rPr>
                <w:color w:val="1A1A2E"/>
                <w:sz w:val="21"/>
                <w:szCs w:val="21"/>
              </w:rPr>
              <w:t>أساس لنموذج حوكمة متكامل</w:t>
            </w:r>
          </w:p>
        </w:tc>
      </w:tr>
      <w:tr w:rsidR="0045635D" w14:paraId="4A37097C" w14:textId="77777777">
        <w:tc>
          <w:tcPr>
            <w:tcW w:w="3120" w:type="dxa"/>
            <w:tcBorders>
              <w:top w:val="single" w:sz="4" w:space="0" w:color="AAAAAA"/>
              <w:left w:val="single" w:sz="4" w:space="0" w:color="AAAAAA"/>
              <w:bottom w:val="single" w:sz="4" w:space="0" w:color="AAAAAA"/>
              <w:right w:val="single" w:sz="4" w:space="0" w:color="AAAAAA"/>
            </w:tcBorders>
            <w:shd w:val="clear" w:color="auto" w:fill="1D6A72"/>
            <w:tcMar>
              <w:top w:w="100" w:type="dxa"/>
              <w:left w:w="150" w:type="dxa"/>
              <w:bottom w:w="100" w:type="dxa"/>
              <w:right w:w="150" w:type="dxa"/>
            </w:tcMar>
            <w:vAlign w:val="center"/>
          </w:tcPr>
          <w:p w14:paraId="42AFFE86" w14:textId="77777777" w:rsidR="0045635D" w:rsidRDefault="00000000" w:rsidP="00E811AA">
            <w:r>
              <w:rPr>
                <w:b/>
                <w:bCs/>
                <w:color w:val="FFFFFF"/>
                <w:sz w:val="22"/>
                <w:szCs w:val="22"/>
              </w:rPr>
              <w:t>الأفق الزمني</w:t>
            </w:r>
          </w:p>
        </w:tc>
        <w:tc>
          <w:tcPr>
            <w:tcW w:w="3120" w:type="dxa"/>
            <w:tcBorders>
              <w:top w:val="single" w:sz="4" w:space="0" w:color="AAAAAA"/>
              <w:left w:val="single" w:sz="4" w:space="0" w:color="AAAAAA"/>
              <w:bottom w:val="single" w:sz="4" w:space="0" w:color="AAAAAA"/>
              <w:right w:val="single" w:sz="4" w:space="0" w:color="AAAAAA"/>
            </w:tcBorders>
            <w:shd w:val="clear" w:color="auto" w:fill="D0EBEC"/>
            <w:tcMar>
              <w:top w:w="80" w:type="dxa"/>
              <w:left w:w="150" w:type="dxa"/>
              <w:bottom w:w="80" w:type="dxa"/>
              <w:right w:w="150" w:type="dxa"/>
            </w:tcMar>
            <w:vAlign w:val="center"/>
          </w:tcPr>
          <w:p w14:paraId="74C4393C" w14:textId="77777777" w:rsidR="0045635D" w:rsidRDefault="00000000" w:rsidP="00E811AA">
            <w:r>
              <w:rPr>
                <w:color w:val="1A1A2E"/>
                <w:sz w:val="21"/>
                <w:szCs w:val="21"/>
              </w:rPr>
              <w:t>تغيير بطيء عبر التعليم والثقافة</w:t>
            </w:r>
          </w:p>
        </w:tc>
        <w:tc>
          <w:tcPr>
            <w:tcW w:w="312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50" w:type="dxa"/>
              <w:bottom w:w="80" w:type="dxa"/>
              <w:right w:w="150" w:type="dxa"/>
            </w:tcMar>
            <w:vAlign w:val="center"/>
          </w:tcPr>
          <w:p w14:paraId="26D4BBD8" w14:textId="77777777" w:rsidR="0045635D" w:rsidRDefault="00000000" w:rsidP="00E811AA">
            <w:r>
              <w:rPr>
                <w:color w:val="1A1A2E"/>
                <w:sz w:val="21"/>
                <w:szCs w:val="21"/>
              </w:rPr>
              <w:t>مشروع مزدوج: آني ومستقبلي</w:t>
            </w:r>
          </w:p>
        </w:tc>
      </w:tr>
      <w:tr w:rsidR="0045635D" w14:paraId="137D5A56" w14:textId="77777777">
        <w:tc>
          <w:tcPr>
            <w:tcW w:w="3120" w:type="dxa"/>
            <w:tcBorders>
              <w:top w:val="single" w:sz="4" w:space="0" w:color="AAAAAA"/>
              <w:left w:val="single" w:sz="4" w:space="0" w:color="AAAAAA"/>
              <w:bottom w:val="single" w:sz="4" w:space="0" w:color="AAAAAA"/>
              <w:right w:val="single" w:sz="4" w:space="0" w:color="AAAAAA"/>
            </w:tcBorders>
            <w:shd w:val="clear" w:color="auto" w:fill="1D6A72"/>
            <w:tcMar>
              <w:top w:w="100" w:type="dxa"/>
              <w:left w:w="150" w:type="dxa"/>
              <w:bottom w:w="100" w:type="dxa"/>
              <w:right w:w="150" w:type="dxa"/>
            </w:tcMar>
            <w:vAlign w:val="center"/>
          </w:tcPr>
          <w:p w14:paraId="3C73C6D8" w14:textId="77777777" w:rsidR="0045635D" w:rsidRDefault="00000000" w:rsidP="00E811AA">
            <w:r>
              <w:rPr>
                <w:b/>
                <w:bCs/>
                <w:color w:val="FFFFFF"/>
                <w:sz w:val="22"/>
                <w:szCs w:val="22"/>
              </w:rPr>
              <w:t>الموقف من الإمكان</w:t>
            </w:r>
          </w:p>
        </w:tc>
        <w:tc>
          <w:tcPr>
            <w:tcW w:w="3120" w:type="dxa"/>
            <w:tcBorders>
              <w:top w:val="single" w:sz="4" w:space="0" w:color="AAAAAA"/>
              <w:left w:val="single" w:sz="4" w:space="0" w:color="AAAAAA"/>
              <w:bottom w:val="single" w:sz="4" w:space="0" w:color="AAAAAA"/>
              <w:right w:val="single" w:sz="4" w:space="0" w:color="AAAAAA"/>
            </w:tcBorders>
            <w:shd w:val="clear" w:color="auto" w:fill="D0EBEC"/>
            <w:tcMar>
              <w:top w:w="80" w:type="dxa"/>
              <w:left w:w="150" w:type="dxa"/>
              <w:bottom w:w="80" w:type="dxa"/>
              <w:right w:w="150" w:type="dxa"/>
            </w:tcMar>
            <w:vAlign w:val="center"/>
          </w:tcPr>
          <w:p w14:paraId="40A01C6B" w14:textId="77777777" w:rsidR="0045635D" w:rsidRDefault="00000000" w:rsidP="00E811AA">
            <w:r>
              <w:rPr>
                <w:color w:val="1A1A2E"/>
                <w:sz w:val="21"/>
                <w:szCs w:val="21"/>
              </w:rPr>
              <w:t>تشاؤم بنيوي</w:t>
            </w:r>
          </w:p>
        </w:tc>
        <w:tc>
          <w:tcPr>
            <w:tcW w:w="312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50" w:type="dxa"/>
              <w:bottom w:w="80" w:type="dxa"/>
              <w:right w:w="150" w:type="dxa"/>
            </w:tcMar>
            <w:vAlign w:val="center"/>
          </w:tcPr>
          <w:p w14:paraId="596F0771" w14:textId="77777777" w:rsidR="0045635D" w:rsidRDefault="00000000" w:rsidP="00E811AA">
            <w:r>
              <w:rPr>
                <w:color w:val="1A1A2E"/>
                <w:sz w:val="21"/>
                <w:szCs w:val="21"/>
              </w:rPr>
              <w:t>تفاؤل إيماني مشروط بالضوابط</w:t>
            </w:r>
          </w:p>
        </w:tc>
      </w:tr>
    </w:tbl>
    <w:p w14:paraId="4AFF5861" w14:textId="77777777" w:rsidR="0045635D" w:rsidRDefault="00000000" w:rsidP="00E811AA">
      <w:pPr>
        <w:spacing w:before="100" w:after="100" w:line="340" w:lineRule="auto"/>
      </w:pPr>
      <w:r>
        <w:rPr>
          <w:color w:val="1A1A2E"/>
        </w:rPr>
        <w:t>الخلاصة النقدية: حلاق أدق في نقد النموذج القائم، والزراع أكثر جرأةً في طرح البديل. ومشروع الأطروحة الاستخلافية يكتسب قوته من جمعه بين نقد حلاق للحاضر ورؤية الزراع للمستقبل. غير أن الثغرة الباقية هي عدم الإجابة الكافية على سؤال حلاق: كيف تضمن أن «الدولة الاستخلافية» لن تتحول هي نفسها إلى ماكينة هيمنة على المجتمع بعباءة إلهية؟</w:t>
      </w:r>
    </w:p>
    <w:p w14:paraId="40EE517D" w14:textId="77777777" w:rsidR="0045635D" w:rsidRDefault="00000000" w:rsidP="00E811AA">
      <w:pPr>
        <w:pStyle w:val="1"/>
        <w:pageBreakBefore/>
        <w:bidi/>
      </w:pPr>
      <w:r>
        <w:t>الفصل السابع [جديد]: مستويات الفصام الأخلاقي — من المرضى السريري إلى المأزق المؤسسي</w:t>
      </w:r>
    </w:p>
    <w:p w14:paraId="11B8F07F" w14:textId="77777777" w:rsidR="0045635D" w:rsidRDefault="00000000" w:rsidP="00E811AA">
      <w:pPr>
        <w:spacing w:before="100" w:after="100" w:line="340" w:lineRule="auto"/>
      </w:pPr>
      <w:r>
        <w:rPr>
          <w:color w:val="1A1A2E"/>
        </w:rPr>
        <w:t>يستخدم البحث الأصلي مفهوم «الفصام الأخلاقي» (Moral Schizophrenia) بحرية انتقالية بين المستوى الفردي والمستوى المؤسسي دون تمييز تحليلي كافٍ. ويُعدّ هذا التمييز ضرورياً للحفاظ على الدقة المنهجية.</w:t>
      </w:r>
    </w:p>
    <w:p w14:paraId="7EEEE192" w14:textId="77777777" w:rsidR="0045635D" w:rsidRDefault="00000000" w:rsidP="00E811AA">
      <w:pPr>
        <w:pStyle w:val="2"/>
        <w:bidi/>
      </w:pPr>
      <w:r>
        <w:t>7.1 الفصام الأخلاقي في الفلسفة الغربية</w:t>
      </w:r>
    </w:p>
    <w:p w14:paraId="2D50890A" w14:textId="77777777" w:rsidR="0045635D" w:rsidRDefault="00000000" w:rsidP="00E811AA">
      <w:pPr>
        <w:spacing w:before="100" w:after="100" w:line="340" w:lineRule="auto"/>
      </w:pPr>
      <w:r>
        <w:rPr>
          <w:color w:val="1A1A2E"/>
        </w:rPr>
        <w:t>يرتبط المفهوم في الفلسفة الأنجلوأمريكية بأعمال Susan Wolf في نقد المسؤولية الأخلاقية، و R. M. Hare في تحليل الصراع بين المبادئ الأخلاقية المتضاربة. ويُشير —بوجه عام— إلى الحالة التي يُقرّ فيها الفاعل بمبادئ متناقضة وينبني عليها في آنٍ واحد، دون أن يستطيع الخروج من التناقض.</w:t>
      </w:r>
    </w:p>
    <w:p w14:paraId="05A606CC" w14:textId="77777777" w:rsidR="0045635D" w:rsidRDefault="00000000" w:rsidP="00E811AA">
      <w:pPr>
        <w:pStyle w:val="2"/>
        <w:bidi/>
      </w:pPr>
      <w:r>
        <w:t>7.2 المستوى السريري (مستوى الفرد)</w:t>
      </w:r>
    </w:p>
    <w:p w14:paraId="4D5F827F" w14:textId="77777777" w:rsidR="0045635D" w:rsidRDefault="00000000" w:rsidP="00E811AA">
      <w:pPr>
        <w:spacing w:before="100" w:after="100" w:line="340" w:lineRule="auto"/>
      </w:pPr>
      <w:r>
        <w:rPr>
          <w:color w:val="1A1A2E"/>
        </w:rPr>
        <w:t>على مستوى الفرد، يعيش «المواطن المسلم» في الدولة الحديثة ما يُشبه «الفصام الهوياتي» (Identity Schizophrenia): فهو «مؤمن» يُقرّ بسيادة الله، و«مواطن» يُلزمه الدستور بسيادة الشعب. ويُدمج هذا التناقض داخله على شكل: انفصام بين «الأخلاق الخاصة» (ما يعتقده) و«الأخلاق العامة» (ما يُمارسه في الفضاء السياسي).</w:t>
      </w:r>
    </w:p>
    <w:p w14:paraId="641E196D" w14:textId="77777777" w:rsidR="0045635D" w:rsidRDefault="00000000" w:rsidP="00E811AA">
      <w:pPr>
        <w:spacing w:before="100" w:after="100" w:line="340" w:lineRule="auto"/>
      </w:pPr>
      <w:r>
        <w:rPr>
          <w:color w:val="1A1A2E"/>
        </w:rPr>
        <w:t>في منظور «علم النفس الاستخلافي»، يُنتج هذا «الانفصام» ما يُسمى في الأطروحة بـ«اللوامة المزمنة»: ضمير يُراقب ويُؤنّب، لكنه لا يجد مخرجاً عملياً. وهذا بالضبط ما تعالجه آلية TLRT على المستوى النفسي الفردي.</w:t>
      </w:r>
    </w:p>
    <w:p w14:paraId="71C25BE3" w14:textId="77777777" w:rsidR="0045635D" w:rsidRDefault="00000000" w:rsidP="00E811AA">
      <w:pPr>
        <w:pStyle w:val="2"/>
        <w:bidi/>
      </w:pPr>
      <w:r>
        <w:t>7.3 المستوى المؤسسي (مستوى الدولة)</w:t>
      </w:r>
    </w:p>
    <w:p w14:paraId="484C05E1" w14:textId="77777777" w:rsidR="0045635D" w:rsidRDefault="00000000" w:rsidP="00E811AA">
      <w:pPr>
        <w:spacing w:before="100" w:after="100" w:line="340" w:lineRule="auto"/>
      </w:pPr>
      <w:r>
        <w:rPr>
          <w:color w:val="1A1A2E"/>
        </w:rPr>
        <w:t>على مستوى الدولة، «الفصام» يأخذ شكلاً مختلفاً: هو تناقض بنيوي بين «الخطاب الرسمي» (تُعلن الدولة مرجعيتها الإسلامية) و«المنطق التشغيلي» (تُدار الدولة فعلياً بمنطق الدولة الحديثة الليبرالية). هذا الفصام المؤسسي لا يُعالَج بـ«علاج نفسي»، بل يتطلب «إصلاحاً بنيوياً» في معمارية الدولة.</w:t>
      </w:r>
    </w:p>
    <w:p w14:paraId="278A70AA" w14:textId="77777777" w:rsidR="0045635D" w:rsidRDefault="00000000" w:rsidP="00E811AA">
      <w:pPr>
        <w:pStyle w:val="2"/>
        <w:bidi/>
      </w:pPr>
      <w:r>
        <w:t>7.4 الوساطة النظرية: كيف ينتقل المفهوم بين المستويين؟</w:t>
      </w:r>
    </w:p>
    <w:p w14:paraId="05110121" w14:textId="77777777" w:rsidR="0045635D" w:rsidRDefault="00000000" w:rsidP="00E811AA">
      <w:pPr>
        <w:spacing w:before="100" w:after="100" w:line="340" w:lineRule="auto"/>
      </w:pPr>
      <w:r>
        <w:rPr>
          <w:color w:val="1A1A2E"/>
        </w:rPr>
        <w:t>يحتاج الانتقال بين المستوى السريري والمستوى المؤسسي إلى وسيط نظري. ويُقدّم «علم الاجتماع النفسي» (Psychosociology) هذا الجسر: فالمؤسسات تُنتج «ثقافات نفسية» والثقافات النفسية تُشكّل المؤسسات. «الفصام المؤسسي» ينعكس على «الفصام الفردي» ويتغذّى منه في حلقة مفرغة.</w:t>
      </w:r>
    </w:p>
    <w:p w14:paraId="7864FA85" w14:textId="77777777" w:rsidR="0045635D" w:rsidRDefault="00000000" w:rsidP="00E811AA">
      <w:pPr>
        <w:spacing w:before="100" w:after="100" w:line="340" w:lineRule="auto"/>
      </w:pPr>
      <w:r>
        <w:rPr>
          <w:color w:val="1A1A2E"/>
        </w:rPr>
        <w:t>الإضافة الأصيلة التي يقدّمها «علم النفس الاستخلافي» هي أن علاج «الفصام الفردي» شرط ضروري لعلاج «الفصام المؤسسي»، لأن المؤسسات يبنيها بشر وتحكمها عقليات. فلا يمكن بناء «الدولة الاستخلافية» بنفوس فُصامية.</w:t>
      </w:r>
    </w:p>
    <w:p w14:paraId="54EBAE9C" w14:textId="77777777" w:rsidR="0045635D" w:rsidRDefault="00000000" w:rsidP="00E811AA">
      <w:pPr>
        <w:pStyle w:val="1"/>
        <w:pageBreakBefore/>
        <w:bidi/>
      </w:pPr>
      <w:r>
        <w:t>الفصل الثامن [جديد]: حوار مع نوسباوم — نظرية «القدرات» كمرجع مقارن لمفهوم «الإحسان»</w:t>
      </w:r>
    </w:p>
    <w:p w14:paraId="70967EE5" w14:textId="77777777" w:rsidR="0045635D" w:rsidRDefault="00000000" w:rsidP="00E811AA">
      <w:pPr>
        <w:spacing w:before="100" w:after="100" w:line="340" w:lineRule="auto"/>
      </w:pPr>
      <w:r>
        <w:rPr>
          <w:color w:val="1A1A2E"/>
        </w:rPr>
        <w:t>تطرح الفيلسوفة الأمريكية مارثا نوسباوم «نهج القدرات» (Capabilities Approach)، الذي طوّرته مع الاقتصادي الهندي أمارتيا سين، بوصفه معياراً للتقييم السياسي والقانوني يتجاوز مؤشرات الدخل والنمو إلى السؤال عن: «ما الذي يستطيع الإنسان الفعلي أن يكون وأن يفعل؟» وهو —في جوهره— سؤال قريب جداً مما يطرحه الزراع بمفهوم «الإحسان» و«الحياة الطيبة».</w:t>
      </w:r>
    </w:p>
    <w:p w14:paraId="588F0A6E" w14:textId="77777777" w:rsidR="0045635D" w:rsidRDefault="00000000" w:rsidP="00E811AA">
      <w:pPr>
        <w:pStyle w:val="2"/>
        <w:bidi/>
      </w:pPr>
      <w:r>
        <w:t>8.1 القدرات الجوهرية العشر عند نوسباوم</w:t>
      </w:r>
    </w:p>
    <w:p w14:paraId="029005BE" w14:textId="77777777" w:rsidR="0045635D" w:rsidRDefault="00000000" w:rsidP="00E811AA">
      <w:pPr>
        <w:spacing w:before="100" w:after="100" w:line="340" w:lineRule="auto"/>
      </w:pPr>
      <w:r>
        <w:rPr>
          <w:color w:val="1A1A2E"/>
        </w:rPr>
        <w:t>تُحدد نوسباوم عشر قدرات جوهرية يجب أن تضمنها الدولة لكل مواطن: (1) الحياة الطبيعية الكاملة؛ (2) الصحة الجسدية؛ (3) سلامة الجسد والحماية من الإكراه؛ (4) الحواس والخيال والتفكير؛ (5) العواطف والتعلق؛ (6) العقل العملي (القدرة على تكوين تصوّر للخير)؛ (7) الانتماء (التفاعل الاجتماعي والكرامة)؛ (8) العيش مع أنواع أخرى (الطبيعة والحيوان)؛ (9) اللعب؛ (10) التحكم في البيئة السياسية والمادية.</w:t>
      </w:r>
    </w:p>
    <w:p w14:paraId="6A38ED16" w14:textId="77777777" w:rsidR="0045635D" w:rsidRDefault="00000000" w:rsidP="00E811AA">
      <w:pPr>
        <w:pStyle w:val="2"/>
        <w:bidi/>
      </w:pPr>
      <w:r>
        <w:t>8.2 نقاط التقاطع مع الأطروحة الاستخلافية</w:t>
      </w:r>
    </w:p>
    <w:p w14:paraId="24EC6580" w14:textId="77777777" w:rsidR="0045635D" w:rsidRDefault="00000000" w:rsidP="00E811AA">
      <w:pPr>
        <w:spacing w:before="100" w:after="100" w:line="340" w:lineRule="auto"/>
      </w:pPr>
      <w:r>
        <w:rPr>
          <w:color w:val="1A1A2E"/>
        </w:rPr>
        <w:t>أولاً: كلا النموذجين يرفض اختزال الإنسان في الرقم الاقتصادي. فنوسباوم تنتقد الناتج القومي الإجمالي معياراً وحيداً، والزراع ينتقد «إدارة الموارد» بديلاً عن «الحياة الطيبة».</w:t>
      </w:r>
    </w:p>
    <w:p w14:paraId="1BFE9753" w14:textId="77777777" w:rsidR="0045635D" w:rsidRDefault="00000000" w:rsidP="00E811AA">
      <w:pPr>
        <w:spacing w:before="100" w:after="100" w:line="340" w:lineRule="auto"/>
      </w:pPr>
      <w:r>
        <w:rPr>
          <w:color w:val="1A1A2E"/>
        </w:rPr>
        <w:t>ثانياً: كلاهما يُعلّق أهمية استثنائية على «العقل العملي» (Practical Reason)؛ فـ«القدرة السادسة» عند نوسباوم (تكوين تصوّر للخير) تُوازي «الفطرة» عند الزراع بوصفها ملكة أصيلة تُميّز الإنسان وتُؤهله للاستخلاف.</w:t>
      </w:r>
    </w:p>
    <w:p w14:paraId="11000AFF" w14:textId="77777777" w:rsidR="0045635D" w:rsidRDefault="00000000" w:rsidP="00E811AA">
      <w:pPr>
        <w:spacing w:before="100" w:after="100" w:line="340" w:lineRule="auto"/>
      </w:pPr>
      <w:r>
        <w:rPr>
          <w:color w:val="1A1A2E"/>
        </w:rPr>
        <w:t>ثالثاً: الانتماء والكرامة (القدرة السابعة) يقابلهما في الأطروحة الاستخلافية «الكرامة الاستخلافية»: الإنسان خليفة الله في الأرض، وهذه صفة أنطولوجية لا يسقطها قانون ولا سياسة.</w:t>
      </w:r>
    </w:p>
    <w:p w14:paraId="49B282D2" w14:textId="77777777" w:rsidR="0045635D" w:rsidRDefault="00000000" w:rsidP="00E811AA">
      <w:pPr>
        <w:pStyle w:val="2"/>
        <w:bidi/>
      </w:pPr>
      <w:r>
        <w:t>8.3 نقاط الخلاف الجوهرية</w:t>
      </w:r>
    </w:p>
    <w:p w14:paraId="6051963E" w14:textId="77777777" w:rsidR="0045635D" w:rsidRDefault="00000000" w:rsidP="00E811AA">
      <w:pPr>
        <w:spacing w:before="100" w:after="100" w:line="340" w:lineRule="auto"/>
      </w:pPr>
      <w:r>
        <w:rPr>
          <w:color w:val="1A1A2E"/>
        </w:rPr>
        <w:t>أولاً: المرجعية. نوسباوم تنطلق من «الكونية العلمانية»: القدرات حق إنساني كوني مستقل عن أي مرجعية دينية. والزراع ينطلق من «الوحي» مرجعاً مطلقاً. والسؤال النقدي: هل يمكن للمرجعيتين أن تتحاورا دون أن يُفرض إحداهما على الأخرى؟</w:t>
      </w:r>
    </w:p>
    <w:p w14:paraId="34FDAE34" w14:textId="77777777" w:rsidR="0045635D" w:rsidRDefault="00000000" w:rsidP="00E811AA">
      <w:pPr>
        <w:spacing w:before="100" w:after="100" w:line="340" w:lineRule="auto"/>
      </w:pPr>
      <w:r>
        <w:rPr>
          <w:color w:val="1A1A2E"/>
        </w:rPr>
        <w:t>ثانياً: الحد الأدنى والحد الأعلى. نوسباوم تتحدث عن «عتبات جوهرية» (Threshold levels) لا يجوز النزول دونها. والزراع لا يكتفي بالعتبة بل يسعى نحو «الإحسان» أي الاتجاه اللانهائي نحو الكمال. هذا التمييز يُشبه الفرق بين «العدل» (الحد الأدنى) و«الإحسان» (الطموح الأعلى) في الفقه الإسلامي.</w:t>
      </w:r>
    </w:p>
    <w:p w14:paraId="0310C707" w14:textId="77777777" w:rsidR="0045635D" w:rsidRDefault="00000000" w:rsidP="00475ABA">
      <w:pPr>
        <w:spacing w:before="100" w:after="100" w:line="340" w:lineRule="auto"/>
      </w:pPr>
      <w:r>
        <w:rPr>
          <w:color w:val="1A1A2E"/>
        </w:rPr>
        <w:t>ثالثاً: الدين في القائمة. لا تُدرج نوسباوم الدين قدرةً جوهرية مستقلة في قائمتها العشر، بل تدمجه في حرية الوجدان (الحد الأدنى). وهذا —من منظور الأطروحة الاستخلافية— إخلال جوهري؛ إذ «العبادة» ليست مجرد «حرية وجدان» بل هي «ركيزة الوجود» و«جهاز الضبط الأخلاقي» الأساسي.</w:t>
      </w:r>
    </w:p>
    <w:p w14:paraId="35B00B9E" w14:textId="77777777" w:rsidR="0045635D" w:rsidRDefault="00000000" w:rsidP="00475ABA">
      <w:pPr>
        <w:pStyle w:val="3"/>
        <w:bidi/>
      </w:pPr>
      <w:r>
        <w:t>جدول مقارن: نهج القدرات (نوسباوم) مقابل نموذج الإحسان (الزراع)</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3120"/>
        <w:gridCol w:w="3120"/>
      </w:tblGrid>
      <w:tr w:rsidR="0045635D" w14:paraId="1814082B" w14:textId="77777777">
        <w:tc>
          <w:tcPr>
            <w:tcW w:w="3120" w:type="dxa"/>
            <w:tcBorders>
              <w:top w:val="single" w:sz="4" w:space="0" w:color="AAAAAA"/>
              <w:left w:val="single" w:sz="4" w:space="0" w:color="AAAAAA"/>
              <w:bottom w:val="single" w:sz="4" w:space="0" w:color="AAAAAA"/>
              <w:right w:val="single" w:sz="4" w:space="0" w:color="AAAAAA"/>
            </w:tcBorders>
            <w:shd w:val="clear" w:color="auto" w:fill="1B3A5C"/>
            <w:tcMar>
              <w:top w:w="100" w:type="dxa"/>
              <w:left w:w="150" w:type="dxa"/>
              <w:bottom w:w="100" w:type="dxa"/>
              <w:right w:w="150" w:type="dxa"/>
            </w:tcMar>
            <w:vAlign w:val="center"/>
          </w:tcPr>
          <w:p w14:paraId="3DBA8F75" w14:textId="77777777" w:rsidR="0045635D" w:rsidRDefault="00000000" w:rsidP="00475ABA">
            <w:r>
              <w:rPr>
                <w:b/>
                <w:bCs/>
                <w:color w:val="FFFFFF"/>
                <w:sz w:val="22"/>
                <w:szCs w:val="22"/>
              </w:rPr>
              <w:t>البُعد</w:t>
            </w:r>
          </w:p>
        </w:tc>
        <w:tc>
          <w:tcPr>
            <w:tcW w:w="3120" w:type="dxa"/>
            <w:tcBorders>
              <w:top w:val="single" w:sz="4" w:space="0" w:color="AAAAAA"/>
              <w:left w:val="single" w:sz="4" w:space="0" w:color="AAAAAA"/>
              <w:bottom w:val="single" w:sz="4" w:space="0" w:color="AAAAAA"/>
              <w:right w:val="single" w:sz="4" w:space="0" w:color="AAAAAA"/>
            </w:tcBorders>
            <w:shd w:val="clear" w:color="auto" w:fill="1B3A5C"/>
            <w:tcMar>
              <w:top w:w="100" w:type="dxa"/>
              <w:left w:w="150" w:type="dxa"/>
              <w:bottom w:w="100" w:type="dxa"/>
              <w:right w:w="150" w:type="dxa"/>
            </w:tcMar>
            <w:vAlign w:val="center"/>
          </w:tcPr>
          <w:p w14:paraId="391E4AEE" w14:textId="77777777" w:rsidR="0045635D" w:rsidRDefault="00000000" w:rsidP="00475ABA">
            <w:r>
              <w:rPr>
                <w:b/>
                <w:bCs/>
                <w:color w:val="FFFFFF"/>
                <w:sz w:val="22"/>
                <w:szCs w:val="22"/>
              </w:rPr>
              <w:t>نوسباوم — القدرات</w:t>
            </w:r>
          </w:p>
        </w:tc>
        <w:tc>
          <w:tcPr>
            <w:tcW w:w="3120" w:type="dxa"/>
            <w:tcBorders>
              <w:top w:val="single" w:sz="4" w:space="0" w:color="AAAAAA"/>
              <w:left w:val="single" w:sz="4" w:space="0" w:color="AAAAAA"/>
              <w:bottom w:val="single" w:sz="4" w:space="0" w:color="AAAAAA"/>
              <w:right w:val="single" w:sz="4" w:space="0" w:color="AAAAAA"/>
            </w:tcBorders>
            <w:shd w:val="clear" w:color="auto" w:fill="1B3A5C"/>
            <w:tcMar>
              <w:top w:w="100" w:type="dxa"/>
              <w:left w:w="150" w:type="dxa"/>
              <w:bottom w:w="100" w:type="dxa"/>
              <w:right w:w="150" w:type="dxa"/>
            </w:tcMar>
            <w:vAlign w:val="center"/>
          </w:tcPr>
          <w:p w14:paraId="5A2D549E" w14:textId="77777777" w:rsidR="0045635D" w:rsidRDefault="00000000" w:rsidP="00475ABA">
            <w:r>
              <w:rPr>
                <w:b/>
                <w:bCs/>
                <w:color w:val="FFFFFF"/>
                <w:sz w:val="22"/>
                <w:szCs w:val="22"/>
              </w:rPr>
              <w:t>الزراع — الإحسان</w:t>
            </w:r>
          </w:p>
        </w:tc>
      </w:tr>
      <w:tr w:rsidR="0045635D" w14:paraId="07948873" w14:textId="77777777">
        <w:tc>
          <w:tcPr>
            <w:tcW w:w="3120" w:type="dxa"/>
            <w:tcBorders>
              <w:top w:val="single" w:sz="4" w:space="0" w:color="AAAAAA"/>
              <w:left w:val="single" w:sz="4" w:space="0" w:color="AAAAAA"/>
              <w:bottom w:val="single" w:sz="4" w:space="0" w:color="AAAAAA"/>
              <w:right w:val="single" w:sz="4" w:space="0" w:color="AAAAAA"/>
            </w:tcBorders>
            <w:shd w:val="clear" w:color="auto" w:fill="1D6A72"/>
            <w:tcMar>
              <w:top w:w="100" w:type="dxa"/>
              <w:left w:w="150" w:type="dxa"/>
              <w:bottom w:w="100" w:type="dxa"/>
              <w:right w:w="150" w:type="dxa"/>
            </w:tcMar>
            <w:vAlign w:val="center"/>
          </w:tcPr>
          <w:p w14:paraId="538A1A22" w14:textId="77777777" w:rsidR="0045635D" w:rsidRDefault="00000000" w:rsidP="00475ABA">
            <w:r>
              <w:rPr>
                <w:b/>
                <w:bCs/>
                <w:color w:val="FFFFFF"/>
                <w:sz w:val="22"/>
                <w:szCs w:val="22"/>
              </w:rPr>
              <w:t>المرجعية</w:t>
            </w:r>
          </w:p>
        </w:tc>
        <w:tc>
          <w:tcPr>
            <w:tcW w:w="3120" w:type="dxa"/>
            <w:tcBorders>
              <w:top w:val="single" w:sz="4" w:space="0" w:color="AAAAAA"/>
              <w:left w:val="single" w:sz="4" w:space="0" w:color="AAAAAA"/>
              <w:bottom w:val="single" w:sz="4" w:space="0" w:color="AAAAAA"/>
              <w:right w:val="single" w:sz="4" w:space="0" w:color="AAAAAA"/>
            </w:tcBorders>
            <w:shd w:val="clear" w:color="auto" w:fill="D0EBEC"/>
            <w:tcMar>
              <w:top w:w="80" w:type="dxa"/>
              <w:left w:w="150" w:type="dxa"/>
              <w:bottom w:w="80" w:type="dxa"/>
              <w:right w:w="150" w:type="dxa"/>
            </w:tcMar>
            <w:vAlign w:val="center"/>
          </w:tcPr>
          <w:p w14:paraId="74197340" w14:textId="77777777" w:rsidR="0045635D" w:rsidRDefault="00000000" w:rsidP="00475ABA">
            <w:r>
              <w:rPr>
                <w:color w:val="1A1A2E"/>
                <w:sz w:val="21"/>
                <w:szCs w:val="21"/>
              </w:rPr>
              <w:t>العقل الإنساني الكوني العلماني</w:t>
            </w:r>
          </w:p>
        </w:tc>
        <w:tc>
          <w:tcPr>
            <w:tcW w:w="312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50" w:type="dxa"/>
              <w:bottom w:w="80" w:type="dxa"/>
              <w:right w:w="150" w:type="dxa"/>
            </w:tcMar>
            <w:vAlign w:val="center"/>
          </w:tcPr>
          <w:p w14:paraId="0F67437B" w14:textId="77777777" w:rsidR="0045635D" w:rsidRDefault="00000000" w:rsidP="00475ABA">
            <w:r>
              <w:rPr>
                <w:color w:val="1A1A2E"/>
                <w:sz w:val="21"/>
                <w:szCs w:val="21"/>
              </w:rPr>
              <w:t>الوحي الإلهي + الفطرة</w:t>
            </w:r>
          </w:p>
        </w:tc>
      </w:tr>
      <w:tr w:rsidR="0045635D" w14:paraId="67165772" w14:textId="77777777">
        <w:tc>
          <w:tcPr>
            <w:tcW w:w="3120" w:type="dxa"/>
            <w:tcBorders>
              <w:top w:val="single" w:sz="4" w:space="0" w:color="AAAAAA"/>
              <w:left w:val="single" w:sz="4" w:space="0" w:color="AAAAAA"/>
              <w:bottom w:val="single" w:sz="4" w:space="0" w:color="AAAAAA"/>
              <w:right w:val="single" w:sz="4" w:space="0" w:color="AAAAAA"/>
            </w:tcBorders>
            <w:shd w:val="clear" w:color="auto" w:fill="1D6A72"/>
            <w:tcMar>
              <w:top w:w="100" w:type="dxa"/>
              <w:left w:w="150" w:type="dxa"/>
              <w:bottom w:w="100" w:type="dxa"/>
              <w:right w:w="150" w:type="dxa"/>
            </w:tcMar>
            <w:vAlign w:val="center"/>
          </w:tcPr>
          <w:p w14:paraId="6843512F" w14:textId="77777777" w:rsidR="0045635D" w:rsidRDefault="00000000" w:rsidP="00475ABA">
            <w:r>
              <w:rPr>
                <w:b/>
                <w:bCs/>
                <w:color w:val="FFFFFF"/>
                <w:sz w:val="22"/>
                <w:szCs w:val="22"/>
              </w:rPr>
              <w:t>الهدف</w:t>
            </w:r>
          </w:p>
        </w:tc>
        <w:tc>
          <w:tcPr>
            <w:tcW w:w="3120" w:type="dxa"/>
            <w:tcBorders>
              <w:top w:val="single" w:sz="4" w:space="0" w:color="AAAAAA"/>
              <w:left w:val="single" w:sz="4" w:space="0" w:color="AAAAAA"/>
              <w:bottom w:val="single" w:sz="4" w:space="0" w:color="AAAAAA"/>
              <w:right w:val="single" w:sz="4" w:space="0" w:color="AAAAAA"/>
            </w:tcBorders>
            <w:shd w:val="clear" w:color="auto" w:fill="D0EBEC"/>
            <w:tcMar>
              <w:top w:w="80" w:type="dxa"/>
              <w:left w:w="150" w:type="dxa"/>
              <w:bottom w:w="80" w:type="dxa"/>
              <w:right w:w="150" w:type="dxa"/>
            </w:tcMar>
            <w:vAlign w:val="center"/>
          </w:tcPr>
          <w:p w14:paraId="798E54C2" w14:textId="77777777" w:rsidR="0045635D" w:rsidRDefault="00000000" w:rsidP="00475ABA">
            <w:r>
              <w:rPr>
                <w:color w:val="1A1A2E"/>
                <w:sz w:val="21"/>
                <w:szCs w:val="21"/>
              </w:rPr>
              <w:t>ضمان العتبات الجوهرية للكل</w:t>
            </w:r>
          </w:p>
        </w:tc>
        <w:tc>
          <w:tcPr>
            <w:tcW w:w="312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50" w:type="dxa"/>
              <w:bottom w:w="80" w:type="dxa"/>
              <w:right w:w="150" w:type="dxa"/>
            </w:tcMar>
            <w:vAlign w:val="center"/>
          </w:tcPr>
          <w:p w14:paraId="64568AC3" w14:textId="77777777" w:rsidR="0045635D" w:rsidRDefault="00000000" w:rsidP="00475ABA">
            <w:r>
              <w:rPr>
                <w:color w:val="1A1A2E"/>
                <w:sz w:val="21"/>
                <w:szCs w:val="21"/>
              </w:rPr>
              <w:t>بناء الإنسان الخليفة المتكامل</w:t>
            </w:r>
          </w:p>
        </w:tc>
      </w:tr>
      <w:tr w:rsidR="0045635D" w14:paraId="78EDADF7" w14:textId="77777777">
        <w:tc>
          <w:tcPr>
            <w:tcW w:w="3120" w:type="dxa"/>
            <w:tcBorders>
              <w:top w:val="single" w:sz="4" w:space="0" w:color="AAAAAA"/>
              <w:left w:val="single" w:sz="4" w:space="0" w:color="AAAAAA"/>
              <w:bottom w:val="single" w:sz="4" w:space="0" w:color="AAAAAA"/>
              <w:right w:val="single" w:sz="4" w:space="0" w:color="AAAAAA"/>
            </w:tcBorders>
            <w:shd w:val="clear" w:color="auto" w:fill="1D6A72"/>
            <w:tcMar>
              <w:top w:w="100" w:type="dxa"/>
              <w:left w:w="150" w:type="dxa"/>
              <w:bottom w:w="100" w:type="dxa"/>
              <w:right w:w="150" w:type="dxa"/>
            </w:tcMar>
            <w:vAlign w:val="center"/>
          </w:tcPr>
          <w:p w14:paraId="5F258CE0" w14:textId="77777777" w:rsidR="0045635D" w:rsidRDefault="00000000" w:rsidP="00475ABA">
            <w:r>
              <w:rPr>
                <w:b/>
                <w:bCs/>
                <w:color w:val="FFFFFF"/>
                <w:sz w:val="22"/>
                <w:szCs w:val="22"/>
              </w:rPr>
              <w:t>معيار التقييم</w:t>
            </w:r>
          </w:p>
        </w:tc>
        <w:tc>
          <w:tcPr>
            <w:tcW w:w="3120" w:type="dxa"/>
            <w:tcBorders>
              <w:top w:val="single" w:sz="4" w:space="0" w:color="AAAAAA"/>
              <w:left w:val="single" w:sz="4" w:space="0" w:color="AAAAAA"/>
              <w:bottom w:val="single" w:sz="4" w:space="0" w:color="AAAAAA"/>
              <w:right w:val="single" w:sz="4" w:space="0" w:color="AAAAAA"/>
            </w:tcBorders>
            <w:shd w:val="clear" w:color="auto" w:fill="D0EBEC"/>
            <w:tcMar>
              <w:top w:w="80" w:type="dxa"/>
              <w:left w:w="150" w:type="dxa"/>
              <w:bottom w:w="80" w:type="dxa"/>
              <w:right w:w="150" w:type="dxa"/>
            </w:tcMar>
            <w:vAlign w:val="center"/>
          </w:tcPr>
          <w:p w14:paraId="3E9A4CC2" w14:textId="77777777" w:rsidR="0045635D" w:rsidRDefault="00000000" w:rsidP="00475ABA">
            <w:r>
              <w:rPr>
                <w:color w:val="1A1A2E"/>
                <w:sz w:val="21"/>
                <w:szCs w:val="21"/>
              </w:rPr>
              <w:t>ما يستطيع الإنسان كونه وفعله</w:t>
            </w:r>
          </w:p>
        </w:tc>
        <w:tc>
          <w:tcPr>
            <w:tcW w:w="312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50" w:type="dxa"/>
              <w:bottom w:w="80" w:type="dxa"/>
              <w:right w:w="150" w:type="dxa"/>
            </w:tcMar>
            <w:vAlign w:val="center"/>
          </w:tcPr>
          <w:p w14:paraId="407F9115" w14:textId="77777777" w:rsidR="0045635D" w:rsidRDefault="00000000" w:rsidP="00475ABA">
            <w:r>
              <w:rPr>
                <w:color w:val="1A1A2E"/>
                <w:sz w:val="21"/>
                <w:szCs w:val="21"/>
              </w:rPr>
              <w:t>ما ينبغي أن يكون ويفعل استخلافاً</w:t>
            </w:r>
          </w:p>
        </w:tc>
      </w:tr>
      <w:tr w:rsidR="0045635D" w14:paraId="0A53380D" w14:textId="77777777">
        <w:tc>
          <w:tcPr>
            <w:tcW w:w="3120" w:type="dxa"/>
            <w:tcBorders>
              <w:top w:val="single" w:sz="4" w:space="0" w:color="AAAAAA"/>
              <w:left w:val="single" w:sz="4" w:space="0" w:color="AAAAAA"/>
              <w:bottom w:val="single" w:sz="4" w:space="0" w:color="AAAAAA"/>
              <w:right w:val="single" w:sz="4" w:space="0" w:color="AAAAAA"/>
            </w:tcBorders>
            <w:shd w:val="clear" w:color="auto" w:fill="1D6A72"/>
            <w:tcMar>
              <w:top w:w="100" w:type="dxa"/>
              <w:left w:w="150" w:type="dxa"/>
              <w:bottom w:w="100" w:type="dxa"/>
              <w:right w:w="150" w:type="dxa"/>
            </w:tcMar>
            <w:vAlign w:val="center"/>
          </w:tcPr>
          <w:p w14:paraId="5137C6AE" w14:textId="77777777" w:rsidR="0045635D" w:rsidRDefault="00000000" w:rsidP="00475ABA">
            <w:r>
              <w:rPr>
                <w:b/>
                <w:bCs/>
                <w:color w:val="FFFFFF"/>
                <w:sz w:val="22"/>
                <w:szCs w:val="22"/>
              </w:rPr>
              <w:t>دور الدين</w:t>
            </w:r>
          </w:p>
        </w:tc>
        <w:tc>
          <w:tcPr>
            <w:tcW w:w="3120" w:type="dxa"/>
            <w:tcBorders>
              <w:top w:val="single" w:sz="4" w:space="0" w:color="AAAAAA"/>
              <w:left w:val="single" w:sz="4" w:space="0" w:color="AAAAAA"/>
              <w:bottom w:val="single" w:sz="4" w:space="0" w:color="AAAAAA"/>
              <w:right w:val="single" w:sz="4" w:space="0" w:color="AAAAAA"/>
            </w:tcBorders>
            <w:shd w:val="clear" w:color="auto" w:fill="D0EBEC"/>
            <w:tcMar>
              <w:top w:w="80" w:type="dxa"/>
              <w:left w:w="150" w:type="dxa"/>
              <w:bottom w:w="80" w:type="dxa"/>
              <w:right w:w="150" w:type="dxa"/>
            </w:tcMar>
            <w:vAlign w:val="center"/>
          </w:tcPr>
          <w:p w14:paraId="63CDD4E7" w14:textId="77777777" w:rsidR="0045635D" w:rsidRDefault="00000000" w:rsidP="00475ABA">
            <w:r>
              <w:rPr>
                <w:color w:val="1A1A2E"/>
                <w:sz w:val="21"/>
                <w:szCs w:val="21"/>
              </w:rPr>
              <w:t>حرية وجدان (حد أدنى)</w:t>
            </w:r>
          </w:p>
        </w:tc>
        <w:tc>
          <w:tcPr>
            <w:tcW w:w="312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50" w:type="dxa"/>
              <w:bottom w:w="80" w:type="dxa"/>
              <w:right w:w="150" w:type="dxa"/>
            </w:tcMar>
            <w:vAlign w:val="center"/>
          </w:tcPr>
          <w:p w14:paraId="6A6D9DFF" w14:textId="77777777" w:rsidR="0045635D" w:rsidRDefault="00000000" w:rsidP="00475ABA">
            <w:r>
              <w:rPr>
                <w:color w:val="1A1A2E"/>
                <w:sz w:val="21"/>
                <w:szCs w:val="21"/>
              </w:rPr>
              <w:t>ركيزة وجودية مركزية</w:t>
            </w:r>
          </w:p>
        </w:tc>
      </w:tr>
      <w:tr w:rsidR="0045635D" w14:paraId="6A036FD9" w14:textId="77777777">
        <w:tc>
          <w:tcPr>
            <w:tcW w:w="3120" w:type="dxa"/>
            <w:tcBorders>
              <w:top w:val="single" w:sz="4" w:space="0" w:color="AAAAAA"/>
              <w:left w:val="single" w:sz="4" w:space="0" w:color="AAAAAA"/>
              <w:bottom w:val="single" w:sz="4" w:space="0" w:color="AAAAAA"/>
              <w:right w:val="single" w:sz="4" w:space="0" w:color="AAAAAA"/>
            </w:tcBorders>
            <w:shd w:val="clear" w:color="auto" w:fill="1D6A72"/>
            <w:tcMar>
              <w:top w:w="100" w:type="dxa"/>
              <w:left w:w="150" w:type="dxa"/>
              <w:bottom w:w="100" w:type="dxa"/>
              <w:right w:w="150" w:type="dxa"/>
            </w:tcMar>
            <w:vAlign w:val="center"/>
          </w:tcPr>
          <w:p w14:paraId="3599FA3A" w14:textId="77777777" w:rsidR="0045635D" w:rsidRDefault="00000000" w:rsidP="00475ABA">
            <w:r>
              <w:rPr>
                <w:b/>
                <w:bCs/>
                <w:color w:val="FFFFFF"/>
                <w:sz w:val="22"/>
                <w:szCs w:val="22"/>
              </w:rPr>
              <w:t>الحد والطموح</w:t>
            </w:r>
          </w:p>
        </w:tc>
        <w:tc>
          <w:tcPr>
            <w:tcW w:w="3120" w:type="dxa"/>
            <w:tcBorders>
              <w:top w:val="single" w:sz="4" w:space="0" w:color="AAAAAA"/>
              <w:left w:val="single" w:sz="4" w:space="0" w:color="AAAAAA"/>
              <w:bottom w:val="single" w:sz="4" w:space="0" w:color="AAAAAA"/>
              <w:right w:val="single" w:sz="4" w:space="0" w:color="AAAAAA"/>
            </w:tcBorders>
            <w:shd w:val="clear" w:color="auto" w:fill="D0EBEC"/>
            <w:tcMar>
              <w:top w:w="80" w:type="dxa"/>
              <w:left w:w="150" w:type="dxa"/>
              <w:bottom w:w="80" w:type="dxa"/>
              <w:right w:w="150" w:type="dxa"/>
            </w:tcMar>
            <w:vAlign w:val="center"/>
          </w:tcPr>
          <w:p w14:paraId="6F21630D" w14:textId="77777777" w:rsidR="0045635D" w:rsidRDefault="00000000" w:rsidP="00475ABA">
            <w:r>
              <w:rPr>
                <w:color w:val="1A1A2E"/>
                <w:sz w:val="21"/>
                <w:szCs w:val="21"/>
              </w:rPr>
              <w:t>العتبة الجوهرية (لا نزول دونها)</w:t>
            </w:r>
          </w:p>
        </w:tc>
        <w:tc>
          <w:tcPr>
            <w:tcW w:w="312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50" w:type="dxa"/>
              <w:bottom w:w="80" w:type="dxa"/>
              <w:right w:w="150" w:type="dxa"/>
            </w:tcMar>
            <w:vAlign w:val="center"/>
          </w:tcPr>
          <w:p w14:paraId="6EE1DDB6" w14:textId="77777777" w:rsidR="0045635D" w:rsidRDefault="00000000" w:rsidP="00475ABA">
            <w:r>
              <w:rPr>
                <w:color w:val="1A1A2E"/>
                <w:sz w:val="21"/>
                <w:szCs w:val="21"/>
              </w:rPr>
              <w:t>الإحسان (لا سقف للكمال)</w:t>
            </w:r>
          </w:p>
        </w:tc>
      </w:tr>
      <w:tr w:rsidR="0045635D" w14:paraId="029147DF" w14:textId="77777777">
        <w:tc>
          <w:tcPr>
            <w:tcW w:w="3120" w:type="dxa"/>
            <w:tcBorders>
              <w:top w:val="single" w:sz="4" w:space="0" w:color="AAAAAA"/>
              <w:left w:val="single" w:sz="4" w:space="0" w:color="AAAAAA"/>
              <w:bottom w:val="single" w:sz="4" w:space="0" w:color="AAAAAA"/>
              <w:right w:val="single" w:sz="4" w:space="0" w:color="AAAAAA"/>
            </w:tcBorders>
            <w:shd w:val="clear" w:color="auto" w:fill="1D6A72"/>
            <w:tcMar>
              <w:top w:w="100" w:type="dxa"/>
              <w:left w:w="150" w:type="dxa"/>
              <w:bottom w:w="100" w:type="dxa"/>
              <w:right w:w="150" w:type="dxa"/>
            </w:tcMar>
            <w:vAlign w:val="center"/>
          </w:tcPr>
          <w:p w14:paraId="20E6C4DB" w14:textId="77777777" w:rsidR="0045635D" w:rsidRDefault="00000000" w:rsidP="00475ABA">
            <w:r>
              <w:rPr>
                <w:b/>
                <w:bCs/>
                <w:color w:val="FFFFFF"/>
                <w:sz w:val="22"/>
                <w:szCs w:val="22"/>
              </w:rPr>
              <w:t>التطبيق</w:t>
            </w:r>
          </w:p>
        </w:tc>
        <w:tc>
          <w:tcPr>
            <w:tcW w:w="3120" w:type="dxa"/>
            <w:tcBorders>
              <w:top w:val="single" w:sz="4" w:space="0" w:color="AAAAAA"/>
              <w:left w:val="single" w:sz="4" w:space="0" w:color="AAAAAA"/>
              <w:bottom w:val="single" w:sz="4" w:space="0" w:color="AAAAAA"/>
              <w:right w:val="single" w:sz="4" w:space="0" w:color="AAAAAA"/>
            </w:tcBorders>
            <w:shd w:val="clear" w:color="auto" w:fill="D0EBEC"/>
            <w:tcMar>
              <w:top w:w="80" w:type="dxa"/>
              <w:left w:w="150" w:type="dxa"/>
              <w:bottom w:w="80" w:type="dxa"/>
              <w:right w:w="150" w:type="dxa"/>
            </w:tcMar>
            <w:vAlign w:val="center"/>
          </w:tcPr>
          <w:p w14:paraId="501AC40C" w14:textId="77777777" w:rsidR="0045635D" w:rsidRDefault="00000000" w:rsidP="00475ABA">
            <w:r>
              <w:rPr>
                <w:color w:val="1A1A2E"/>
                <w:sz w:val="21"/>
                <w:szCs w:val="21"/>
              </w:rPr>
              <w:t>قابل للتطبيق في دول متعددة الهويات</w:t>
            </w:r>
          </w:p>
        </w:tc>
        <w:tc>
          <w:tcPr>
            <w:tcW w:w="312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50" w:type="dxa"/>
              <w:bottom w:w="80" w:type="dxa"/>
              <w:right w:w="150" w:type="dxa"/>
            </w:tcMar>
            <w:vAlign w:val="center"/>
          </w:tcPr>
          <w:p w14:paraId="2DDFECEF" w14:textId="77777777" w:rsidR="0045635D" w:rsidRDefault="00000000" w:rsidP="00475ABA">
            <w:r>
              <w:rPr>
                <w:color w:val="1A1A2E"/>
                <w:sz w:val="21"/>
                <w:szCs w:val="21"/>
              </w:rPr>
              <w:t>مشروط بهندسة الدولة الاستخلافية</w:t>
            </w:r>
          </w:p>
        </w:tc>
      </w:tr>
    </w:tbl>
    <w:p w14:paraId="1A7EEE96" w14:textId="77777777" w:rsidR="0045635D" w:rsidRDefault="00000000" w:rsidP="00475ABA">
      <w:pPr>
        <w:pStyle w:val="1"/>
        <w:pageBreakBefore/>
        <w:bidi/>
      </w:pPr>
      <w:r>
        <w:t>خاتمة: من «دولة القانون» إلى «دولة الإحسان» — نحو هندسة وجودية متكاملة للحكم</w:t>
      </w:r>
    </w:p>
    <w:p w14:paraId="1293A94B" w14:textId="77777777" w:rsidR="0045635D" w:rsidRDefault="00000000" w:rsidP="00475ABA">
      <w:pPr>
        <w:spacing w:before="100" w:after="100" w:line="340" w:lineRule="auto"/>
      </w:pPr>
      <w:r>
        <w:rPr>
          <w:color w:val="1A1A2E"/>
        </w:rPr>
        <w:t>في ختام هذا البحث الموسّع، نستطيع القول إن الأطروحة الاستخلافية لعبد السلام الزراع تمثّل واحدة من أجرأ المحاولات الفكرية المعاصرة لتجاوز الفجوة بين «نقد الحاضر» و«رؤية المستقبل» في الفكر السياسي الإسلامي. فهي لا تكتفي بتشخيص «الفصام» الذي تعانيه الدولة الحديثة في صيغتها «الإسلامية»، بل تُقدم «خارطة طريق» —وإن كانت لا تزال بحاجة إلى تفصيل مؤسسي— نحو بناء «الدولة الاستخلافية».</w:t>
      </w:r>
    </w:p>
    <w:p w14:paraId="45D26096" w14:textId="77777777" w:rsidR="0045635D" w:rsidRDefault="00000000" w:rsidP="00475ABA">
      <w:pPr>
        <w:spacing w:before="100" w:after="100" w:line="340" w:lineRule="auto"/>
      </w:pPr>
      <w:r>
        <w:rPr>
          <w:color w:val="1A1A2E"/>
        </w:rPr>
        <w:t>الفصول الخمسة الجديدة التي أضفناها تُكشف عن الأبعاد الخفية لهذه الأطروحة: فإشكالية «التحقق من الاجتهاد» تُضيف بُعداً إجرائياً ضرورياً؛ والبنية المؤسسية تُنزّل الفلسفة إلى أرض التطبيق؛ وجدل حلاق-الزراع يكشف عن خريطة المواقف الفكرية في هذا الحقل؛ والتمييز بين مستويات الفصام الأخلاقي يُحكم الاستخدام المنهجي للمفهوم؛ والحوار مع نوسباوم يفتح نافذة على الكونية والخصوصية في آنٍ واحد.</w:t>
      </w:r>
    </w:p>
    <w:p w14:paraId="32D03921" w14:textId="77777777" w:rsidR="0045635D" w:rsidRDefault="00000000" w:rsidP="00475ABA">
      <w:pPr>
        <w:spacing w:before="100" w:after="100" w:line="340" w:lineRule="auto"/>
      </w:pPr>
      <w:r>
        <w:rPr>
          <w:color w:val="1A1A2E"/>
        </w:rPr>
        <w:t>يبقى أمام الأطروحة الاستخلافية ثلاثة أسئلة مفتوحة تمثّل أجندة البحث المستقبلي: كيف نضمن عدم انزياح «الاجتهاد» إلى «الاستبداد» في الممارسة الفعلية؟ وما البُعد التعددي في الدولة الاستخلافية إزاء غير المسلمين؟ وكيف نُعالج التوتر بين «الثابت الوحياني» و«المتغير الزمني» في ضوء التسارع التكنولوجي؟</w:t>
      </w:r>
    </w:p>
    <w:p w14:paraId="792C6A45" w14:textId="77777777" w:rsidR="0045635D" w:rsidRDefault="00000000" w:rsidP="00475ABA">
      <w:pPr>
        <w:pBdr>
          <w:right w:val="single" w:sz="18" w:space="10" w:color="B8860B"/>
        </w:pBdr>
        <w:spacing w:before="120" w:after="120" w:line="320" w:lineRule="auto"/>
        <w:ind w:left="720" w:right="720"/>
      </w:pPr>
      <w:r>
        <w:rPr>
          <w:i/>
          <w:iCs/>
          <w:color w:val="3A3A3A"/>
          <w:sz w:val="23"/>
          <w:szCs w:val="23"/>
        </w:rPr>
        <w:t>{الَّذِينَ إِن مَّكَّنَّاهُمْ فِي الْأَرْضِ أَقَامُوا الصَّلَاةَ وَآتَوُا الزَّكَاةَ وَأَمَرُوا بِالْمَعْرُوفِ وَنَهَوْا عَنِ الْمُنكَرِ وَلِلَّهِ عَاقِبَةُ الْأُمُورِ} [الحج: 41]</w:t>
      </w:r>
    </w:p>
    <w:p w14:paraId="37F5DD9E" w14:textId="77777777" w:rsidR="0045635D" w:rsidRDefault="00000000" w:rsidP="00475ABA">
      <w:pPr>
        <w:pStyle w:val="1"/>
        <w:pageBreakBefore/>
        <w:bidi/>
      </w:pPr>
      <w:r>
        <w:t>المراجع والمصادر</w:t>
      </w:r>
    </w:p>
    <w:p w14:paraId="6E43B64F" w14:textId="77777777" w:rsidR="0045635D" w:rsidRDefault="00000000" w:rsidP="00475ABA">
      <w:pPr>
        <w:pStyle w:val="2"/>
        <w:bidi/>
      </w:pPr>
      <w:r>
        <w:t>أولاً: المصادر الأساسية (الأطروحة الاستخلافية)</w:t>
      </w:r>
    </w:p>
    <w:p w14:paraId="36B5F294" w14:textId="77777777" w:rsidR="0045635D" w:rsidRDefault="00000000" w:rsidP="00475ABA">
      <w:pPr>
        <w:spacing w:before="100" w:after="100" w:line="340" w:lineRule="auto"/>
      </w:pPr>
      <w:r>
        <w:rPr>
          <w:color w:val="1A1A2E"/>
        </w:rPr>
        <w:t>1. الزراع، عبد السلام. (2026). العلاج بحرث المصالحة التحويلية (TLRT): الدليل النظري والإكلينيكي. (الطبعة التجريبية الأولى).</w:t>
      </w:r>
    </w:p>
    <w:p w14:paraId="7D27F798" w14:textId="77777777" w:rsidR="0045635D" w:rsidRDefault="00000000" w:rsidP="00475ABA">
      <w:pPr>
        <w:spacing w:before="100" w:after="100" w:line="340" w:lineRule="auto"/>
      </w:pPr>
      <w:r>
        <w:rPr>
          <w:color w:val="1A1A2E"/>
        </w:rPr>
        <w:t>2. الزراع، عبد السلام. (2026). الفصام الأخلاقي ومصدر الأزمات النفسية: قراءة في ضوء نظرية TLRT.</w:t>
      </w:r>
    </w:p>
    <w:p w14:paraId="01528EA3" w14:textId="77777777" w:rsidR="0045635D" w:rsidRDefault="00000000" w:rsidP="00475ABA">
      <w:pPr>
        <w:spacing w:before="100" w:after="100" w:line="340" w:lineRule="auto"/>
      </w:pPr>
      <w:r>
        <w:rPr>
          <w:color w:val="1A1A2E"/>
        </w:rPr>
        <w:t>3. الزراع، عبد السلام. (2026). سوسيولوجيا الجسد بين التاريخ والتحليل النفسي.</w:t>
      </w:r>
    </w:p>
    <w:p w14:paraId="5736C5D3" w14:textId="77777777" w:rsidR="0045635D" w:rsidRDefault="00000000" w:rsidP="00475ABA">
      <w:pPr>
        <w:pStyle w:val="2"/>
        <w:bidi/>
      </w:pPr>
      <w:r>
        <w:t>ثانياً: مراجع في فلسفة القانون والفكر السياسي الإسلامي</w:t>
      </w:r>
    </w:p>
    <w:p w14:paraId="6B501BD9" w14:textId="77777777" w:rsidR="0045635D" w:rsidRDefault="00000000" w:rsidP="00475ABA">
      <w:pPr>
        <w:spacing w:before="100" w:after="100" w:line="340" w:lineRule="auto"/>
      </w:pPr>
      <w:r>
        <w:rPr>
          <w:color w:val="1A1A2E"/>
        </w:rPr>
        <w:t>4. حلاق، وائل. (2013). الدولة المستحيلة: الإسلام والسياسة ومأزق الحداثة الأخلاقي. بيروت: الشبكة العربية للأبحاث والنشر.</w:t>
      </w:r>
    </w:p>
    <w:p w14:paraId="7B494439" w14:textId="77777777" w:rsidR="0045635D" w:rsidRDefault="00000000" w:rsidP="00475ABA">
      <w:pPr>
        <w:spacing w:before="100" w:after="100" w:line="340" w:lineRule="auto"/>
      </w:pPr>
      <w:r>
        <w:rPr>
          <w:color w:val="1A1A2E"/>
        </w:rPr>
        <w:t>5. حلاق، وائل. (2018). إعادة تشكيل الذات في الفكر الإسلامي. بيروت: الشبكة العربية للأبحاث والنشر.</w:t>
      </w:r>
    </w:p>
    <w:p w14:paraId="44CB2A3B" w14:textId="77777777" w:rsidR="0045635D" w:rsidRDefault="00000000" w:rsidP="00475ABA">
      <w:pPr>
        <w:spacing w:before="100" w:after="100" w:line="340" w:lineRule="auto"/>
      </w:pPr>
      <w:r>
        <w:rPr>
          <w:color w:val="1A1A2E"/>
        </w:rPr>
        <w:t>6. عبد الرحمن، طه. (2013). روح الدين: من ضيق العلمانية إلى سعة الائتمانية. بيروت: الشبكة العربية للأبحاث والنشر.</w:t>
      </w:r>
    </w:p>
    <w:p w14:paraId="411FE616" w14:textId="77777777" w:rsidR="0045635D" w:rsidRDefault="00000000" w:rsidP="00475ABA">
      <w:pPr>
        <w:spacing w:before="100" w:after="100" w:line="340" w:lineRule="auto"/>
      </w:pPr>
      <w:r>
        <w:rPr>
          <w:color w:val="1A1A2E"/>
        </w:rPr>
        <w:t>7. عبد الرحمن، طه. (2015). سؤال الأخلاق: مساهمة في النقد الأخلاقي للحداثة الغربية. بيروت: الشبكة العربية للأبحاث والنشر.</w:t>
      </w:r>
    </w:p>
    <w:p w14:paraId="7FCAACDC" w14:textId="77777777" w:rsidR="0045635D" w:rsidRDefault="00000000" w:rsidP="00475ABA">
      <w:pPr>
        <w:spacing w:before="100" w:after="100" w:line="340" w:lineRule="auto"/>
      </w:pPr>
      <w:r>
        <w:rPr>
          <w:color w:val="1A1A2E"/>
        </w:rPr>
        <w:t>8. الجابري، محمد عابد. (1991). نقد العقل الفقهي. بيروت: مركز دراسات الوحدة العربية.</w:t>
      </w:r>
    </w:p>
    <w:p w14:paraId="1D567015" w14:textId="77777777" w:rsidR="0045635D" w:rsidRDefault="00000000" w:rsidP="00475ABA">
      <w:pPr>
        <w:pStyle w:val="2"/>
        <w:bidi/>
      </w:pPr>
      <w:r>
        <w:t>ثالثاً: مراجع في نظرية الاجتهاد والمقاصد</w:t>
      </w:r>
    </w:p>
    <w:p w14:paraId="1816885C" w14:textId="77777777" w:rsidR="0045635D" w:rsidRDefault="00000000" w:rsidP="00475ABA">
      <w:pPr>
        <w:spacing w:before="100" w:after="100" w:line="340" w:lineRule="auto"/>
      </w:pPr>
      <w:r>
        <w:rPr>
          <w:color w:val="1A1A2E"/>
        </w:rPr>
        <w:t>9. الشاطبي، أبو إسحاق. (د.ت.). الموافقات في أصول الشريعة. تحقيق: عبد الله دراز. بيروت: دار المعرفة.</w:t>
      </w:r>
    </w:p>
    <w:p w14:paraId="3379E3C6" w14:textId="77777777" w:rsidR="0045635D" w:rsidRDefault="00000000" w:rsidP="00475ABA">
      <w:pPr>
        <w:spacing w:before="100" w:after="100" w:line="340" w:lineRule="auto"/>
      </w:pPr>
      <w:r>
        <w:rPr>
          <w:color w:val="1A1A2E"/>
        </w:rPr>
        <w:t>10. الريسوني، أحمد. (1992). نظرية المقاصد عند الإمام الشاطبي. الرياض: الدار العالمية للكتاب الإسلامي.</w:t>
      </w:r>
    </w:p>
    <w:p w14:paraId="6623FF2A" w14:textId="77777777" w:rsidR="0045635D" w:rsidRDefault="00000000" w:rsidP="00475ABA">
      <w:pPr>
        <w:spacing w:before="100" w:after="100" w:line="340" w:lineRule="auto"/>
      </w:pPr>
      <w:r>
        <w:rPr>
          <w:color w:val="1A1A2E"/>
        </w:rPr>
        <w:t>11. ابن القيم الجوزية. (د.ت.). إعلام الموقعين عن رب العالمين. بيروت: دار الكتب العلمية.</w:t>
      </w:r>
    </w:p>
    <w:p w14:paraId="0E00DF1A" w14:textId="77777777" w:rsidR="0045635D" w:rsidRDefault="00000000" w:rsidP="00475ABA">
      <w:pPr>
        <w:spacing w:before="100" w:after="100" w:line="340" w:lineRule="auto"/>
      </w:pPr>
      <w:r>
        <w:rPr>
          <w:color w:val="1A1A2E"/>
        </w:rPr>
        <w:t>12. الغزالي، أبو حامد. (د.ت.). المستصفى من علم الأصول. بيروت: دار الكتب العلمية.</w:t>
      </w:r>
    </w:p>
    <w:p w14:paraId="527BB10D" w14:textId="77777777" w:rsidR="0045635D" w:rsidRDefault="00000000" w:rsidP="00475ABA">
      <w:pPr>
        <w:pStyle w:val="2"/>
        <w:bidi/>
      </w:pPr>
      <w:r>
        <w:t>رابعاً: مراجع في فلسفة القانون والعلوم الاجتماعية</w:t>
      </w:r>
    </w:p>
    <w:p w14:paraId="6E4419EF" w14:textId="77777777" w:rsidR="0045635D" w:rsidRDefault="00000000" w:rsidP="005D75EB">
      <w:pPr>
        <w:spacing w:before="100" w:after="100" w:line="340" w:lineRule="auto"/>
        <w:jc w:val="right"/>
      </w:pPr>
      <w:r>
        <w:rPr>
          <w:color w:val="1A1A2E"/>
        </w:rPr>
        <w:t>13. Hart, H. L. A. (1961). The Concept of Law. Oxford: Clarendon Press.</w:t>
      </w:r>
    </w:p>
    <w:p w14:paraId="45A3DA56" w14:textId="77777777" w:rsidR="0045635D" w:rsidRDefault="00000000" w:rsidP="005D75EB">
      <w:pPr>
        <w:spacing w:before="100" w:after="100" w:line="340" w:lineRule="auto"/>
        <w:jc w:val="right"/>
      </w:pPr>
      <w:r>
        <w:rPr>
          <w:color w:val="1A1A2E"/>
        </w:rPr>
        <w:t>14. Fuller, L. L. (1964). The Morality of Law. New Haven: Yale University Press.</w:t>
      </w:r>
    </w:p>
    <w:p w14:paraId="39FC0077" w14:textId="77777777" w:rsidR="0045635D" w:rsidRDefault="00000000" w:rsidP="005D75EB">
      <w:pPr>
        <w:spacing w:before="100" w:after="100" w:line="340" w:lineRule="auto"/>
        <w:jc w:val="right"/>
      </w:pPr>
      <w:r>
        <w:rPr>
          <w:color w:val="1A1A2E"/>
        </w:rPr>
        <w:t>15. Finnis, J. (1980). Natural Law and Natural Rights. Oxford: Clarendon Press.</w:t>
      </w:r>
    </w:p>
    <w:p w14:paraId="13AAAC4D" w14:textId="77777777" w:rsidR="0045635D" w:rsidRDefault="00000000" w:rsidP="005D75EB">
      <w:pPr>
        <w:spacing w:before="100" w:after="100" w:line="340" w:lineRule="auto"/>
        <w:jc w:val="right"/>
      </w:pPr>
      <w:r>
        <w:rPr>
          <w:color w:val="1A1A2E"/>
        </w:rPr>
        <w:t>16. Habermas, J. (1984). The Theory of Communicative Action. Boston: Beacon Press.</w:t>
      </w:r>
    </w:p>
    <w:p w14:paraId="15A0BC00" w14:textId="77777777" w:rsidR="0045635D" w:rsidRDefault="00000000" w:rsidP="005D75EB">
      <w:pPr>
        <w:spacing w:before="100" w:after="100" w:line="340" w:lineRule="auto"/>
        <w:jc w:val="right"/>
      </w:pPr>
      <w:r>
        <w:rPr>
          <w:color w:val="1A1A2E"/>
        </w:rPr>
        <w:t>17. Nussbaum, M. C. (2011). Creating Capabilities: The Human Development Approach. Cambridge: Harvard University Press.</w:t>
      </w:r>
    </w:p>
    <w:p w14:paraId="5258FE0D" w14:textId="77777777" w:rsidR="0045635D" w:rsidRDefault="00000000" w:rsidP="005D75EB">
      <w:pPr>
        <w:spacing w:before="100" w:after="100" w:line="340" w:lineRule="auto"/>
        <w:jc w:val="right"/>
      </w:pPr>
      <w:r>
        <w:rPr>
          <w:color w:val="1A1A2E"/>
        </w:rPr>
        <w:t>18. Nussbaum, M. C., &amp; Sen, A. (Eds.). (1993). The Quality of Life. Oxford: Clarendon Press.</w:t>
      </w:r>
    </w:p>
    <w:p w14:paraId="3B171F73" w14:textId="77777777" w:rsidR="0045635D" w:rsidRDefault="00000000" w:rsidP="005D75EB">
      <w:pPr>
        <w:spacing w:before="100" w:after="100" w:line="340" w:lineRule="auto"/>
        <w:jc w:val="right"/>
      </w:pPr>
      <w:r>
        <w:rPr>
          <w:color w:val="1A1A2E"/>
        </w:rPr>
        <w:t>19. Wolf, S. (1990). Freedom within Reason. Oxford: Oxford University Press.</w:t>
      </w:r>
    </w:p>
    <w:p w14:paraId="011E59BF" w14:textId="77777777" w:rsidR="0045635D" w:rsidRDefault="00000000" w:rsidP="005D75EB">
      <w:pPr>
        <w:spacing w:before="100" w:after="100" w:line="340" w:lineRule="auto"/>
        <w:jc w:val="right"/>
      </w:pPr>
      <w:r>
        <w:rPr>
          <w:color w:val="1A1A2E"/>
        </w:rPr>
        <w:t>20. Zuboff, S. (2019). The Age of Surveillance Capitalism. New York: PublicAffairs.</w:t>
      </w:r>
    </w:p>
    <w:p w14:paraId="04659522" w14:textId="77777777" w:rsidR="0045635D" w:rsidRDefault="00000000" w:rsidP="005D75EB">
      <w:pPr>
        <w:spacing w:before="100" w:after="100" w:line="340" w:lineRule="auto"/>
        <w:jc w:val="right"/>
      </w:pPr>
      <w:r>
        <w:rPr>
          <w:color w:val="1A1A2E"/>
        </w:rPr>
        <w:t>21. Foucault, M. (1975). Discipline and Punish: The Birth of the Prison. New York: Vintage Books.</w:t>
      </w:r>
    </w:p>
    <w:p w14:paraId="4816FB4A" w14:textId="77777777" w:rsidR="0045635D" w:rsidRDefault="00000000" w:rsidP="005D75EB">
      <w:pPr>
        <w:spacing w:before="100" w:after="100" w:line="340" w:lineRule="auto"/>
        <w:jc w:val="right"/>
      </w:pPr>
      <w:r>
        <w:rPr>
          <w:color w:val="1A1A2E"/>
        </w:rPr>
        <w:t>22. Weber, M. (1919). Politics as a Vocation (Wissenschaft als Beruf). Munich: Duncker &amp; Humblot.</w:t>
      </w:r>
    </w:p>
    <w:sectPr w:rsidR="0045635D">
      <w:headerReference w:type="default" r:id="rId7"/>
      <w:footerReference w:type="default" r:id="rId8"/>
      <w:pgSz w:w="11906" w:h="16838"/>
      <w:pgMar w:top="1440" w:right="1800" w:bottom="1440" w:left="18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D2A9A" w14:textId="77777777" w:rsidR="003607E4" w:rsidRDefault="003607E4">
      <w:r>
        <w:separator/>
      </w:r>
    </w:p>
  </w:endnote>
  <w:endnote w:type="continuationSeparator" w:id="0">
    <w:p w14:paraId="1081E279" w14:textId="77777777" w:rsidR="003607E4" w:rsidRDefault="003607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B2"/>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 w:name="Aptos">
    <w:panose1 w:val="020B0004020202020204"/>
    <w:charset w:val="00"/>
    <w:family w:val="roman"/>
    <w:notTrueType/>
    <w:pitch w:val="default"/>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CE34D" w14:textId="77777777" w:rsidR="0045635D" w:rsidRDefault="00000000">
    <w:pPr>
      <w:pBdr>
        <w:top w:val="single" w:sz="4" w:space="1" w:color="1D6A72"/>
      </w:pBdr>
      <w:jc w:val="center"/>
    </w:pPr>
    <w:r>
      <w:rPr>
        <w:color w:val="666666"/>
        <w:sz w:val="18"/>
        <w:szCs w:val="18"/>
      </w:rPr>
      <w:t xml:space="preserve">صفحة </w:t>
    </w:r>
    <w:r>
      <w:rPr>
        <w:color w:val="1D6A72"/>
        <w:sz w:val="18"/>
        <w:szCs w:val="18"/>
      </w:rPr>
      <w:fldChar w:fldCharType="begin"/>
    </w:r>
    <w:r>
      <w:rPr>
        <w:color w:val="1D6A72"/>
        <w:sz w:val="18"/>
        <w:szCs w:val="18"/>
      </w:rPr>
      <w:instrText>PAGE</w:instrText>
    </w:r>
    <w:r>
      <w:rPr>
        <w:color w:val="1D6A72"/>
        <w:sz w:val="18"/>
        <w:szCs w:val="18"/>
      </w:rPr>
      <w:fldChar w:fldCharType="separate"/>
    </w:r>
    <w:r>
      <w:rPr>
        <w:color w:val="1D6A72"/>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9CC8D8" w14:textId="77777777" w:rsidR="003607E4" w:rsidRDefault="003607E4">
      <w:r>
        <w:separator/>
      </w:r>
    </w:p>
  </w:footnote>
  <w:footnote w:type="continuationSeparator" w:id="0">
    <w:p w14:paraId="2C372795" w14:textId="77777777" w:rsidR="003607E4" w:rsidRDefault="003607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751ED" w14:textId="77777777" w:rsidR="0045635D" w:rsidRDefault="00000000">
    <w:pPr>
      <w:pBdr>
        <w:bottom w:val="single" w:sz="6" w:space="1" w:color="1B3A5C"/>
      </w:pBdr>
      <w:jc w:val="right"/>
    </w:pPr>
    <w:r>
      <w:rPr>
        <w:color w:val="1B3A5C"/>
        <w:sz w:val="18"/>
        <w:szCs w:val="18"/>
      </w:rPr>
      <w:t>من ترميم الدستور إلى هندسة الدولة الاستخلافية — الطبعة الموسّعة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4932C8"/>
    <w:multiLevelType w:val="hybridMultilevel"/>
    <w:tmpl w:val="FFFFFFFF"/>
    <w:lvl w:ilvl="0" w:tplc="BF48D26C">
      <w:start w:val="1"/>
      <w:numFmt w:val="bullet"/>
      <w:lvlText w:val="●"/>
      <w:lvlJc w:val="left"/>
      <w:pPr>
        <w:ind w:left="720" w:hanging="360"/>
      </w:pPr>
    </w:lvl>
    <w:lvl w:ilvl="1" w:tplc="FD427036">
      <w:start w:val="1"/>
      <w:numFmt w:val="bullet"/>
      <w:lvlText w:val="○"/>
      <w:lvlJc w:val="left"/>
      <w:pPr>
        <w:ind w:left="1440" w:hanging="360"/>
      </w:pPr>
    </w:lvl>
    <w:lvl w:ilvl="2" w:tplc="20AA94C8">
      <w:start w:val="1"/>
      <w:numFmt w:val="bullet"/>
      <w:lvlText w:val="■"/>
      <w:lvlJc w:val="left"/>
      <w:pPr>
        <w:ind w:left="2160" w:hanging="360"/>
      </w:pPr>
    </w:lvl>
    <w:lvl w:ilvl="3" w:tplc="27565D3A">
      <w:start w:val="1"/>
      <w:numFmt w:val="bullet"/>
      <w:lvlText w:val="●"/>
      <w:lvlJc w:val="left"/>
      <w:pPr>
        <w:ind w:left="2880" w:hanging="360"/>
      </w:pPr>
    </w:lvl>
    <w:lvl w:ilvl="4" w:tplc="F1BA001E">
      <w:start w:val="1"/>
      <w:numFmt w:val="bullet"/>
      <w:lvlText w:val="○"/>
      <w:lvlJc w:val="left"/>
      <w:pPr>
        <w:ind w:left="3600" w:hanging="360"/>
      </w:pPr>
    </w:lvl>
    <w:lvl w:ilvl="5" w:tplc="C31EC89E">
      <w:start w:val="1"/>
      <w:numFmt w:val="bullet"/>
      <w:lvlText w:val="■"/>
      <w:lvlJc w:val="left"/>
      <w:pPr>
        <w:ind w:left="4320" w:hanging="360"/>
      </w:pPr>
    </w:lvl>
    <w:lvl w:ilvl="6" w:tplc="08366E56">
      <w:start w:val="1"/>
      <w:numFmt w:val="bullet"/>
      <w:lvlText w:val="●"/>
      <w:lvlJc w:val="left"/>
      <w:pPr>
        <w:ind w:left="5040" w:hanging="360"/>
      </w:pPr>
    </w:lvl>
    <w:lvl w:ilvl="7" w:tplc="37B2F42A">
      <w:start w:val="1"/>
      <w:numFmt w:val="bullet"/>
      <w:lvlText w:val="●"/>
      <w:lvlJc w:val="left"/>
      <w:pPr>
        <w:ind w:left="5760" w:hanging="360"/>
      </w:pPr>
    </w:lvl>
    <w:lvl w:ilvl="8" w:tplc="8C6480D8">
      <w:start w:val="1"/>
      <w:numFmt w:val="bullet"/>
      <w:lvlText w:val="●"/>
      <w:lvlJc w:val="left"/>
      <w:pPr>
        <w:ind w:left="6480" w:hanging="360"/>
      </w:pPr>
    </w:lvl>
  </w:abstractNum>
  <w:num w:numId="1" w16cid:durableId="72845312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9"/>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635D"/>
    <w:rsid w:val="00122E4D"/>
    <w:rsid w:val="0014725D"/>
    <w:rsid w:val="00194C4A"/>
    <w:rsid w:val="001A6198"/>
    <w:rsid w:val="0023110B"/>
    <w:rsid w:val="0025648A"/>
    <w:rsid w:val="00321ABD"/>
    <w:rsid w:val="003607E4"/>
    <w:rsid w:val="0045635D"/>
    <w:rsid w:val="00475ABA"/>
    <w:rsid w:val="0048382E"/>
    <w:rsid w:val="005D75EB"/>
    <w:rsid w:val="005F2D01"/>
    <w:rsid w:val="0062391B"/>
    <w:rsid w:val="0064007A"/>
    <w:rsid w:val="007B1EAB"/>
    <w:rsid w:val="007D4D11"/>
    <w:rsid w:val="00844931"/>
    <w:rsid w:val="008C3BD6"/>
    <w:rsid w:val="0097215B"/>
    <w:rsid w:val="009B530B"/>
    <w:rsid w:val="009E4C07"/>
    <w:rsid w:val="00A62A2A"/>
    <w:rsid w:val="00A93EB1"/>
    <w:rsid w:val="00AB6EF9"/>
    <w:rsid w:val="00B878BF"/>
    <w:rsid w:val="00BC7CDE"/>
    <w:rsid w:val="00D3012B"/>
    <w:rsid w:val="00D964E4"/>
    <w:rsid w:val="00DB5C0C"/>
    <w:rsid w:val="00DB6059"/>
    <w:rsid w:val="00DC114B"/>
    <w:rsid w:val="00DF7CAA"/>
    <w:rsid w:val="00E61C3B"/>
    <w:rsid w:val="00E811AA"/>
    <w:rsid w:val="00F058E7"/>
    <w:rsid w:val="00FB36B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1526AFE1"/>
  <w15:docId w15:val="{2CA687CA-362B-694C-8F6B-2509ECAC0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link w:val="1Char"/>
    <w:uiPriority w:val="9"/>
    <w:qFormat/>
    <w:pPr>
      <w:spacing w:before="400" w:after="200"/>
      <w:outlineLvl w:val="0"/>
    </w:pPr>
    <w:rPr>
      <w:b/>
      <w:bCs/>
      <w:color w:val="1B3A5C"/>
      <w:sz w:val="36"/>
      <w:szCs w:val="36"/>
    </w:rPr>
  </w:style>
  <w:style w:type="paragraph" w:styleId="2">
    <w:name w:val="heading 2"/>
    <w:uiPriority w:val="9"/>
    <w:unhideWhenUsed/>
    <w:qFormat/>
    <w:pPr>
      <w:spacing w:before="280" w:after="140"/>
      <w:outlineLvl w:val="1"/>
    </w:pPr>
    <w:rPr>
      <w:b/>
      <w:bCs/>
      <w:color w:val="1D6A72"/>
      <w:sz w:val="30"/>
      <w:szCs w:val="30"/>
    </w:rPr>
  </w:style>
  <w:style w:type="paragraph" w:styleId="3">
    <w:name w:val="heading 3"/>
    <w:uiPriority w:val="9"/>
    <w:unhideWhenUsed/>
    <w:qFormat/>
    <w:pPr>
      <w:spacing w:before="200" w:after="100"/>
      <w:outlineLvl w:val="2"/>
    </w:pPr>
    <w:rPr>
      <w:b/>
      <w:bCs/>
      <w:color w:val="B8860B"/>
      <w:sz w:val="26"/>
      <w:szCs w:val="26"/>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 w:type="character" w:customStyle="1" w:styleId="1Char">
    <w:name w:val="العنوان 1 Char"/>
    <w:basedOn w:val="a0"/>
    <w:link w:val="1"/>
    <w:uiPriority w:val="9"/>
    <w:rsid w:val="0097215B"/>
    <w:rPr>
      <w:b/>
      <w:bCs/>
      <w:color w:val="1B3A5C"/>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46</TotalTime>
  <Pages>1</Pages>
  <Words>3630</Words>
  <Characters>20693</Characters>
  <Application>Microsoft Office Word</Application>
  <DocSecurity>0</DocSecurity>
  <Lines>172</Lines>
  <Paragraphs>48</Paragraphs>
  <ScaleCrop>false</ScaleCrop>
  <Company/>
  <LinksUpToDate>false</LinksUpToDate>
  <CharactersWithSpaces>24275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zaraaabdesslem@gmail.com</cp:lastModifiedBy>
  <cp:revision>27</cp:revision>
  <dcterms:created xsi:type="dcterms:W3CDTF">2026-06-07T02:18:00Z</dcterms:created>
  <dcterms:modified xsi:type="dcterms:W3CDTF">2026-07-23T16:50:00Z</dcterms:modified>
</cp:coreProperties>
</file>