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BC35C" w14:textId="77777777" w:rsidR="00265C2A" w:rsidRDefault="00265C2A">
      <w:pPr>
        <w:spacing w:before="40" w:after="40"/>
      </w:pPr>
    </w:p>
    <w:p w14:paraId="19129384" w14:textId="77777777" w:rsidR="00265C2A" w:rsidRDefault="00265C2A">
      <w:pPr>
        <w:spacing w:before="40" w:after="40"/>
      </w:pPr>
    </w:p>
    <w:p w14:paraId="78B1E26D" w14:textId="77777777" w:rsidR="00265C2A" w:rsidRDefault="00265C2A">
      <w:pPr>
        <w:spacing w:before="40" w:after="40"/>
      </w:pPr>
    </w:p>
    <w:p w14:paraId="5B4867A2" w14:textId="77777777" w:rsidR="00265C2A" w:rsidRDefault="00000000">
      <w:pPr>
        <w:spacing w:after="40"/>
        <w:jc w:val="right"/>
      </w:pPr>
      <w:r>
        <w:rPr>
          <w:color w:val="0A5E5E"/>
          <w:sz w:val="32"/>
          <w:szCs w:val="32"/>
        </w:rPr>
        <w:t>دراسة أكاديمية مقارنة</w:t>
      </w:r>
    </w:p>
    <w:p w14:paraId="03BC8B3F" w14:textId="77777777" w:rsidR="00265C2A" w:rsidRDefault="00265C2A">
      <w:pPr>
        <w:spacing w:before="40" w:after="40"/>
      </w:pPr>
    </w:p>
    <w:p w14:paraId="733697BF" w14:textId="77777777" w:rsidR="00265C2A" w:rsidRDefault="00000000" w:rsidP="00FF6FB3">
      <w:pPr>
        <w:spacing w:after="60"/>
        <w:jc w:val="center"/>
      </w:pPr>
      <w:r>
        <w:rPr>
          <w:b/>
          <w:bCs/>
          <w:color w:val="0D1B33"/>
          <w:sz w:val="52"/>
          <w:szCs w:val="52"/>
        </w:rPr>
        <w:t>لقاء الاستخلافَين:</w:t>
      </w:r>
    </w:p>
    <w:p w14:paraId="10686C81" w14:textId="77777777" w:rsidR="00265C2A" w:rsidRDefault="00000000" w:rsidP="00FF6FB3">
      <w:pPr>
        <w:spacing w:after="80"/>
        <w:jc w:val="center"/>
      </w:pPr>
      <w:r>
        <w:rPr>
          <w:b/>
          <w:bCs/>
          <w:color w:val="1A3A6B"/>
          <w:sz w:val="44"/>
          <w:szCs w:val="44"/>
        </w:rPr>
        <w:t>من السياسي إلى النفسي</w:t>
      </w:r>
    </w:p>
    <w:p w14:paraId="11175CEB" w14:textId="77777777" w:rsidR="00265C2A" w:rsidRDefault="00265C2A" w:rsidP="00FF6FB3">
      <w:pPr>
        <w:pBdr>
          <w:top w:val="single" w:sz="6" w:space="2" w:color="9A7B1A"/>
          <w:bottom w:val="single" w:sz="6" w:space="2" w:color="9A7B1A"/>
        </w:pBdr>
        <w:spacing w:before="120" w:after="120"/>
        <w:jc w:val="center"/>
      </w:pPr>
    </w:p>
    <w:p w14:paraId="485464DC" w14:textId="77777777" w:rsidR="00265C2A" w:rsidRDefault="00265C2A">
      <w:pPr>
        <w:spacing w:before="40" w:after="40"/>
      </w:pPr>
    </w:p>
    <w:p w14:paraId="68AE1C51" w14:textId="77777777" w:rsidR="00265C2A" w:rsidRDefault="00000000" w:rsidP="00997D12">
      <w:pPr>
        <w:spacing w:after="60"/>
      </w:pPr>
      <w:r>
        <w:rPr>
          <w:color w:val="1A3A6B"/>
          <w:sz w:val="28"/>
          <w:szCs w:val="28"/>
        </w:rPr>
        <w:t>مقارنة أكاديمية بين نظرية «الاستخلاف» عند الدكتور صبري خليل خيري</w:t>
      </w:r>
    </w:p>
    <w:p w14:paraId="7A814BCE" w14:textId="77777777" w:rsidR="00265C2A" w:rsidRDefault="00000000" w:rsidP="00997D12">
      <w:pPr>
        <w:spacing w:after="60"/>
      </w:pPr>
      <w:r>
        <w:rPr>
          <w:color w:val="0A5E5E"/>
          <w:sz w:val="28"/>
          <w:szCs w:val="28"/>
        </w:rPr>
        <w:t>ونظرية «الاستخلاف» عند الباحث عبد السلام الزراع</w:t>
      </w:r>
    </w:p>
    <w:p w14:paraId="4D460BC1" w14:textId="77777777" w:rsidR="00265C2A" w:rsidRDefault="00000000" w:rsidP="00997D12">
      <w:pPr>
        <w:spacing w:after="120"/>
      </w:pPr>
      <w:r>
        <w:rPr>
          <w:i/>
          <w:iCs/>
          <w:color w:val="9A7B1A"/>
        </w:rPr>
        <w:t>دراسة في أوجه الاتفاق والافتراق والتكامل الحضاري</w:t>
      </w:r>
    </w:p>
    <w:p w14:paraId="133DD6F0" w14:textId="77777777" w:rsidR="00265C2A" w:rsidRDefault="00265C2A" w:rsidP="00997D12">
      <w:pPr>
        <w:spacing w:before="40" w:after="40"/>
      </w:pPr>
    </w:p>
    <w:p w14:paraId="466B7746" w14:textId="77777777" w:rsidR="00265C2A" w:rsidRDefault="00265C2A" w:rsidP="00997D12">
      <w:pPr>
        <w:spacing w:before="40" w:after="40"/>
      </w:pPr>
    </w:p>
    <w:p w14:paraId="23CB9A37" w14:textId="77777777" w:rsidR="00265C2A" w:rsidRDefault="00265C2A" w:rsidP="00997D12">
      <w:pPr>
        <w:pBdr>
          <w:top w:val="single" w:sz="6" w:space="2" w:color="9A7B1A"/>
          <w:bottom w:val="single" w:sz="6" w:space="2" w:color="9A7B1A"/>
        </w:pBdr>
        <w:spacing w:before="120" w:after="120"/>
      </w:pPr>
    </w:p>
    <w:p w14:paraId="54E7E507" w14:textId="77777777" w:rsidR="00265C2A" w:rsidRDefault="00265C2A" w:rsidP="00997D12">
      <w:pPr>
        <w:spacing w:before="40" w:after="40"/>
      </w:pPr>
    </w:p>
    <w:p w14:paraId="5F4A2E75" w14:textId="77777777" w:rsidR="00265C2A" w:rsidRDefault="00265C2A" w:rsidP="00997D12">
      <w:pPr>
        <w:spacing w:before="40" w:after="40"/>
      </w:pPr>
    </w:p>
    <w:p w14:paraId="3BE53471" w14:textId="77777777" w:rsidR="00265C2A" w:rsidRDefault="00265C2A" w:rsidP="00997D12">
      <w:pPr>
        <w:spacing w:before="40" w:after="40"/>
      </w:pPr>
    </w:p>
    <w:p w14:paraId="6319A924" w14:textId="77777777" w:rsidR="00265C2A" w:rsidRDefault="00265C2A" w:rsidP="00997D12">
      <w:pPr>
        <w:spacing w:before="40" w:after="40"/>
      </w:pPr>
    </w:p>
    <w:p w14:paraId="6A7ABEF7" w14:textId="77777777" w:rsidR="00265C2A" w:rsidRDefault="00000000" w:rsidP="00997D12">
      <w:r>
        <w:br w:type="page"/>
      </w:r>
    </w:p>
    <w:p w14:paraId="01FCF15C" w14:textId="77777777" w:rsidR="00265C2A" w:rsidRDefault="00000000" w:rsidP="00997D12">
      <w:pPr>
        <w:pStyle w:val="1"/>
        <w:pBdr>
          <w:bottom w:val="single" w:sz="8" w:space="4" w:color="9A7B1A"/>
        </w:pBdr>
        <w:jc w:val="left"/>
      </w:pPr>
      <w:r>
        <w:t>ملخص تنفيذي</w:t>
      </w:r>
    </w:p>
    <w:p w14:paraId="5FC411EA" w14:textId="77777777" w:rsidR="00265C2A" w:rsidRDefault="00000000" w:rsidP="00997D12">
      <w:pPr>
        <w:spacing w:before="80" w:after="120" w:line="340" w:lineRule="auto"/>
      </w:pPr>
      <w:r>
        <w:rPr>
          <w:color w:val="000000"/>
        </w:rPr>
        <w:t>يتناول هذا البحث مقارنةً أكاديميةً معمَّقةً بين نظريتَين استخلافيتَين معاصرتَين: نظرية الدكتور صبري محمد خليل خيري (أستاذ فلسفة القيم الإسلامية بجامعة الخرطوم)، التي تُؤطّر الاستخلافَ باعتباره منهجيةً سياسيةً-حضاريةً للتغيير الجماعي؛ ونظرية الباحث عبد السلام الزراع (مؤسس علم النفس الاستخلافي ونموذج TLRT)، التي تُقدّم الاستخلافَ بوصفه هندسةً وجوديةً لتحويل النفس من مرتبة الأمّارة إلى مقام المطمئنة.</w:t>
      </w:r>
    </w:p>
    <w:p w14:paraId="7FF02063" w14:textId="77777777" w:rsidR="00265C2A" w:rsidRDefault="00000000" w:rsidP="00997D12">
      <w:pPr>
        <w:spacing w:before="80" w:after="120" w:line="340" w:lineRule="auto"/>
      </w:pPr>
      <w:r>
        <w:rPr>
          <w:color w:val="000000"/>
        </w:rPr>
        <w:t>تنطلق الدراسة من أن اجتماع هذين المشروعين في لفظ «الاستخلاف» ليس مجرد توافق لغوي عرَضي، بل هو اشتراك في بنية فلسفية عميقة تجمع بين الأنطولوجيا القرآنية وفلسفة الفاعلية الأخلاقية وعلم نفس الذات. والهدف ليس المفاضلة بين الرؤيتين، بل استجلاء تشابكاتهما وتوتراتهما وإمكانات تكاملهما في أُفق مشروع استخلافي متكامل، قادر على معالجة أزمة الإنسان المسلم المعاصر في أبعادها الفردية والجماعية والحضارية.</w:t>
      </w:r>
    </w:p>
    <w:p w14:paraId="3A1779C4" w14:textId="77777777" w:rsidR="00265C2A" w:rsidRDefault="00265C2A" w:rsidP="00997D12">
      <w:pPr>
        <w:spacing w:before="40" w:after="40"/>
      </w:pPr>
    </w:p>
    <w:p w14:paraId="31A71B29" w14:textId="77777777" w:rsidR="00265C2A" w:rsidRDefault="00000000" w:rsidP="00997D12">
      <w:pPr>
        <w:shd w:val="clear" w:color="auto" w:fill="F5EED8"/>
        <w:spacing w:before="100" w:after="100" w:line="320" w:lineRule="auto"/>
        <w:ind w:left="360" w:right="360"/>
      </w:pPr>
      <w:r>
        <w:rPr>
          <w:color w:val="0D1B33"/>
        </w:rPr>
        <w:t>الكلمات المفتاحية: الاستخلاف، علم النفس الاستخلافي، فلسفة القيم الإسلامية، النفس الأمّارة، النفس المطمئنة، TLRT، الدولة الاستخلافية، التكامل المعرفي.</w:t>
      </w:r>
    </w:p>
    <w:p w14:paraId="72C9CE41" w14:textId="77777777" w:rsidR="00265C2A" w:rsidRDefault="00000000" w:rsidP="00997D12">
      <w:r>
        <w:br w:type="page"/>
      </w:r>
    </w:p>
    <w:p w14:paraId="42FA9610" w14:textId="77777777" w:rsidR="00265C2A" w:rsidRDefault="00000000" w:rsidP="00997D12">
      <w:pPr>
        <w:pStyle w:val="1"/>
        <w:pBdr>
          <w:bottom w:val="single" w:sz="8" w:space="4" w:color="9A7B1A"/>
        </w:pBdr>
        <w:jc w:val="left"/>
      </w:pPr>
      <w:r>
        <w:t>مقدمة: لقاء «الاستخلافَين» — من السياسي إلى النفسي</w:t>
      </w:r>
    </w:p>
    <w:p w14:paraId="225BC6CB" w14:textId="77777777" w:rsidR="00265C2A" w:rsidRDefault="00000000" w:rsidP="00997D12">
      <w:pPr>
        <w:spacing w:before="80" w:after="120" w:line="340" w:lineRule="auto"/>
      </w:pPr>
      <w:r>
        <w:rPr>
          <w:color w:val="000000"/>
        </w:rPr>
        <w:t>ثمة كلمة واحدة تجمع بين الدكتور صبري محمد خليل خيري والباحث عبد السلام الزراع، هي «الاستخلاف». غير أن هذه الكلمة — عندهما — تحمل مدلولَين متمايزَين تمايُزاً منهجياً وحقلياً عميقاً، يعكسان خلفيتَين فكريتَين وأُفقَين بحثيَّين مختلفَين. فبينما ينطلق خيري من الفقه السياسي وأصول الفقه وفلسفة القيم ليُقدّم الاستخلافَ كمنهجية سياسية-حضارية للتغيير، ينطلق الزراع من علم النفس والتحليل النفسي والفلسفة الوجودية ليُقدّم الاستخلافَ كهندسة وجودية لتحويل النفس.</w:t>
      </w:r>
    </w:p>
    <w:p w14:paraId="35E63190" w14:textId="77777777" w:rsidR="00265C2A" w:rsidRDefault="00000000" w:rsidP="00997D12">
      <w:pPr>
        <w:spacing w:before="80" w:after="120" w:line="340" w:lineRule="auto"/>
      </w:pPr>
      <w:r>
        <w:rPr>
          <w:color w:val="000000"/>
        </w:rPr>
        <w:t>وهذا «اللقاء» بين الرجلَين في لفظ الاستخلاف ليس مصادفةً؛ فكلاهما يستند إلى القرآن الكريم مصدراً وإلهاماً، وكلاهما يرفض الإنسانَ المُختزَل — سواء في القيم المادية الليبرالية أو في الوضعية الاجتماعية الشمولية — ويسعى إلى استعادة الإنسان الكامل الذي يحمل أمانة الخلافة في الأرض. لكن مسار كل منهما إلى هذا الهدف يختلف اختلافاً جذرياً في الأدوات والمنهج والأولويات والمستوى التحليلي.</w:t>
      </w:r>
    </w:p>
    <w:p w14:paraId="5B0836A8" w14:textId="77777777" w:rsidR="00265C2A" w:rsidRDefault="00000000" w:rsidP="00997D12">
      <w:pPr>
        <w:spacing w:before="80" w:after="120" w:line="340" w:lineRule="auto"/>
      </w:pPr>
      <w:r>
        <w:rPr>
          <w:color w:val="000000"/>
        </w:rPr>
        <w:t>تسعى هذه الدراسة إلى رسم خريطة مقارنة شاملة لهذَين المشروعَين، من خلال ستة محاور تحليلية متكاملة: الأنطولوجيا، والإبستمولوجيا، ومفهوم الاستخلاف ذاته، وشروط التحقق، والمنهج العلاجي-التغييري، وأُفق الإنسان الكامل. ثم تختتم بتأسيس نظرية استخلافية مندمجة تقوم على ثنائية: البنية (هيكل خيري السياسي) والروح (هندسة الزراع النفسية).</w:t>
      </w:r>
    </w:p>
    <w:p w14:paraId="6525A099" w14:textId="77777777" w:rsidR="00265C2A" w:rsidRDefault="00000000" w:rsidP="00997D12">
      <w:pPr>
        <w:pBdr>
          <w:right w:val="single" w:sz="12" w:space="8" w:color="0A5E5E"/>
        </w:pBdr>
        <w:spacing w:before="60" w:after="60" w:line="300" w:lineRule="auto"/>
        <w:ind w:left="720" w:right="720"/>
      </w:pPr>
      <w:r>
        <w:rPr>
          <w:i/>
          <w:iCs/>
          <w:color w:val="0A5E5E"/>
          <w:sz w:val="24"/>
          <w:szCs w:val="24"/>
        </w:rPr>
        <w:t>«إِنَّ اللَّهَ لَا يُغَيِّرُ مَا بِقَوْمٍ حَتَّىٰ يُغَيِّرُوا مَا بِأَنفُسِهِمْ» [الرعد: 11] — الآية التي يمكن قراءتها مفتاحاً لكلا المشروعَين: الزراع يتوقف عند «ما بأنفسهم»، وخيري يتطلع إلى «ما بقوم».</w:t>
      </w:r>
    </w:p>
    <w:p w14:paraId="6F8EF80D" w14:textId="77777777" w:rsidR="00265C2A" w:rsidRDefault="00000000" w:rsidP="00997D12">
      <w:r>
        <w:br w:type="page"/>
      </w:r>
    </w:p>
    <w:p w14:paraId="5ACF0F32" w14:textId="77777777" w:rsidR="00265C2A" w:rsidRDefault="00000000" w:rsidP="00997D12">
      <w:pPr>
        <w:pStyle w:val="1"/>
        <w:pBdr>
          <w:bottom w:val="single" w:sz="8" w:space="4" w:color="9A7B1A"/>
        </w:pBdr>
        <w:jc w:val="left"/>
      </w:pPr>
      <w:r>
        <w:t>المحور الأول: الأنطولوجيا — طبيعة الإنسان والوجود</w:t>
      </w:r>
    </w:p>
    <w:p w14:paraId="5486D066" w14:textId="77777777" w:rsidR="00265C2A" w:rsidRDefault="00000000" w:rsidP="00997D12">
      <w:pPr>
        <w:spacing w:before="80" w:after="120" w:line="340" w:lineRule="auto"/>
      </w:pPr>
      <w:r>
        <w:rPr>
          <w:color w:val="000000"/>
        </w:rPr>
        <w:t>الأنطولوجيا هي القاعدة الصامتة التي يقوم عليها كل بناء نظري. والسؤال الأنطولوجي — «ما الإنسان؟» — ليس سؤالاً فلسفياً مجرّداً، بل هو السؤال الذي يُحدّد المدخل الإجرائي لأي مشروع تغييري. وفيما يلي نستعرض الجواب الأنطولوجي عند كل من خيري والزراع، ثم نُحلّل التوترات والتكاملات.</w:t>
      </w:r>
    </w:p>
    <w:p w14:paraId="52F5ADB9" w14:textId="77777777" w:rsidR="00265C2A" w:rsidRDefault="00000000" w:rsidP="00997D12">
      <w:pPr>
        <w:pStyle w:val="2"/>
        <w:jc w:val="left"/>
      </w:pPr>
      <w:r>
        <w:t>1.1 الأنطولوجيا عند صبري خليل خيري: «الإنسان-الأمة»</w:t>
      </w:r>
    </w:p>
    <w:p w14:paraId="361675CA" w14:textId="77777777" w:rsidR="00265C2A" w:rsidRDefault="00000000" w:rsidP="00997D12">
      <w:pPr>
        <w:spacing w:before="80" w:after="120" w:line="340" w:lineRule="auto"/>
      </w:pPr>
      <w:r>
        <w:rPr>
          <w:color w:val="000000"/>
        </w:rPr>
        <w:t>ينطلق خيري من أنطولوجيا سياسية-اجتماعية محورها الأمة لا الفرد. فالإنسان — في تصوره — هو كائن جماعي بطبعه، وجوهره لا يتجلى إلا في علاقته بالجماعة المؤمنة. والاستخلاف عنده استخلاف للأمة، لا للفرد. والشاهد الأبرز على ذلك أن الآية التي يستند إليها — آية النور: 55 — تخاطب الجماعة:</w:t>
      </w:r>
    </w:p>
    <w:p w14:paraId="16B18939" w14:textId="77777777" w:rsidR="00265C2A" w:rsidRDefault="00000000" w:rsidP="00997D12">
      <w:pPr>
        <w:pBdr>
          <w:right w:val="single" w:sz="12" w:space="8" w:color="0A5E5E"/>
        </w:pBdr>
        <w:spacing w:before="60" w:after="60" w:line="300" w:lineRule="auto"/>
        <w:ind w:left="720" w:right="720"/>
      </w:pPr>
      <w:r>
        <w:rPr>
          <w:i/>
          <w:iCs/>
          <w:color w:val="0A5E5E"/>
          <w:sz w:val="24"/>
          <w:szCs w:val="24"/>
        </w:rPr>
        <w:t>{وَعَدَ اللَّهُ الَّذِينَ آمَنُوا مِنْكُمْ وَعَمِلُوا الصَّالِحَاتِ لَيَسْتَخْلِفَنَّهُمْ فِي الْأَرْضِ كَمَا اسْتَخْلَفَ الَّذِينَ مِنْ قَبْلِهِمْ} [النور: 55].</w:t>
      </w:r>
    </w:p>
    <w:p w14:paraId="33EA0415" w14:textId="77777777" w:rsidR="00265C2A" w:rsidRDefault="00000000" w:rsidP="00997D12">
      <w:pPr>
        <w:spacing w:before="80" w:after="120" w:line="340" w:lineRule="auto"/>
      </w:pPr>
      <w:r>
        <w:rPr>
          <w:color w:val="000000"/>
        </w:rPr>
        <w:t>وهذا التركيز على الأمة — لا الفرد — يُفسّر اهتمام خيري بالشروط السياسية والاجتماعية للاستخلاف: تحرير الإرادة، والعدالة الاجتماعية، والوحدة التكوينية. فالفرد — عنده — لا يتحقق استخلافياً إلا في سياق جماعي مُهيَّأ. ويمكن أن نُصنّف أنطولوجيا خيري ضمن ما يُعرف في الفلسفة السياسية المعاصرة بـ«الكومونيتارية الإسلامية» (Islamic Communitarianism)، أي أن الهوية الإنسانية تتشكّل بجوهرها من خلال الانتماء إلى الجماعة الأخلاقية المؤمنة.</w:t>
      </w:r>
    </w:p>
    <w:p w14:paraId="33AB7232" w14:textId="77777777" w:rsidR="00265C2A" w:rsidRDefault="00000000" w:rsidP="00997D12">
      <w:pPr>
        <w:spacing w:before="80" w:after="120" w:line="340" w:lineRule="auto"/>
      </w:pPr>
      <w:r>
        <w:rPr>
          <w:color w:val="000000"/>
        </w:rPr>
        <w:t>بيد أن هذه الأنطولوجيا الجماعية لا تُلغي الفرد تماماً عند خيري، بل تُقدّمه كوحدة وظيفية في المنظومة الجماعية: الفرد خادم الأمة، ومحرّك الإرادة الجمعية، وحارس القيم. غير أن «الداخل» النفسي للفرد — أزماته، وصراعاته، وجراحه الوجودية — يبقى خارج دائرة الاهتمام الأنطولوجي الأساسي عند خيري.</w:t>
      </w:r>
    </w:p>
    <w:p w14:paraId="5348B677" w14:textId="77777777" w:rsidR="00265C2A" w:rsidRDefault="00000000" w:rsidP="00997D12">
      <w:pPr>
        <w:pStyle w:val="2"/>
        <w:jc w:val="left"/>
      </w:pPr>
      <w:r>
        <w:t>1.2 الأنطولوجيا عند عبد السلام الزراع: «الإنسان-الخليفة»</w:t>
      </w:r>
    </w:p>
    <w:p w14:paraId="278CC5F4" w14:textId="77777777" w:rsidR="00265C2A" w:rsidRDefault="00000000" w:rsidP="00997D12">
      <w:pPr>
        <w:spacing w:before="80" w:after="120" w:line="340" w:lineRule="auto"/>
      </w:pPr>
      <w:r>
        <w:rPr>
          <w:color w:val="000000"/>
        </w:rPr>
        <w:t>ينطلق الزراع — في المقابل — من أنطولوجيا نفسية-وجودية محورها الفرد لا الأمة (في البداية على الأقل). فالإنسان — في تصوره — هو كائن مُزدوج الاستعداد: يحمل في جوهره بُذرة الفجور والتقوى معاً، وهو في صراع وجودي مستمر بين النفس الأمّارة والنفس المطمئنة.</w:t>
      </w:r>
    </w:p>
    <w:p w14:paraId="5E92E97F" w14:textId="77777777" w:rsidR="00265C2A" w:rsidRDefault="00000000" w:rsidP="00997D12">
      <w:pPr>
        <w:pBdr>
          <w:right w:val="single" w:sz="12" w:space="8" w:color="0A5E5E"/>
        </w:pBdr>
        <w:spacing w:before="60" w:after="60" w:line="300" w:lineRule="auto"/>
        <w:ind w:left="720" w:right="720"/>
      </w:pPr>
      <w:r>
        <w:rPr>
          <w:i/>
          <w:iCs/>
          <w:color w:val="0A5E5E"/>
          <w:sz w:val="24"/>
          <w:szCs w:val="24"/>
        </w:rPr>
        <w:t>{وَنَفْسٍ وَمَا سَوَّاهَا • فَأَلْهَمَهَا فُجُورَهَا وَتَقْوَاهَا • قَدْ أَفْلَحَ مَن زَكَّاهَا • وَقَدْ خَابَ مَن دَسَّاهَا} [الشمس: 7-10].</w:t>
      </w:r>
    </w:p>
    <w:p w14:paraId="45148E65" w14:textId="77777777" w:rsidR="00265C2A" w:rsidRDefault="00000000" w:rsidP="00997D12">
      <w:pPr>
        <w:spacing w:before="80" w:after="120" w:line="340" w:lineRule="auto"/>
      </w:pPr>
      <w:r>
        <w:rPr>
          <w:color w:val="000000"/>
        </w:rPr>
        <w:t>وهذه الثنائية الداخلية — الفجور/التقوى — هي المحرّك الأساسي للديناميكيات النفسية في نموذج الزراع. فالاستخلاف — عنده — هو استعادة للفطرة الأصلية، وتحقيق «الإنسان الكامل» (النفس المطمئنة) من خلال ثمانية أضلاع للصعود والهبوط. وهذه الأنطولوجيا تُقارِب — في عمقها — نموذج الهرمنيوطيقا الذاتية (Self-Hermeneutics) عند فوكو، إذ يُشترَط تأويل الذات وتفكيكها من الداخل قبل أي تحرر خارجي.</w:t>
      </w:r>
    </w:p>
    <w:p w14:paraId="40A789B0" w14:textId="77777777" w:rsidR="00265C2A" w:rsidRDefault="00000000" w:rsidP="00997D12">
      <w:pPr>
        <w:spacing w:before="80" w:after="120" w:line="340" w:lineRule="auto"/>
      </w:pPr>
      <w:r>
        <w:rPr>
          <w:color w:val="000000"/>
        </w:rPr>
        <w:t>والفارق الجوهري بين الزراع وخيري هنا ليس في غياب البُعد الجماعي عند الزراع، بل في الترتيب الأنطولوجي: الزراع يُقدّم الفرد «خليفةً» بالقوة، في حاجة إلى تأهيل داخلي ليصبح خليفةً بالفعل، قبل أن تُطلَب منه الخلافة الجماعية. وهو بذلك يُؤسّس لمبدأ: «تحرير الباطن شرط تحرير الظاهر».</w:t>
      </w:r>
    </w:p>
    <w:p w14:paraId="765A0C56" w14:textId="77777777" w:rsidR="00265C2A" w:rsidRDefault="00000000" w:rsidP="00997D12">
      <w:pPr>
        <w:pStyle w:val="2"/>
        <w:jc w:val="left"/>
      </w:pPr>
      <w:r>
        <w:t>1.3 التحليل المقارن: تكامل المستويَين</w:t>
      </w:r>
    </w:p>
    <w:p w14:paraId="7798328E" w14:textId="77777777" w:rsidR="00265C2A" w:rsidRDefault="00000000" w:rsidP="00997D12">
      <w:pPr>
        <w:spacing w:before="80" w:after="120" w:line="340" w:lineRule="auto"/>
      </w:pPr>
      <w:r>
        <w:rPr>
          <w:color w:val="000000"/>
        </w:rPr>
        <w:t>نحن هنا أمام تكامل لا تناقض. فخيري يبدأ من الكل (الأمة) ليتجه إلى الجزء (الفرد)، بينما يبدأ الزراع من الجزء (الفرد) ليتجه إلى الكل (الأمة). ويمكن تصوير هذا التكامل على النحو التالي:</w:t>
      </w:r>
    </w:p>
    <w:p w14:paraId="24D86068" w14:textId="77777777" w:rsidR="00265C2A" w:rsidRDefault="00265C2A" w:rsidP="00997D12">
      <w:pPr>
        <w:spacing w:before="40" w:after="40"/>
      </w:pP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00"/>
        <w:gridCol w:w="2100"/>
        <w:gridCol w:w="2100"/>
      </w:tblGrid>
      <w:tr w:rsidR="00265C2A" w14:paraId="5A9A9D48" w14:textId="77777777">
        <w:tblPrEx>
          <w:tblCellMar>
            <w:top w:w="0" w:type="dxa"/>
            <w:bottom w:w="0" w:type="dxa"/>
          </w:tblCellMar>
        </w:tblPrEx>
        <w:tc>
          <w:tcPr>
            <w:tcW w:w="5200" w:type="dxa"/>
            <w:tcBorders>
              <w:top w:val="single" w:sz="4" w:space="0" w:color="1A3A6B"/>
              <w:left w:val="single" w:sz="4" w:space="0" w:color="1A3A6B"/>
              <w:bottom w:val="single" w:sz="4" w:space="0" w:color="1A3A6B"/>
              <w:right w:val="single" w:sz="4" w:space="0" w:color="1A3A6B"/>
            </w:tcBorders>
            <w:shd w:val="clear" w:color="auto" w:fill="0D1B33"/>
            <w:tcMar>
              <w:top w:w="100" w:type="dxa"/>
              <w:left w:w="150" w:type="dxa"/>
              <w:bottom w:w="100" w:type="dxa"/>
              <w:right w:w="150" w:type="dxa"/>
            </w:tcMar>
          </w:tcPr>
          <w:p w14:paraId="1BF74223" w14:textId="77777777" w:rsidR="00265C2A" w:rsidRDefault="00000000" w:rsidP="00997D12">
            <w:r>
              <w:rPr>
                <w:b/>
                <w:bCs/>
                <w:color w:val="FFFFFF"/>
                <w:sz w:val="24"/>
                <w:szCs w:val="24"/>
              </w:rPr>
              <w:t>وجه المقارنة</w:t>
            </w:r>
          </w:p>
        </w:tc>
        <w:tc>
          <w:tcPr>
            <w:tcW w:w="2100" w:type="dxa"/>
            <w:tcBorders>
              <w:top w:val="single" w:sz="4" w:space="0" w:color="1A3A6B"/>
              <w:left w:val="single" w:sz="4" w:space="0" w:color="1A3A6B"/>
              <w:bottom w:val="single" w:sz="4" w:space="0" w:color="1A3A6B"/>
              <w:right w:val="single" w:sz="4" w:space="0" w:color="1A3A6B"/>
            </w:tcBorders>
            <w:shd w:val="clear" w:color="auto" w:fill="0A5E5E"/>
            <w:tcMar>
              <w:top w:w="100" w:type="dxa"/>
              <w:left w:w="150" w:type="dxa"/>
              <w:bottom w:w="100" w:type="dxa"/>
              <w:right w:w="150" w:type="dxa"/>
            </w:tcMar>
          </w:tcPr>
          <w:p w14:paraId="77B0EFB6" w14:textId="77777777" w:rsidR="00265C2A" w:rsidRDefault="00000000" w:rsidP="00997D12">
            <w:r>
              <w:rPr>
                <w:b/>
                <w:bCs/>
                <w:color w:val="FFFFFF"/>
                <w:sz w:val="24"/>
                <w:szCs w:val="24"/>
              </w:rPr>
              <w:t>صبري خليل خيري</w:t>
            </w:r>
          </w:p>
        </w:tc>
        <w:tc>
          <w:tcPr>
            <w:tcW w:w="2100" w:type="dxa"/>
            <w:tcBorders>
              <w:top w:val="single" w:sz="4" w:space="0" w:color="1A3A6B"/>
              <w:left w:val="single" w:sz="4" w:space="0" w:color="1A3A6B"/>
              <w:bottom w:val="single" w:sz="4" w:space="0" w:color="1A3A6B"/>
              <w:right w:val="single" w:sz="4" w:space="0" w:color="1A3A6B"/>
            </w:tcBorders>
            <w:shd w:val="clear" w:color="auto" w:fill="1A3A6B"/>
            <w:tcMar>
              <w:top w:w="100" w:type="dxa"/>
              <w:left w:w="150" w:type="dxa"/>
              <w:bottom w:w="100" w:type="dxa"/>
              <w:right w:w="150" w:type="dxa"/>
            </w:tcMar>
          </w:tcPr>
          <w:p w14:paraId="59E8FF65" w14:textId="77777777" w:rsidR="00265C2A" w:rsidRDefault="00000000" w:rsidP="00997D12">
            <w:r>
              <w:rPr>
                <w:b/>
                <w:bCs/>
                <w:color w:val="FFFFFF"/>
                <w:sz w:val="24"/>
                <w:szCs w:val="24"/>
              </w:rPr>
              <w:t>عبد السلام الزراع</w:t>
            </w:r>
          </w:p>
        </w:tc>
      </w:tr>
      <w:tr w:rsidR="00265C2A" w14:paraId="7CE9E787" w14:textId="77777777">
        <w:tblPrEx>
          <w:tblCellMar>
            <w:top w:w="0" w:type="dxa"/>
            <w:bottom w:w="0" w:type="dxa"/>
          </w:tblCellMar>
        </w:tblPrEx>
        <w:tc>
          <w:tcPr>
            <w:tcW w:w="5200" w:type="dxa"/>
            <w:tcBorders>
              <w:top w:val="single" w:sz="4" w:space="0" w:color="1A3A6B"/>
              <w:left w:val="single" w:sz="4" w:space="0" w:color="1A3A6B"/>
              <w:bottom w:val="single" w:sz="4" w:space="0" w:color="1A3A6B"/>
              <w:right w:val="single" w:sz="4" w:space="0" w:color="1A3A6B"/>
            </w:tcBorders>
            <w:shd w:val="clear" w:color="auto" w:fill="E8EDF5"/>
            <w:tcMar>
              <w:top w:w="80" w:type="dxa"/>
              <w:left w:w="150" w:type="dxa"/>
              <w:bottom w:w="80" w:type="dxa"/>
              <w:right w:w="150" w:type="dxa"/>
            </w:tcMar>
          </w:tcPr>
          <w:p w14:paraId="7890B9F4" w14:textId="77777777" w:rsidR="00265C2A" w:rsidRDefault="00000000" w:rsidP="00997D12">
            <w:r>
              <w:rPr>
                <w:b/>
                <w:bCs/>
                <w:color w:val="0D1B33"/>
                <w:sz w:val="24"/>
                <w:szCs w:val="24"/>
              </w:rPr>
              <w:t>مستوى التحليل الأساسي</w:t>
            </w:r>
          </w:p>
        </w:tc>
        <w:tc>
          <w:tcPr>
            <w:tcW w:w="2100" w:type="dxa"/>
            <w:tcBorders>
              <w:top w:val="single" w:sz="4" w:space="0" w:color="1A3A6B"/>
              <w:left w:val="single" w:sz="4" w:space="0" w:color="1A3A6B"/>
              <w:bottom w:val="single" w:sz="4" w:space="0" w:color="1A3A6B"/>
              <w:right w:val="single" w:sz="4" w:space="0" w:color="1A3A6B"/>
            </w:tcBorders>
            <w:shd w:val="clear" w:color="auto" w:fill="E0EEEE"/>
            <w:tcMar>
              <w:top w:w="80" w:type="dxa"/>
              <w:left w:w="150" w:type="dxa"/>
              <w:bottom w:w="80" w:type="dxa"/>
              <w:right w:w="150" w:type="dxa"/>
            </w:tcMar>
          </w:tcPr>
          <w:p w14:paraId="633ACDEF" w14:textId="77777777" w:rsidR="00265C2A" w:rsidRDefault="00000000" w:rsidP="00997D12">
            <w:r>
              <w:rPr>
                <w:color w:val="000000"/>
                <w:sz w:val="24"/>
                <w:szCs w:val="24"/>
              </w:rPr>
              <w:t>الأمة / الجماعة</w:t>
            </w:r>
          </w:p>
        </w:tc>
        <w:tc>
          <w:tcPr>
            <w:tcW w:w="2100" w:type="dxa"/>
            <w:tcBorders>
              <w:top w:val="single" w:sz="4" w:space="0" w:color="1A3A6B"/>
              <w:left w:val="single" w:sz="4" w:space="0" w:color="1A3A6B"/>
              <w:bottom w:val="single" w:sz="4" w:space="0" w:color="1A3A6B"/>
              <w:right w:val="single" w:sz="4" w:space="0" w:color="1A3A6B"/>
            </w:tcBorders>
            <w:shd w:val="clear" w:color="auto" w:fill="F5EED8"/>
            <w:tcMar>
              <w:top w:w="80" w:type="dxa"/>
              <w:left w:w="150" w:type="dxa"/>
              <w:bottom w:w="80" w:type="dxa"/>
              <w:right w:w="150" w:type="dxa"/>
            </w:tcMar>
          </w:tcPr>
          <w:p w14:paraId="61FB333F" w14:textId="77777777" w:rsidR="00265C2A" w:rsidRDefault="00000000" w:rsidP="00997D12">
            <w:r>
              <w:rPr>
                <w:color w:val="000000"/>
                <w:sz w:val="24"/>
                <w:szCs w:val="24"/>
              </w:rPr>
              <w:t>الفرد / النفس</w:t>
            </w:r>
          </w:p>
        </w:tc>
      </w:tr>
      <w:tr w:rsidR="00265C2A" w14:paraId="29F597D2" w14:textId="77777777">
        <w:tblPrEx>
          <w:tblCellMar>
            <w:top w:w="0" w:type="dxa"/>
            <w:bottom w:w="0" w:type="dxa"/>
          </w:tblCellMar>
        </w:tblPrEx>
        <w:tc>
          <w:tcPr>
            <w:tcW w:w="5200" w:type="dxa"/>
            <w:tcBorders>
              <w:top w:val="single" w:sz="4" w:space="0" w:color="1A3A6B"/>
              <w:left w:val="single" w:sz="4" w:space="0" w:color="1A3A6B"/>
              <w:bottom w:val="single" w:sz="4" w:space="0" w:color="1A3A6B"/>
              <w:right w:val="single" w:sz="4" w:space="0" w:color="1A3A6B"/>
            </w:tcBorders>
            <w:shd w:val="clear" w:color="auto" w:fill="FFFFFF"/>
            <w:tcMar>
              <w:top w:w="80" w:type="dxa"/>
              <w:left w:w="150" w:type="dxa"/>
              <w:bottom w:w="80" w:type="dxa"/>
              <w:right w:w="150" w:type="dxa"/>
            </w:tcMar>
          </w:tcPr>
          <w:p w14:paraId="3464189C" w14:textId="77777777" w:rsidR="00265C2A" w:rsidRDefault="00000000" w:rsidP="00997D12">
            <w:r>
              <w:rPr>
                <w:b/>
                <w:bCs/>
                <w:color w:val="0D1B33"/>
                <w:sz w:val="24"/>
                <w:szCs w:val="24"/>
              </w:rPr>
              <w:t>الإنسان في جوهره</w:t>
            </w:r>
          </w:p>
        </w:tc>
        <w:tc>
          <w:tcPr>
            <w:tcW w:w="2100" w:type="dxa"/>
            <w:tcBorders>
              <w:top w:val="single" w:sz="4" w:space="0" w:color="1A3A6B"/>
              <w:left w:val="single" w:sz="4" w:space="0" w:color="1A3A6B"/>
              <w:bottom w:val="single" w:sz="4" w:space="0" w:color="1A3A6B"/>
              <w:right w:val="single" w:sz="4" w:space="0" w:color="1A3A6B"/>
            </w:tcBorders>
            <w:shd w:val="clear" w:color="auto" w:fill="FFFFFF"/>
            <w:tcMar>
              <w:top w:w="80" w:type="dxa"/>
              <w:left w:w="150" w:type="dxa"/>
              <w:bottom w:w="80" w:type="dxa"/>
              <w:right w:w="150" w:type="dxa"/>
            </w:tcMar>
          </w:tcPr>
          <w:p w14:paraId="7F10E82B" w14:textId="77777777" w:rsidR="00265C2A" w:rsidRDefault="00000000" w:rsidP="00997D12">
            <w:r>
              <w:rPr>
                <w:color w:val="000000"/>
                <w:sz w:val="24"/>
                <w:szCs w:val="24"/>
              </w:rPr>
              <w:t>كائن سياسي-اجتماعي</w:t>
            </w:r>
          </w:p>
        </w:tc>
        <w:tc>
          <w:tcPr>
            <w:tcW w:w="2100" w:type="dxa"/>
            <w:tcBorders>
              <w:top w:val="single" w:sz="4" w:space="0" w:color="1A3A6B"/>
              <w:left w:val="single" w:sz="4" w:space="0" w:color="1A3A6B"/>
              <w:bottom w:val="single" w:sz="4" w:space="0" w:color="1A3A6B"/>
              <w:right w:val="single" w:sz="4" w:space="0" w:color="1A3A6B"/>
            </w:tcBorders>
            <w:shd w:val="clear" w:color="auto" w:fill="FFFFFF"/>
            <w:tcMar>
              <w:top w:w="80" w:type="dxa"/>
              <w:left w:w="150" w:type="dxa"/>
              <w:bottom w:w="80" w:type="dxa"/>
              <w:right w:w="150" w:type="dxa"/>
            </w:tcMar>
          </w:tcPr>
          <w:p w14:paraId="46A7AF1C" w14:textId="77777777" w:rsidR="00265C2A" w:rsidRDefault="00000000" w:rsidP="00997D12">
            <w:r>
              <w:rPr>
                <w:color w:val="000000"/>
                <w:sz w:val="24"/>
                <w:szCs w:val="24"/>
              </w:rPr>
              <w:t>كائن وجودي-روحي</w:t>
            </w:r>
          </w:p>
        </w:tc>
      </w:tr>
      <w:tr w:rsidR="00265C2A" w14:paraId="626491B9" w14:textId="77777777">
        <w:tblPrEx>
          <w:tblCellMar>
            <w:top w:w="0" w:type="dxa"/>
            <w:bottom w:w="0" w:type="dxa"/>
          </w:tblCellMar>
        </w:tblPrEx>
        <w:tc>
          <w:tcPr>
            <w:tcW w:w="5200" w:type="dxa"/>
            <w:tcBorders>
              <w:top w:val="single" w:sz="4" w:space="0" w:color="1A3A6B"/>
              <w:left w:val="single" w:sz="4" w:space="0" w:color="1A3A6B"/>
              <w:bottom w:val="single" w:sz="4" w:space="0" w:color="1A3A6B"/>
              <w:right w:val="single" w:sz="4" w:space="0" w:color="1A3A6B"/>
            </w:tcBorders>
            <w:shd w:val="clear" w:color="auto" w:fill="E8EDF5"/>
            <w:tcMar>
              <w:top w:w="80" w:type="dxa"/>
              <w:left w:w="150" w:type="dxa"/>
              <w:bottom w:w="80" w:type="dxa"/>
              <w:right w:w="150" w:type="dxa"/>
            </w:tcMar>
          </w:tcPr>
          <w:p w14:paraId="4DCE142D" w14:textId="77777777" w:rsidR="00265C2A" w:rsidRDefault="00000000" w:rsidP="00997D12">
            <w:r>
              <w:rPr>
                <w:b/>
                <w:bCs/>
                <w:color w:val="0D1B33"/>
                <w:sz w:val="24"/>
                <w:szCs w:val="24"/>
              </w:rPr>
              <w:t>التوتر الأساسي</w:t>
            </w:r>
          </w:p>
        </w:tc>
        <w:tc>
          <w:tcPr>
            <w:tcW w:w="2100" w:type="dxa"/>
            <w:tcBorders>
              <w:top w:val="single" w:sz="4" w:space="0" w:color="1A3A6B"/>
              <w:left w:val="single" w:sz="4" w:space="0" w:color="1A3A6B"/>
              <w:bottom w:val="single" w:sz="4" w:space="0" w:color="1A3A6B"/>
              <w:right w:val="single" w:sz="4" w:space="0" w:color="1A3A6B"/>
            </w:tcBorders>
            <w:shd w:val="clear" w:color="auto" w:fill="E0EEEE"/>
            <w:tcMar>
              <w:top w:w="80" w:type="dxa"/>
              <w:left w:w="150" w:type="dxa"/>
              <w:bottom w:w="80" w:type="dxa"/>
              <w:right w:w="150" w:type="dxa"/>
            </w:tcMar>
          </w:tcPr>
          <w:p w14:paraId="75E8E7B9" w14:textId="77777777" w:rsidR="00265C2A" w:rsidRDefault="00000000" w:rsidP="00997D12">
            <w:r>
              <w:rPr>
                <w:color w:val="000000"/>
                <w:sz w:val="24"/>
                <w:szCs w:val="24"/>
              </w:rPr>
              <w:t>الاستبداد vs الحرية</w:t>
            </w:r>
          </w:p>
        </w:tc>
        <w:tc>
          <w:tcPr>
            <w:tcW w:w="2100" w:type="dxa"/>
            <w:tcBorders>
              <w:top w:val="single" w:sz="4" w:space="0" w:color="1A3A6B"/>
              <w:left w:val="single" w:sz="4" w:space="0" w:color="1A3A6B"/>
              <w:bottom w:val="single" w:sz="4" w:space="0" w:color="1A3A6B"/>
              <w:right w:val="single" w:sz="4" w:space="0" w:color="1A3A6B"/>
            </w:tcBorders>
            <w:shd w:val="clear" w:color="auto" w:fill="F5EED8"/>
            <w:tcMar>
              <w:top w:w="80" w:type="dxa"/>
              <w:left w:w="150" w:type="dxa"/>
              <w:bottom w:w="80" w:type="dxa"/>
              <w:right w:w="150" w:type="dxa"/>
            </w:tcMar>
          </w:tcPr>
          <w:p w14:paraId="030E9B32" w14:textId="77777777" w:rsidR="00265C2A" w:rsidRDefault="00000000" w:rsidP="00997D12">
            <w:r>
              <w:rPr>
                <w:color w:val="000000"/>
                <w:sz w:val="24"/>
                <w:szCs w:val="24"/>
              </w:rPr>
              <w:t>الأمّارة vs المطمئنة</w:t>
            </w:r>
          </w:p>
        </w:tc>
      </w:tr>
      <w:tr w:rsidR="00265C2A" w14:paraId="50541D27" w14:textId="77777777">
        <w:tblPrEx>
          <w:tblCellMar>
            <w:top w:w="0" w:type="dxa"/>
            <w:bottom w:w="0" w:type="dxa"/>
          </w:tblCellMar>
        </w:tblPrEx>
        <w:tc>
          <w:tcPr>
            <w:tcW w:w="5200" w:type="dxa"/>
            <w:tcBorders>
              <w:top w:val="single" w:sz="4" w:space="0" w:color="1A3A6B"/>
              <w:left w:val="single" w:sz="4" w:space="0" w:color="1A3A6B"/>
              <w:bottom w:val="single" w:sz="4" w:space="0" w:color="1A3A6B"/>
              <w:right w:val="single" w:sz="4" w:space="0" w:color="1A3A6B"/>
            </w:tcBorders>
            <w:shd w:val="clear" w:color="auto" w:fill="FFFFFF"/>
            <w:tcMar>
              <w:top w:w="80" w:type="dxa"/>
              <w:left w:w="150" w:type="dxa"/>
              <w:bottom w:w="80" w:type="dxa"/>
              <w:right w:w="150" w:type="dxa"/>
            </w:tcMar>
          </w:tcPr>
          <w:p w14:paraId="473747C4" w14:textId="77777777" w:rsidR="00265C2A" w:rsidRDefault="00000000" w:rsidP="00997D12">
            <w:r>
              <w:rPr>
                <w:b/>
                <w:bCs/>
                <w:color w:val="0D1B33"/>
                <w:sz w:val="24"/>
                <w:szCs w:val="24"/>
              </w:rPr>
              <w:t>المرجعية القرآنية</w:t>
            </w:r>
          </w:p>
        </w:tc>
        <w:tc>
          <w:tcPr>
            <w:tcW w:w="2100" w:type="dxa"/>
            <w:tcBorders>
              <w:top w:val="single" w:sz="4" w:space="0" w:color="1A3A6B"/>
              <w:left w:val="single" w:sz="4" w:space="0" w:color="1A3A6B"/>
              <w:bottom w:val="single" w:sz="4" w:space="0" w:color="1A3A6B"/>
              <w:right w:val="single" w:sz="4" w:space="0" w:color="1A3A6B"/>
            </w:tcBorders>
            <w:shd w:val="clear" w:color="auto" w:fill="FFFFFF"/>
            <w:tcMar>
              <w:top w:w="80" w:type="dxa"/>
              <w:left w:w="150" w:type="dxa"/>
              <w:bottom w:w="80" w:type="dxa"/>
              <w:right w:w="150" w:type="dxa"/>
            </w:tcMar>
          </w:tcPr>
          <w:p w14:paraId="2EC907B7" w14:textId="77777777" w:rsidR="00265C2A" w:rsidRDefault="00000000" w:rsidP="00997D12">
            <w:r>
              <w:rPr>
                <w:color w:val="000000"/>
                <w:sz w:val="24"/>
                <w:szCs w:val="24"/>
              </w:rPr>
              <w:t>النور: 55 (وعد جماعي)</w:t>
            </w:r>
          </w:p>
        </w:tc>
        <w:tc>
          <w:tcPr>
            <w:tcW w:w="2100" w:type="dxa"/>
            <w:tcBorders>
              <w:top w:val="single" w:sz="4" w:space="0" w:color="1A3A6B"/>
              <w:left w:val="single" w:sz="4" w:space="0" w:color="1A3A6B"/>
              <w:bottom w:val="single" w:sz="4" w:space="0" w:color="1A3A6B"/>
              <w:right w:val="single" w:sz="4" w:space="0" w:color="1A3A6B"/>
            </w:tcBorders>
            <w:shd w:val="clear" w:color="auto" w:fill="FFFFFF"/>
            <w:tcMar>
              <w:top w:w="80" w:type="dxa"/>
              <w:left w:w="150" w:type="dxa"/>
              <w:bottom w:w="80" w:type="dxa"/>
              <w:right w:w="150" w:type="dxa"/>
            </w:tcMar>
          </w:tcPr>
          <w:p w14:paraId="7139C554" w14:textId="77777777" w:rsidR="00265C2A" w:rsidRDefault="00000000" w:rsidP="00997D12">
            <w:r>
              <w:rPr>
                <w:color w:val="000000"/>
                <w:sz w:val="24"/>
                <w:szCs w:val="24"/>
              </w:rPr>
              <w:t>الشمس: 7-10 (استعداد فردي)</w:t>
            </w:r>
          </w:p>
        </w:tc>
      </w:tr>
      <w:tr w:rsidR="00265C2A" w14:paraId="7D6D24E2" w14:textId="77777777">
        <w:tblPrEx>
          <w:tblCellMar>
            <w:top w:w="0" w:type="dxa"/>
            <w:bottom w:w="0" w:type="dxa"/>
          </w:tblCellMar>
        </w:tblPrEx>
        <w:tc>
          <w:tcPr>
            <w:tcW w:w="5200" w:type="dxa"/>
            <w:tcBorders>
              <w:top w:val="single" w:sz="4" w:space="0" w:color="1A3A6B"/>
              <w:left w:val="single" w:sz="4" w:space="0" w:color="1A3A6B"/>
              <w:bottom w:val="single" w:sz="4" w:space="0" w:color="1A3A6B"/>
              <w:right w:val="single" w:sz="4" w:space="0" w:color="1A3A6B"/>
            </w:tcBorders>
            <w:shd w:val="clear" w:color="auto" w:fill="E8EDF5"/>
            <w:tcMar>
              <w:top w:w="80" w:type="dxa"/>
              <w:left w:w="150" w:type="dxa"/>
              <w:bottom w:w="80" w:type="dxa"/>
              <w:right w:w="150" w:type="dxa"/>
            </w:tcMar>
          </w:tcPr>
          <w:p w14:paraId="45EF41C0" w14:textId="77777777" w:rsidR="00265C2A" w:rsidRDefault="00000000" w:rsidP="00997D12">
            <w:r>
              <w:rPr>
                <w:b/>
                <w:bCs/>
                <w:color w:val="0D1B33"/>
                <w:sz w:val="24"/>
                <w:szCs w:val="24"/>
              </w:rPr>
              <w:t>الخلافة كـ...</w:t>
            </w:r>
          </w:p>
        </w:tc>
        <w:tc>
          <w:tcPr>
            <w:tcW w:w="2100" w:type="dxa"/>
            <w:tcBorders>
              <w:top w:val="single" w:sz="4" w:space="0" w:color="1A3A6B"/>
              <w:left w:val="single" w:sz="4" w:space="0" w:color="1A3A6B"/>
              <w:bottom w:val="single" w:sz="4" w:space="0" w:color="1A3A6B"/>
              <w:right w:val="single" w:sz="4" w:space="0" w:color="1A3A6B"/>
            </w:tcBorders>
            <w:shd w:val="clear" w:color="auto" w:fill="E0EEEE"/>
            <w:tcMar>
              <w:top w:w="80" w:type="dxa"/>
              <w:left w:w="150" w:type="dxa"/>
              <w:bottom w:w="80" w:type="dxa"/>
              <w:right w:w="150" w:type="dxa"/>
            </w:tcMar>
          </w:tcPr>
          <w:p w14:paraId="06BA41C3" w14:textId="77777777" w:rsidR="00265C2A" w:rsidRDefault="00000000" w:rsidP="00997D12">
            <w:r>
              <w:rPr>
                <w:color w:val="000000"/>
                <w:sz w:val="24"/>
                <w:szCs w:val="24"/>
              </w:rPr>
              <w:t>وعد إلهي للأمة</w:t>
            </w:r>
          </w:p>
        </w:tc>
        <w:tc>
          <w:tcPr>
            <w:tcW w:w="2100" w:type="dxa"/>
            <w:tcBorders>
              <w:top w:val="single" w:sz="4" w:space="0" w:color="1A3A6B"/>
              <w:left w:val="single" w:sz="4" w:space="0" w:color="1A3A6B"/>
              <w:bottom w:val="single" w:sz="4" w:space="0" w:color="1A3A6B"/>
              <w:right w:val="single" w:sz="4" w:space="0" w:color="1A3A6B"/>
            </w:tcBorders>
            <w:shd w:val="clear" w:color="auto" w:fill="F5EED8"/>
            <w:tcMar>
              <w:top w:w="80" w:type="dxa"/>
              <w:left w:w="150" w:type="dxa"/>
              <w:bottom w:w="80" w:type="dxa"/>
              <w:right w:w="150" w:type="dxa"/>
            </w:tcMar>
          </w:tcPr>
          <w:p w14:paraId="3279959B" w14:textId="77777777" w:rsidR="00265C2A" w:rsidRDefault="00000000" w:rsidP="00997D12">
            <w:r>
              <w:rPr>
                <w:color w:val="000000"/>
                <w:sz w:val="24"/>
                <w:szCs w:val="24"/>
              </w:rPr>
              <w:t>فطرة كامنة في الفرد</w:t>
            </w:r>
          </w:p>
        </w:tc>
      </w:tr>
      <w:tr w:rsidR="00265C2A" w14:paraId="0E8ED78B" w14:textId="77777777">
        <w:tblPrEx>
          <w:tblCellMar>
            <w:top w:w="0" w:type="dxa"/>
            <w:bottom w:w="0" w:type="dxa"/>
          </w:tblCellMar>
        </w:tblPrEx>
        <w:tc>
          <w:tcPr>
            <w:tcW w:w="5200" w:type="dxa"/>
            <w:tcBorders>
              <w:top w:val="single" w:sz="4" w:space="0" w:color="1A3A6B"/>
              <w:left w:val="single" w:sz="4" w:space="0" w:color="1A3A6B"/>
              <w:bottom w:val="single" w:sz="4" w:space="0" w:color="1A3A6B"/>
              <w:right w:val="single" w:sz="4" w:space="0" w:color="1A3A6B"/>
            </w:tcBorders>
            <w:shd w:val="clear" w:color="auto" w:fill="FFFFFF"/>
            <w:tcMar>
              <w:top w:w="80" w:type="dxa"/>
              <w:left w:w="150" w:type="dxa"/>
              <w:bottom w:w="80" w:type="dxa"/>
              <w:right w:w="150" w:type="dxa"/>
            </w:tcMar>
          </w:tcPr>
          <w:p w14:paraId="5F2D008A" w14:textId="77777777" w:rsidR="00265C2A" w:rsidRDefault="00000000" w:rsidP="00997D12">
            <w:r>
              <w:rPr>
                <w:b/>
                <w:bCs/>
                <w:color w:val="0D1B33"/>
                <w:sz w:val="24"/>
                <w:szCs w:val="24"/>
              </w:rPr>
              <w:t>نقطة العمى النسبية</w:t>
            </w:r>
          </w:p>
        </w:tc>
        <w:tc>
          <w:tcPr>
            <w:tcW w:w="2100" w:type="dxa"/>
            <w:tcBorders>
              <w:top w:val="single" w:sz="4" w:space="0" w:color="1A3A6B"/>
              <w:left w:val="single" w:sz="4" w:space="0" w:color="1A3A6B"/>
              <w:bottom w:val="single" w:sz="4" w:space="0" w:color="1A3A6B"/>
              <w:right w:val="single" w:sz="4" w:space="0" w:color="1A3A6B"/>
            </w:tcBorders>
            <w:shd w:val="clear" w:color="auto" w:fill="FFFFFF"/>
            <w:tcMar>
              <w:top w:w="80" w:type="dxa"/>
              <w:left w:w="150" w:type="dxa"/>
              <w:bottom w:w="80" w:type="dxa"/>
              <w:right w:w="150" w:type="dxa"/>
            </w:tcMar>
          </w:tcPr>
          <w:p w14:paraId="5C7A9382" w14:textId="77777777" w:rsidR="00265C2A" w:rsidRDefault="00000000" w:rsidP="00997D12">
            <w:r>
              <w:rPr>
                <w:color w:val="000000"/>
                <w:sz w:val="24"/>
                <w:szCs w:val="24"/>
              </w:rPr>
              <w:t>الداخل النفسي للفرد</w:t>
            </w:r>
          </w:p>
        </w:tc>
        <w:tc>
          <w:tcPr>
            <w:tcW w:w="2100" w:type="dxa"/>
            <w:tcBorders>
              <w:top w:val="single" w:sz="4" w:space="0" w:color="1A3A6B"/>
              <w:left w:val="single" w:sz="4" w:space="0" w:color="1A3A6B"/>
              <w:bottom w:val="single" w:sz="4" w:space="0" w:color="1A3A6B"/>
              <w:right w:val="single" w:sz="4" w:space="0" w:color="1A3A6B"/>
            </w:tcBorders>
            <w:shd w:val="clear" w:color="auto" w:fill="FFFFFF"/>
            <w:tcMar>
              <w:top w:w="80" w:type="dxa"/>
              <w:left w:w="150" w:type="dxa"/>
              <w:bottom w:w="80" w:type="dxa"/>
              <w:right w:w="150" w:type="dxa"/>
            </w:tcMar>
          </w:tcPr>
          <w:p w14:paraId="6579D936" w14:textId="77777777" w:rsidR="00265C2A" w:rsidRDefault="00000000" w:rsidP="00997D12">
            <w:r>
              <w:rPr>
                <w:color w:val="000000"/>
                <w:sz w:val="24"/>
                <w:szCs w:val="24"/>
              </w:rPr>
              <w:t>الشروط البنيوية-السياسية</w:t>
            </w:r>
          </w:p>
        </w:tc>
      </w:tr>
    </w:tbl>
    <w:p w14:paraId="18EFAAB1" w14:textId="77777777" w:rsidR="00265C2A" w:rsidRDefault="00265C2A" w:rsidP="00997D12">
      <w:pPr>
        <w:spacing w:before="40" w:after="40"/>
      </w:pPr>
    </w:p>
    <w:p w14:paraId="3D740ECF" w14:textId="77777777" w:rsidR="00265C2A" w:rsidRDefault="00000000" w:rsidP="00997D12">
      <w:pPr>
        <w:spacing w:before="80" w:after="120" w:line="340" w:lineRule="auto"/>
      </w:pPr>
      <w:r>
        <w:rPr>
          <w:color w:val="000000"/>
        </w:rPr>
        <w:t>والسؤال الذي يفرض نفسه هو: هل يمكن أن تتحقق الدولة الاستخلافية (كما يصفها خيري) بدون الإنسان الاستخلافي (كما يصفه الزراع)؟ وهل يمكن أن يكتمل الإنسان الاستخلافي بدون الدولة الاستخلافية التي تحميه وتُنمّيه؟ الجواب — في كلا الاتجاهَين — هو «لا»، وهذا بالضبط ما يُسوّغ التكامل النظري بينهما.</w:t>
      </w:r>
    </w:p>
    <w:p w14:paraId="2868F21E" w14:textId="77777777" w:rsidR="00265C2A" w:rsidRDefault="00000000" w:rsidP="00997D12">
      <w:r>
        <w:br w:type="page"/>
      </w:r>
    </w:p>
    <w:p w14:paraId="5D1D3759" w14:textId="77777777" w:rsidR="00265C2A" w:rsidRDefault="00000000" w:rsidP="00997D12">
      <w:pPr>
        <w:pStyle w:val="1"/>
        <w:pBdr>
          <w:bottom w:val="single" w:sz="8" w:space="4" w:color="9A7B1A"/>
        </w:pBdr>
        <w:jc w:val="left"/>
      </w:pPr>
      <w:r>
        <w:t>المحور الثاني: الإبستمولوجيا — مصادر المعرفة ومناهجها</w:t>
      </w:r>
    </w:p>
    <w:p w14:paraId="44E131FD" w14:textId="77777777" w:rsidR="00265C2A" w:rsidRDefault="00000000" w:rsidP="00997D12">
      <w:pPr>
        <w:spacing w:before="80" w:after="120" w:line="340" w:lineRule="auto"/>
      </w:pPr>
      <w:r>
        <w:rPr>
          <w:color w:val="000000"/>
        </w:rPr>
        <w:t>إذا كانت الأنطولوجيا تُجيب عن سؤال «ما الإنسان؟»، فإن الإبستمولوجيا تُجيب عن سؤال «كيف نعرف؟»، أي: ما الأدوات المعرفية التي نعتمدها لفهم الاستخلاف وشروطه وعوائقه؟ والفارق الإبستمولوجي بين خيري والزراع هو من أعمق الفوارق بينهما.</w:t>
      </w:r>
    </w:p>
    <w:p w14:paraId="0E479CE4" w14:textId="77777777" w:rsidR="00265C2A" w:rsidRDefault="00000000" w:rsidP="00997D12">
      <w:pPr>
        <w:pStyle w:val="2"/>
        <w:jc w:val="left"/>
      </w:pPr>
      <w:r>
        <w:t>2.1 إبستمولوجيا خيري: «التأصيل النصي»</w:t>
      </w:r>
    </w:p>
    <w:p w14:paraId="6C5A9278" w14:textId="77777777" w:rsidR="00265C2A" w:rsidRDefault="00000000" w:rsidP="00997D12">
      <w:pPr>
        <w:spacing w:before="80" w:after="120" w:line="340" w:lineRule="auto"/>
      </w:pPr>
      <w:r>
        <w:rPr>
          <w:color w:val="000000"/>
        </w:rPr>
        <w:t>يعتمد خيري — بشكل أساسي — على النص (القرآن الكريم، السنة النبوية، التراث الفقهي) كمصدر معرفي أول. ومنهجيته تقوم على ثنائية التأصيل النصي (استنباط المفاهيم من النصوص) والتحليل الواقعي (تطبيق المفاهيم على الواقع). وهو يُوظّف أدوات أصول الفقه — كمبدأ «درء المفسدة ورفع الظلم» — في قراءة الواقع السياسي المعاصر للأمة الإسلامية.</w:t>
      </w:r>
    </w:p>
    <w:p w14:paraId="69B1F5E9" w14:textId="77777777" w:rsidR="00265C2A" w:rsidRDefault="00000000" w:rsidP="00997D12">
      <w:pPr>
        <w:spacing w:before="80" w:after="120" w:line="340" w:lineRule="auto"/>
      </w:pPr>
      <w:r>
        <w:rPr>
          <w:color w:val="000000"/>
        </w:rPr>
        <w:t>وهذا المنهج يُمكن تصنيفه إبستمولوجياً ضمن ما يُعرف بـ«العقلانية الإسلامية النقلية» (Islamic Textualist Rationalism): العقل أداة استنباط، لكنه يعمل داخل مرجعية النص. وقوة هذا المنهج تكمن في شرعيته الداخلية في السياق الإسلامي وقدرته على إقناع جمهور عريض من المسلمين. لكن محدوديته تتجلى في صعوبة توظيفه لمعالجة المشكلات النفسية والوجودية الفردية التي لا تجد لها مقابلاً نصياً مباشراً.</w:t>
      </w:r>
    </w:p>
    <w:p w14:paraId="6B33D045" w14:textId="77777777" w:rsidR="00265C2A" w:rsidRDefault="00000000" w:rsidP="00997D12">
      <w:pPr>
        <w:pStyle w:val="2"/>
        <w:jc w:val="left"/>
      </w:pPr>
      <w:r>
        <w:t>2.2 إبستمولوجيا الزراع: «أركيولوجيا الجرح»</w:t>
      </w:r>
    </w:p>
    <w:p w14:paraId="3DC9E519" w14:textId="77777777" w:rsidR="00265C2A" w:rsidRDefault="00000000" w:rsidP="00997D12">
      <w:pPr>
        <w:spacing w:before="80" w:after="120" w:line="340" w:lineRule="auto"/>
      </w:pPr>
      <w:r>
        <w:rPr>
          <w:color w:val="000000"/>
        </w:rPr>
        <w:t>يعتمد الزراع — في المقابل — على ما يمكن تسميته «إبستمولوجيا الجرح» (Epistemology of Wound): المعرفة لا تُستنبط من النص فحسب، بل تُستخلص من تشريح الجرح النفسي-الوجودي للإنسان المسلم المعاصر. وأدواته المعرفية متعددة ومتشابكة: التحليل النفسي (فرويد، لاكان، ريزوتو)، والعلاج الوجودي (فرانكل، يالوم)، وعلم الأعصاب (ليدوكس، بانكسب)، والتراث الإسلامي (الغزالي، ابن القيم، المحاسبي).</w:t>
      </w:r>
    </w:p>
    <w:p w14:paraId="0566B77E" w14:textId="77777777" w:rsidR="00265C2A" w:rsidRDefault="00000000" w:rsidP="00997D12">
      <w:pPr>
        <w:spacing w:before="80" w:after="120" w:line="340" w:lineRule="auto"/>
      </w:pPr>
      <w:r>
        <w:rPr>
          <w:color w:val="000000"/>
        </w:rPr>
        <w:t>وهذه الإبستمولوجيا متعددة المصادر تُمثّل — بمعنى ما — ما وصفه هابرماس بـ«العقل التواصلي» (Communicative Reason): المعرفة لا تأتي من مصدر واحد سيادي، بل من حوار انتقادي بين أُطر مرجعية متعددة. وقوة هذا المنهج في ثرائه وقدرته على التواصل مع التجربة الإنسانية المعاشة. لكن تحديه الأكبر هو الحفاظ على التماسك النظري في ظل هذا التعدد المرجعي.</w:t>
      </w:r>
    </w:p>
    <w:p w14:paraId="509A1438" w14:textId="77777777" w:rsidR="00265C2A" w:rsidRDefault="00000000" w:rsidP="00997D12">
      <w:pPr>
        <w:spacing w:before="80" w:after="120" w:line="340" w:lineRule="auto"/>
      </w:pPr>
      <w:r>
        <w:rPr>
          <w:color w:val="000000"/>
        </w:rPr>
        <w:t>الفارق الجوهري: خيري يستخدم النص «دليلاً»، بينما يستخدمه الزراع «قصةً ورمزاً وأيقونةً نفسية». خيري يستنبط من «النفس الأمّارة» حكماً أخلاقياً، بينما يُحوّلها الزراع إلى نموذج سيكوديناميكي يُشرح بأدوات علم الأعصاب.</w:t>
      </w:r>
    </w:p>
    <w:p w14:paraId="42069211" w14:textId="77777777" w:rsidR="00265C2A" w:rsidRDefault="00000000" w:rsidP="00997D12">
      <w:pPr>
        <w:pStyle w:val="2"/>
        <w:jc w:val="left"/>
      </w:pPr>
      <w:r>
        <w:t>2.3 نقطة التلاقي الإبستمولوجي: التجديد الأصيل</w:t>
      </w:r>
    </w:p>
    <w:p w14:paraId="111E7B55" w14:textId="77777777" w:rsidR="00265C2A" w:rsidRDefault="00000000" w:rsidP="00997D12">
      <w:pPr>
        <w:spacing w:before="80" w:after="120" w:line="340" w:lineRule="auto"/>
      </w:pPr>
      <w:r>
        <w:rPr>
          <w:color w:val="000000"/>
        </w:rPr>
        <w:t>رغم الفارق الكبير في المنهج، يشترك الرجلان في هدف إبستمولوجي واحد: تجاوز النموذج المعرفي المُستورَد — سواء أكان الوضعية العلمانية أم الليبرالية الفردانية — إلى نموذج معرفي نابع من المرجعية الإسلامية دون انغلاق على الذات. وكلاهما يرفض خياري الإسلاموفوبيا الداخلية (رفض التراث) والسلفية المنغلقة (رفض العلوم الإنسانية المعاصرة). وهذا يجعل مشروعَيهما في قلب ما يُعرف اليوم بـ«المعرفية الإسلامية المتجددة» (Reformist Islamic Epistemology).</w:t>
      </w:r>
    </w:p>
    <w:p w14:paraId="596E2798" w14:textId="77777777" w:rsidR="00265C2A" w:rsidRDefault="00000000" w:rsidP="00997D12">
      <w:r>
        <w:br w:type="page"/>
      </w:r>
    </w:p>
    <w:p w14:paraId="71F1E980" w14:textId="77777777" w:rsidR="00265C2A" w:rsidRDefault="00000000" w:rsidP="00997D12">
      <w:pPr>
        <w:pStyle w:val="1"/>
        <w:pBdr>
          <w:bottom w:val="single" w:sz="8" w:space="4" w:color="9A7B1A"/>
        </w:pBdr>
        <w:jc w:val="left"/>
      </w:pPr>
      <w:r>
        <w:t>المحور الثالث: مفهوم «الاستخلاف» — الحدث التاريخي مقابل العملية الوجودية</w:t>
      </w:r>
    </w:p>
    <w:p w14:paraId="6897DA4B" w14:textId="77777777" w:rsidR="00265C2A" w:rsidRDefault="00000000" w:rsidP="00997D12">
      <w:pPr>
        <w:pStyle w:val="2"/>
        <w:jc w:val="left"/>
      </w:pPr>
      <w:r>
        <w:t>3.1 الاستخلاف عند خيري: «حدث تاريخي»</w:t>
      </w:r>
    </w:p>
    <w:p w14:paraId="249E66C2" w14:textId="77777777" w:rsidR="00265C2A" w:rsidRDefault="00000000" w:rsidP="00997D12">
      <w:pPr>
        <w:spacing w:before="80" w:after="120" w:line="340" w:lineRule="auto"/>
      </w:pPr>
      <w:r>
        <w:rPr>
          <w:color w:val="000000"/>
        </w:rPr>
        <w:t>ينظر خيري إلى الاستخلاف في المقام الأول كحدث تاريخي: وعد إلهي سيتحقق في المستقبل عندما تتوفر شروطه. وهو لذلك يُؤرّخ للحظات الاستخلاف (النبوي، الراشدي) ويُحدّد مراحل تحققه (الاستطاعة، العزم). والاستخلاف — عنده — حالة سياسية-اجتماعية قابلة للقياس: تمكين، عدالة، حرية، وحدة. ولهذا التصور صدى واضح في فلسفة التاريخ الإسلامية، ولا سيما عند ابن خلدون الذي يُحلّل دورة العصبية والملك والانهيار.</w:t>
      </w:r>
    </w:p>
    <w:p w14:paraId="6BD8EF73" w14:textId="77777777" w:rsidR="00265C2A" w:rsidRDefault="00000000" w:rsidP="00997D12">
      <w:pPr>
        <w:spacing w:before="80" w:after="120" w:line="340" w:lineRule="auto"/>
      </w:pPr>
      <w:r>
        <w:rPr>
          <w:color w:val="000000"/>
        </w:rPr>
        <w:t>والاستخلاف-الحدث عند خيري له بنية زمانية مستقبلية: هو دائماً «ما ينبغي أن يكون» لا «ما هو كائن». وهذا التوجه الأُسكاتولوجي — بمعناه السياسي — يجعل المشروع الخيري في تواصل مع خطاب الصحوة الإسلامية ومشروعات التغيير السياسي الإسلامي المعاصرة.</w:t>
      </w:r>
    </w:p>
    <w:p w14:paraId="7C66F9D9" w14:textId="77777777" w:rsidR="00265C2A" w:rsidRDefault="00000000" w:rsidP="00997D12">
      <w:pPr>
        <w:pStyle w:val="2"/>
        <w:jc w:val="left"/>
      </w:pPr>
      <w:r>
        <w:t>3.2 الاستخلاف عند الزراع: «عملية وجودية»</w:t>
      </w:r>
    </w:p>
    <w:p w14:paraId="158BE967" w14:textId="77777777" w:rsidR="00265C2A" w:rsidRDefault="00000000" w:rsidP="00997D12">
      <w:pPr>
        <w:spacing w:before="80" w:after="120" w:line="340" w:lineRule="auto"/>
      </w:pPr>
      <w:r>
        <w:rPr>
          <w:color w:val="000000"/>
        </w:rPr>
        <w:t>ينظر الزراع — في المقابل — إلى الاستخلاف كعملية وجودية مستمرة: حالة نفسية-روحية يعيشها الفرد في كل لحظة عندما يُفعّل أضلاع الصعود ويُثبّط أضلاع الهبوط. فالاستخلاف — عنده — لا يُنتظر في المستقبل، بل يُعاش في الحاضر. وهو بذلك أقرب إلى «مقامات الصوفية» منه إلى «أهداف السياسيين».</w:t>
      </w:r>
    </w:p>
    <w:p w14:paraId="3385D9BA" w14:textId="77777777" w:rsidR="00265C2A" w:rsidRDefault="00000000" w:rsidP="00997D12">
      <w:pPr>
        <w:spacing w:before="80" w:after="120" w:line="340" w:lineRule="auto"/>
      </w:pPr>
      <w:r>
        <w:rPr>
          <w:color w:val="000000"/>
        </w:rPr>
        <w:t>وهذا التصور للاستخلاف كعملية راهنة — لا حدث مستقبلي — يُشبه ما وصفه كيركيغارد بـ«التكرار» (Repetition): ليس عودةً إلى الماضي، ولا توقاً إلى المستقبل، بل تحقيقاً في الحاضر لما هو أصيل في الذات الإنسانية. والأضلاع الثمانية عند الزراع هي بالضبط الآلية التي تجعل «الاستخلاف» تجربةً حيةً قابلةً للقياس النفسي والتغيير العلاجي.</w:t>
      </w:r>
    </w:p>
    <w:p w14:paraId="30FE8F16" w14:textId="77777777" w:rsidR="00265C2A" w:rsidRDefault="00000000" w:rsidP="00997D12">
      <w:pPr>
        <w:pStyle w:val="2"/>
        <w:jc w:val="left"/>
      </w:pPr>
      <w:r>
        <w:t>3.3 التوتر المنتج بين التصورَين</w:t>
      </w:r>
    </w:p>
    <w:p w14:paraId="30C402A7" w14:textId="77777777" w:rsidR="00265C2A" w:rsidRDefault="00000000" w:rsidP="00997D12">
      <w:pPr>
        <w:spacing w:before="80" w:after="120" w:line="340" w:lineRule="auto"/>
      </w:pPr>
      <w:r>
        <w:rPr>
          <w:color w:val="000000"/>
        </w:rPr>
        <w:t>يبدو التوتر بين التصورَين (حدث/عملية) توتراً جوهرياً في البداية، لكنه في العمق توتر مثمر. فالاستخلاف-الحدث عند خيري يحتاج إلى الاستخلاف-العملية عند الزراع كقاعدة بشرية تحمله. والاستخلاف-العملية عند الزراع يحتاج إلى الاستخلاف-الحدث عند خيري كأُفق حضاري يُعطيه معنىً جمعياً. وبعبارة أخرى: العملية الداخلية (الزراع) هي التربة، والحدث الخارجي (خيري) هو الشجرة.</w:t>
      </w:r>
    </w:p>
    <w:p w14:paraId="6AA69B54" w14:textId="77777777" w:rsidR="00265C2A" w:rsidRDefault="00000000" w:rsidP="00997D12">
      <w:pPr>
        <w:pBdr>
          <w:right w:val="single" w:sz="12" w:space="8" w:color="0A5E5E"/>
        </w:pBdr>
        <w:spacing w:before="60" w:after="60" w:line="300" w:lineRule="auto"/>
        <w:ind w:left="720" w:right="720"/>
      </w:pPr>
      <w:r>
        <w:rPr>
          <w:i/>
          <w:iCs/>
          <w:color w:val="0A5E5E"/>
          <w:sz w:val="24"/>
          <w:szCs w:val="24"/>
        </w:rPr>
        <w:t>«الفرق بين نظريتَيهما هو كالفرق بين علم الفيزياء وعلم الكيمياء: كلاهما يدرس المادة، لكن أحدهما يدرس حركتها الكبرى، والآخر يدرس بنيتها الداخلية. وكلاهما ضروري لفهم الواقع كاملاً.»</w:t>
      </w:r>
    </w:p>
    <w:p w14:paraId="14A1DD7B" w14:textId="77777777" w:rsidR="00265C2A" w:rsidRDefault="00000000" w:rsidP="00997D12">
      <w:r>
        <w:br w:type="page"/>
      </w:r>
    </w:p>
    <w:p w14:paraId="20BA63BE" w14:textId="77777777" w:rsidR="00265C2A" w:rsidRDefault="00000000" w:rsidP="00997D12">
      <w:pPr>
        <w:pStyle w:val="1"/>
        <w:pBdr>
          <w:bottom w:val="single" w:sz="8" w:space="4" w:color="9A7B1A"/>
        </w:pBdr>
        <w:jc w:val="left"/>
      </w:pPr>
      <w:r>
        <w:t>المحور الرابع: شروط التحقق — السياسي-الاجتماعي مقابل النفسي-الروحي</w:t>
      </w:r>
    </w:p>
    <w:p w14:paraId="2991425F" w14:textId="77777777" w:rsidR="00265C2A" w:rsidRDefault="00000000" w:rsidP="00997D12">
      <w:pPr>
        <w:pStyle w:val="2"/>
        <w:jc w:val="left"/>
      </w:pPr>
      <w:r>
        <w:t>4.1 شروط خيري: ثلاثية الحرية والعدل والوحدة</w:t>
      </w:r>
    </w:p>
    <w:p w14:paraId="44AC01E4" w14:textId="77777777" w:rsidR="00265C2A" w:rsidRDefault="00000000" w:rsidP="00997D12">
      <w:pPr>
        <w:spacing w:before="80" w:after="120" w:line="340" w:lineRule="auto"/>
      </w:pPr>
      <w:r>
        <w:rPr>
          <w:color w:val="000000"/>
        </w:rPr>
        <w:t>يُحدّد خيري ثلاثة شروط سياسية-اجتماعية لتحقق «الاستخلاف الثاني»:</w:t>
      </w:r>
    </w:p>
    <w:p w14:paraId="15D15754" w14:textId="77777777" w:rsidR="00265C2A" w:rsidRDefault="00000000" w:rsidP="00997D12">
      <w:pPr>
        <w:spacing w:before="80" w:after="120" w:line="340" w:lineRule="auto"/>
      </w:pPr>
      <w:r>
        <w:rPr>
          <w:color w:val="000000"/>
        </w:rPr>
        <w:t>الشرط الأول: تحرير إرادة الأمة وحريتها — وهو حل لمشكلة الاستبداد والتبعية. والاستبداد السياسي — عند خيري — هو الشرط السلبي الأول الذي يحول دون الاستخلاف الجماعي، لأنه يُعطّل الإرادة الحرة ويُنتج الإنسان المُستلَب الذي لا يستطيع تحمّل أمانة الخلافة.</w:t>
      </w:r>
    </w:p>
    <w:p w14:paraId="1B1000A4" w14:textId="77777777" w:rsidR="00265C2A" w:rsidRDefault="00000000" w:rsidP="00997D12">
      <w:pPr>
        <w:spacing w:before="80" w:after="120" w:line="340" w:lineRule="auto"/>
      </w:pPr>
      <w:r>
        <w:rPr>
          <w:color w:val="000000"/>
        </w:rPr>
        <w:t>الشرط الثاني: العدالة الاجتماعية — وهو حل لمشكلة التخلف والظلم. فالظلم الاجتماعي يُهدم البنية التحتية التي تحتاجها الأمة لتُحقّق استخلافها الجماعي.</w:t>
      </w:r>
    </w:p>
    <w:p w14:paraId="4FF56639" w14:textId="77777777" w:rsidR="00265C2A" w:rsidRDefault="00000000" w:rsidP="00997D12">
      <w:pPr>
        <w:spacing w:before="80" w:after="120" w:line="340" w:lineRule="auto"/>
      </w:pPr>
      <w:r>
        <w:rPr>
          <w:color w:val="000000"/>
        </w:rPr>
        <w:t>الشرط الثالث: الوحدة التكوينية والتكليفية — وهو حل لمشكلة التجزئة والتفتيت. فالأمة المُفتَّتة لا تستطيع حمل مشروع حضاري.</w:t>
      </w:r>
    </w:p>
    <w:p w14:paraId="145F7FF6" w14:textId="77777777" w:rsidR="00265C2A" w:rsidRDefault="00000000" w:rsidP="00997D12">
      <w:pPr>
        <w:pStyle w:val="2"/>
        <w:jc w:val="left"/>
      </w:pPr>
      <w:r>
        <w:t>4.2 شروط الزراع: ثلاثية التخليق والتفعيل والتثبيط</w:t>
      </w:r>
    </w:p>
    <w:p w14:paraId="2EBCBF62" w14:textId="77777777" w:rsidR="00265C2A" w:rsidRDefault="00000000" w:rsidP="00997D12">
      <w:pPr>
        <w:spacing w:before="80" w:after="120" w:line="340" w:lineRule="auto"/>
      </w:pPr>
      <w:r>
        <w:rPr>
          <w:color w:val="000000"/>
        </w:rPr>
        <w:t>يُحدّد الزراع — في المقابل — شروطاً نفسية-روحية لتحقق «الاستخلاف» على المستوى الفردي:</w:t>
      </w:r>
    </w:p>
    <w:p w14:paraId="1A06E33A" w14:textId="77777777" w:rsidR="00265C2A" w:rsidRDefault="00000000" w:rsidP="00997D12">
      <w:pPr>
        <w:spacing w:before="80" w:after="120" w:line="340" w:lineRule="auto"/>
      </w:pPr>
      <w:r>
        <w:rPr>
          <w:color w:val="000000"/>
        </w:rPr>
        <w:t>الشرط الأول: تخليق الذات — عبر إعادة بناء صورة الله الداخلية (النموذج الذي طوّره آنا ماريا ريزوتو في التحليل النفسي لتمثّلات الله). فكثير من المسلمين يحملون صورةً إلهيةً مُشوَّهةً — صورة الإله القاسي المعاقِب — تُعيق التحرر الوجودي وتُغذّي النفس الأمّارة.</w:t>
      </w:r>
    </w:p>
    <w:p w14:paraId="1547ECA2" w14:textId="77777777" w:rsidR="00265C2A" w:rsidRDefault="00000000" w:rsidP="00997D12">
      <w:pPr>
        <w:spacing w:before="80" w:after="120" w:line="340" w:lineRule="auto"/>
      </w:pPr>
      <w:r>
        <w:rPr>
          <w:color w:val="000000"/>
        </w:rPr>
        <w:t>الشرط الثاني: تفعيل أضلاع الصعود الخمسة (التوبة، التزكية، المحبة، الشكر، السكينة) — وهي المسارات النفسية-الروحية التي تُحوّل النفس من مرتبة الأمّارة إلى مقام المطمئنة.</w:t>
      </w:r>
    </w:p>
    <w:p w14:paraId="034DBE0D" w14:textId="77777777" w:rsidR="00265C2A" w:rsidRDefault="00000000" w:rsidP="00997D12">
      <w:pPr>
        <w:spacing w:before="80" w:after="120" w:line="340" w:lineRule="auto"/>
      </w:pPr>
      <w:r>
        <w:rPr>
          <w:color w:val="000000"/>
        </w:rPr>
        <w:t>الشرط الثالث: تثبيط أضلاع الهبوط الثلاثة (الإغواء، الغرور، التضخيم) — وهي الميكانيزمات النفسية التي تُعيد النفس إلى براثن الأمّارة كلما تقدّمت في مسار الصعود.</w:t>
      </w:r>
    </w:p>
    <w:p w14:paraId="588098DE" w14:textId="77777777" w:rsidR="00265C2A" w:rsidRDefault="00000000" w:rsidP="00997D12">
      <w:pPr>
        <w:pStyle w:val="2"/>
        <w:jc w:val="left"/>
      </w:pPr>
      <w:r>
        <w:t>4.3 التفاعل المتبادل بين الشروط: نقد البنيوية وما بعدها</w:t>
      </w:r>
    </w:p>
    <w:p w14:paraId="58755391" w14:textId="77777777" w:rsidR="00265C2A" w:rsidRDefault="00000000" w:rsidP="00997D12">
      <w:pPr>
        <w:spacing w:before="80" w:after="120" w:line="340" w:lineRule="auto"/>
      </w:pPr>
      <w:r>
        <w:rPr>
          <w:color w:val="000000"/>
        </w:rPr>
        <w:t>يُثير التحليل المقارن لشروط التحقق عند خيري والزراع سؤالاً معرفياً عميقاً: هل الشروط الموضوعية (الخارجية) سابقة للشروط الذاتية (الداخلية)، أم العكس؟</w:t>
      </w:r>
    </w:p>
    <w:p w14:paraId="2813C721" w14:textId="77777777" w:rsidR="00265C2A" w:rsidRDefault="00000000" w:rsidP="00997D12">
      <w:pPr>
        <w:spacing w:before="80" w:after="120" w:line="340" w:lineRule="auto"/>
      </w:pPr>
      <w:r>
        <w:rPr>
          <w:color w:val="000000"/>
        </w:rPr>
        <w:t>الماركسيون وما بعد البنيويين — من بورديو إلى غرامشي — يُجيبون: البنية الاجتماعية تُنتج الذات، ولذلك يجب تغيير البنية أولاً. وهذا يُوافق — جزئياً — موقف خيري. أما المدارس الظاهراتية — من هوسرل إلى سارتر وفرانكل — فتُجيب: الذات هي مركز الفعل والمعنى، والتحرر الداخلي شرط التحرر الخارجي. وهذا يُوافق — جزئياً — موقف الزراع.</w:t>
      </w:r>
    </w:p>
    <w:p w14:paraId="19CB1495" w14:textId="77777777" w:rsidR="00265C2A" w:rsidRDefault="00000000" w:rsidP="00997D12">
      <w:pPr>
        <w:spacing w:before="80" w:after="120" w:line="340" w:lineRule="auto"/>
      </w:pPr>
      <w:r>
        <w:rPr>
          <w:color w:val="000000"/>
        </w:rPr>
        <w:t>والحل الذي تُقدّمه هذه الدراسة هو نموذج «الشروط المتداخلة»: لا الداخل وحده يكفي، ولا الخارج وحده يكفي. البنية الاجتماعية الظالمة تُنتج أمراضاً نفسية (الاستلاب، العجز المُتعلَّم، قهر الهوية)، والأمراض النفسية بدورها تُعيد إنتاج البنية الظالمة (الإذعان، الانتهازية، التواطؤ). ولذلك يصبح الإصلاح الحقيقي عمليةً دوريةً (Circular) لا خطيةً (Linear): تغيير النفس يُمكّن تغيير البنية، وتغيير البنية يُعزّز تغيير النفس.</w:t>
      </w:r>
    </w:p>
    <w:p w14:paraId="1EE15892" w14:textId="77777777" w:rsidR="00265C2A" w:rsidRDefault="00000000" w:rsidP="00997D12">
      <w:r>
        <w:br w:type="page"/>
      </w:r>
    </w:p>
    <w:p w14:paraId="460F949B" w14:textId="77777777" w:rsidR="00265C2A" w:rsidRDefault="00000000" w:rsidP="00997D12">
      <w:pPr>
        <w:pStyle w:val="1"/>
        <w:pBdr>
          <w:bottom w:val="single" w:sz="8" w:space="4" w:color="9A7B1A"/>
        </w:pBdr>
        <w:jc w:val="left"/>
      </w:pPr>
      <w:r>
        <w:t>المحور الخامس: المنهج العلاجي-التغييري — الإصلاح السياسي مقابل الإصلاح النفسي</w:t>
      </w:r>
    </w:p>
    <w:p w14:paraId="5EC4E7A8" w14:textId="77777777" w:rsidR="00265C2A" w:rsidRDefault="00000000" w:rsidP="00997D12">
      <w:pPr>
        <w:spacing w:before="80" w:after="120" w:line="340" w:lineRule="auto"/>
      </w:pPr>
      <w:r>
        <w:rPr>
          <w:color w:val="000000"/>
        </w:rPr>
        <w:t>إذا اتفق خيري والزراع في الغاية الكبرى (تحقيق الاستخلاف)، فإنهما يختلفان اختلافاً جوهرياً في المنهج التغييري: أين نبدأ؟ وكيف نتحرك؟ وما الأداة المركزية للإصلاح؟</w:t>
      </w:r>
    </w:p>
    <w:p w14:paraId="42F800B5" w14:textId="77777777" w:rsidR="00265C2A" w:rsidRDefault="00000000" w:rsidP="00997D12">
      <w:pPr>
        <w:pStyle w:val="2"/>
        <w:jc w:val="left"/>
      </w:pPr>
      <w:r>
        <w:t>5.1 المنهج التغييري عند خيري: الإصلاح التدريجي من القمة إلى القاعدة</w:t>
      </w:r>
    </w:p>
    <w:p w14:paraId="3F3FF014" w14:textId="77777777" w:rsidR="00265C2A" w:rsidRDefault="00000000" w:rsidP="00997D12">
      <w:pPr>
        <w:spacing w:before="80" w:after="120" w:line="340" w:lineRule="auto"/>
      </w:pPr>
      <w:r>
        <w:rPr>
          <w:color w:val="000000"/>
        </w:rPr>
        <w:t>يعتمد خيري منهجاً تدريجياً يُشبه — في بنيته — مفهوم «الإصلاح من أعلى» (Reform from Above) في الفكر السياسي المقارن: التغيير يبدأ من الدولة والنخب ثم ينزل إلى المجتمع. ومراحله:</w:t>
      </w:r>
    </w:p>
    <w:p w14:paraId="12E9FE51" w14:textId="77777777" w:rsidR="00265C2A" w:rsidRDefault="00000000" w:rsidP="00997D12">
      <w:pPr>
        <w:spacing w:before="80" w:after="120" w:line="340" w:lineRule="auto"/>
      </w:pPr>
      <w:r>
        <w:rPr>
          <w:color w:val="000000"/>
        </w:rPr>
        <w:t>المرحلة الأولى (الاستطاعة): وهي مرحلة بناء القدرة التنظيمية والسياسية، كجمع الإرادات وتوحيد الصفوف وبناء مؤسسات الأمة.</w:t>
      </w:r>
    </w:p>
    <w:p w14:paraId="35CE351B" w14:textId="77777777" w:rsidR="00265C2A" w:rsidRDefault="00000000" w:rsidP="00997D12">
      <w:pPr>
        <w:spacing w:before="80" w:after="120" w:line="340" w:lineRule="auto"/>
      </w:pPr>
      <w:r>
        <w:rPr>
          <w:color w:val="000000"/>
        </w:rPr>
        <w:t>المرحلة الثانية (العزم): وهي مرحلة الفعل التاريخي الحاسم، حين تُقرّر الأمة المُمكَّنة إحداث التغيير الاستخلافي.</w:t>
      </w:r>
    </w:p>
    <w:p w14:paraId="42D811D1" w14:textId="77777777" w:rsidR="00265C2A" w:rsidRDefault="00000000" w:rsidP="00997D12">
      <w:pPr>
        <w:spacing w:before="80" w:after="120" w:line="340" w:lineRule="auto"/>
      </w:pPr>
      <w:r>
        <w:rPr>
          <w:color w:val="000000"/>
        </w:rPr>
        <w:t>وهذا المنهج يُذكّر — منهجياً — بنظرية التحولات الديمقراطية (Democratic Transitions Theory) لداياموند وهانتينغتون، حيث التغيير رهين بنضج الشروط البنيوية.</w:t>
      </w:r>
    </w:p>
    <w:p w14:paraId="763063ED" w14:textId="77777777" w:rsidR="00265C2A" w:rsidRDefault="00000000" w:rsidP="00997D12">
      <w:pPr>
        <w:pStyle w:val="2"/>
        <w:jc w:val="left"/>
      </w:pPr>
      <w:r>
        <w:t>5.2 المنهج العلاجي عند الزراع: نموذج TLRT</w:t>
      </w:r>
    </w:p>
    <w:p w14:paraId="3976759B" w14:textId="77777777" w:rsidR="00265C2A" w:rsidRDefault="00000000" w:rsidP="00997D12">
      <w:pPr>
        <w:spacing w:before="80" w:after="120" w:line="340" w:lineRule="auto"/>
      </w:pPr>
      <w:r>
        <w:rPr>
          <w:color w:val="000000"/>
        </w:rPr>
        <w:t>يعتمد الزراع نموذجاً علاجياً متكاملاً يُعرف بـ«العلاج بحرث المصالحة التحويلية» (TLRT)، وهو نموذج يتكوّن من أربعة مسارات:</w:t>
      </w:r>
    </w:p>
    <w:p w14:paraId="108A948D" w14:textId="77777777" w:rsidR="00265C2A" w:rsidRDefault="00000000" w:rsidP="00997D12">
      <w:pPr>
        <w:spacing w:before="80" w:after="120" w:line="340" w:lineRule="auto"/>
      </w:pPr>
      <w:r>
        <w:rPr>
          <w:color w:val="000000"/>
        </w:rPr>
        <w:t>المسار الأول: التشخيص الوجودي — تحديد مستوى النفس الراهن (أمّارة، لوامة، مطمئنة) وتشخيص أضلاع الهبوط المُفعَّلة.</w:t>
      </w:r>
    </w:p>
    <w:p w14:paraId="2F71A583" w14:textId="77777777" w:rsidR="00265C2A" w:rsidRDefault="00000000" w:rsidP="00997D12">
      <w:pPr>
        <w:spacing w:before="80" w:after="120" w:line="340" w:lineRule="auto"/>
      </w:pPr>
      <w:r>
        <w:rPr>
          <w:color w:val="000000"/>
        </w:rPr>
        <w:t>المسار الثاني: إعادة بناء صورة الله — المصالحة مع الصورة الإلهية الداخلية لتحرير الطاقة النفسية المُجمَّدة في الجروح الوجودية.</w:t>
      </w:r>
    </w:p>
    <w:p w14:paraId="35E76696" w14:textId="77777777" w:rsidR="00265C2A" w:rsidRDefault="00000000" w:rsidP="00997D12">
      <w:pPr>
        <w:spacing w:before="80" w:after="120" w:line="340" w:lineRule="auto"/>
      </w:pPr>
      <w:r>
        <w:rPr>
          <w:color w:val="000000"/>
        </w:rPr>
        <w:t>المسار الثالث: تفعيل الطاقة التحويلية — توظيف العبادة (الصلاة، الذكر، التدبر) كأدوات تحويل نفسي بالمعنى العلاجي لا الطقوسي.</w:t>
      </w:r>
    </w:p>
    <w:p w14:paraId="095753B9" w14:textId="77777777" w:rsidR="00265C2A" w:rsidRDefault="00000000" w:rsidP="00997D12">
      <w:pPr>
        <w:spacing w:before="80" w:after="120" w:line="340" w:lineRule="auto"/>
      </w:pPr>
      <w:r>
        <w:rPr>
          <w:color w:val="000000"/>
        </w:rPr>
        <w:t>المسار الرابع: التجذير الاستخلافي — ربط التحرر النفسي الفردي بمفهوم الخلافة كمعنى كوني يُعطي الوجود بُعداً ما فوق شخصي (Transpersonal Meaning).</w:t>
      </w:r>
    </w:p>
    <w:p w14:paraId="7633A1C4" w14:textId="77777777" w:rsidR="00265C2A" w:rsidRDefault="00000000" w:rsidP="00997D12">
      <w:pPr>
        <w:spacing w:before="80" w:after="120" w:line="340" w:lineRule="auto"/>
      </w:pPr>
      <w:r>
        <w:rPr>
          <w:color w:val="000000"/>
        </w:rPr>
        <w:t>والفارق بين المنهجَين يعكس الفارق بين الطب والجراحة: خيري يُجري «جراحة» سياسية للجسم الاجتماعي، والزراع يُجري «علاجاً» نفسياً للنفس الفردية. وكلاهما ضروري للشفاء الشامل.</w:t>
      </w:r>
    </w:p>
    <w:p w14:paraId="35D1D9EF" w14:textId="77777777" w:rsidR="00265C2A" w:rsidRDefault="00000000" w:rsidP="00997D12">
      <w:pPr>
        <w:pStyle w:val="2"/>
        <w:jc w:val="left"/>
      </w:pPr>
      <w:r>
        <w:t>5.3 مفارقة المنهج: من يُصلح من؟</w:t>
      </w:r>
    </w:p>
    <w:p w14:paraId="4EA277B8" w14:textId="77777777" w:rsidR="00265C2A" w:rsidRDefault="00000000" w:rsidP="00997D12">
      <w:pPr>
        <w:spacing w:before="80" w:after="120" w:line="340" w:lineRule="auto"/>
      </w:pPr>
      <w:r>
        <w:rPr>
          <w:color w:val="000000"/>
        </w:rPr>
        <w:t>يُثير مقارنة المنهجَين مفارقةً حقيقية: إذا كان المُصلِح السياسي (خيري) نفسه يحمل جروحاً وجودية ويعاني من أمراض «الأنا الأعلى القاسي» التي يصفها الزراع، فكيف يستطيع أن يُحقّق إصلاحاً حقيقياً؟ وإذا كان الفرد المُعافى نفسياً (الزراع) يعيش في بنية اجتماعية ظالمة، فكيف يحافظ على صحته النفسية دون تغيير تلك البنية؟</w:t>
      </w:r>
    </w:p>
    <w:p w14:paraId="49D7BC23" w14:textId="77777777" w:rsidR="00265C2A" w:rsidRDefault="00000000" w:rsidP="00997D12">
      <w:pPr>
        <w:spacing w:before="80" w:after="120" w:line="340" w:lineRule="auto"/>
      </w:pPr>
      <w:r>
        <w:rPr>
          <w:color w:val="000000"/>
        </w:rPr>
        <w:t>هذه المفارقة لا حل لها إلا بالتكامل: الإصلاح السياسي والإصلاح النفسي ليسا تتابعَين (أحدهما بعد الآخر)، بل هما دوريَّان متشابكان ينبغي أن يسيرا معاً في عملية تحرر مندمجة.</w:t>
      </w:r>
    </w:p>
    <w:p w14:paraId="745972F0" w14:textId="77777777" w:rsidR="00265C2A" w:rsidRDefault="00000000" w:rsidP="00997D12">
      <w:r>
        <w:br w:type="page"/>
      </w:r>
    </w:p>
    <w:p w14:paraId="269B546E" w14:textId="77777777" w:rsidR="00265C2A" w:rsidRDefault="00000000" w:rsidP="00997D12">
      <w:pPr>
        <w:pStyle w:val="1"/>
        <w:pBdr>
          <w:bottom w:val="single" w:sz="8" w:space="4" w:color="9A7B1A"/>
        </w:pBdr>
        <w:jc w:val="center"/>
      </w:pPr>
      <w:r>
        <w:t>المحور السادس: أُفق الإنسان الكامل — بين «الإنسان الاستخلافي» و«الإنسان الخليفة»</w:t>
      </w:r>
    </w:p>
    <w:p w14:paraId="3002C160" w14:textId="77777777" w:rsidR="00265C2A" w:rsidRDefault="00000000" w:rsidP="00A643F5">
      <w:pPr>
        <w:spacing w:before="80" w:after="120" w:line="340" w:lineRule="auto"/>
      </w:pPr>
      <w:r>
        <w:rPr>
          <w:color w:val="000000"/>
        </w:rPr>
        <w:t>الأُفق الغائي لأي نظرية تغييرية هو «الإنسان المنشود» — ذلك النموذج الأعلى الذي تسعى النظرية إلى إنتاجه. والإنسان المنشود عند خيري والزراع يختلف في تصنيفه لكن يتطابق في جوهره.</w:t>
      </w:r>
    </w:p>
    <w:p w14:paraId="74C1494D" w14:textId="77777777" w:rsidR="00265C2A" w:rsidRDefault="00000000" w:rsidP="00A643F5">
      <w:pPr>
        <w:pStyle w:val="2"/>
        <w:jc w:val="left"/>
      </w:pPr>
      <w:r>
        <w:t>6.1 الإنسان الكامل عند خيري: «المواطن الاستخلافي»</w:t>
      </w:r>
    </w:p>
    <w:p w14:paraId="36260F7A" w14:textId="77777777" w:rsidR="00265C2A" w:rsidRDefault="00000000" w:rsidP="00A643F5">
      <w:pPr>
        <w:spacing w:before="80" w:after="120" w:line="340" w:lineRule="auto"/>
      </w:pPr>
      <w:r>
        <w:rPr>
          <w:color w:val="000000"/>
        </w:rPr>
        <w:t>الإنسان المنشود عند خيري هو «المواطن الاستخلافي»: الفرد الذي يتحلى بالإيمان والعمل الصالح، ويُشارك في بناء الأمة وإقامة العدل، ويرفض الاستبداد ويسعى إلى التمكين. وهذا الإنسان — بالمعنى السياسي — يُشبه ما وصفه هابرماس بـ«المواطن التداولي» (Deliberative Citizen): المواطن الذي يُشارك في الفضاء العام عبر العقل التواصلي لبناء الإجماع.</w:t>
      </w:r>
    </w:p>
    <w:p w14:paraId="6D2C8293" w14:textId="77777777" w:rsidR="00265C2A" w:rsidRDefault="00000000" w:rsidP="00A643F5">
      <w:pPr>
        <w:spacing w:before="80" w:after="120" w:line="340" w:lineRule="auto"/>
      </w:pPr>
      <w:r>
        <w:rPr>
          <w:color w:val="000000"/>
        </w:rPr>
        <w:t>وخيري — في تصوّره للإنسان الكامل — يُوازن بين البُعد الديني (الإيمان والتقوى) والبُعد الاجتماعي (العدل والحرية والوحدة). لكن البُعد النفسي الداخلي — الاتساق الوجودي وسلامة الهوية والشفاء من الجروح الوجودية — يبقى في الهامش.</w:t>
      </w:r>
    </w:p>
    <w:p w14:paraId="5F9A37A3" w14:textId="77777777" w:rsidR="00265C2A" w:rsidRDefault="00000000" w:rsidP="00A643F5">
      <w:pPr>
        <w:pStyle w:val="2"/>
        <w:jc w:val="left"/>
      </w:pPr>
      <w:r>
        <w:t>6.2 الإنسان الكامل عند الزراع: «الخليفة المتجذّر»</w:t>
      </w:r>
    </w:p>
    <w:p w14:paraId="3A555A2E" w14:textId="77777777" w:rsidR="00265C2A" w:rsidRDefault="00000000" w:rsidP="00A643F5">
      <w:pPr>
        <w:spacing w:before="80" w:after="120" w:line="340" w:lineRule="auto"/>
      </w:pPr>
      <w:r>
        <w:rPr>
          <w:color w:val="000000"/>
        </w:rPr>
        <w:t>الإنسان المنشود عند الزراع هو «الخليفة المتجذّر»: الفرد الذي حقّق «النفس المطمئنة» — أي حقّق التكامل الوجودي بين الفطرة والعقل والروح والجسد — وأصبح قادراً على العطاء الحضاري من موقع القوة لا الضعف، ومن موقع الحب لا الخوف. وهذا الإنسان — بالمعنى النفسي — يُشبه ما وصفه ماسلو بـ«الإنسان المُحقِّق لذاته» (Self-Actualized Person)، لكن مع بُعد ما فوق شخصي (Transpersonal) مستمد من مفهوم الخلافة الإسلامية.</w:t>
      </w:r>
    </w:p>
    <w:p w14:paraId="77717B1D" w14:textId="77777777" w:rsidR="00265C2A" w:rsidRDefault="00000000" w:rsidP="00A643F5">
      <w:pPr>
        <w:spacing w:before="80" w:after="120" w:line="340" w:lineRule="auto"/>
      </w:pPr>
      <w:r>
        <w:rPr>
          <w:color w:val="000000"/>
        </w:rPr>
        <w:t>والزراع — في تصوّره للإنسان الكامل — يُركّز على ثلاثة أبعاد: السلامة النفسية (غياب العصاب والجروح الوجودية)، والفاعلية الأخلاقية (القدرة على الفعل الاستخلافي)، والمعنى الكوني (ربط الوجود الشخصي بالمشروع الإلهي). لكن البُعد السياسي — مشاركة تغيير البنى الاجتماعية الظالمة — يبقى ضمنياً لا صريحاً في نموذجه.</w:t>
      </w:r>
    </w:p>
    <w:p w14:paraId="578CF0A9" w14:textId="77777777" w:rsidR="00265C2A" w:rsidRDefault="00000000" w:rsidP="00A643F5">
      <w:pPr>
        <w:pStyle w:val="2"/>
        <w:jc w:val="left"/>
      </w:pPr>
      <w:r>
        <w:t>6.3 الإنسان الكامل المندمج: مقترح تركيبي</w:t>
      </w:r>
    </w:p>
    <w:p w14:paraId="54F9573D" w14:textId="77777777" w:rsidR="00265C2A" w:rsidRDefault="00000000" w:rsidP="00A643F5">
      <w:pPr>
        <w:spacing w:before="80" w:after="120" w:line="340" w:lineRule="auto"/>
      </w:pPr>
      <w:r>
        <w:rPr>
          <w:color w:val="000000"/>
        </w:rPr>
        <w:t>تُقترح هذه الدراسة أن الإنسان الكامل الذي يستحضره المشروع الاستخلافي المندمج هو إنسان يجمع بين ثلاثة أبعاد متكاملة:</w:t>
      </w:r>
    </w:p>
    <w:p w14:paraId="7C94A2D0" w14:textId="77777777" w:rsidR="00265C2A" w:rsidRDefault="00000000" w:rsidP="00A643F5">
      <w:pPr>
        <w:shd w:val="clear" w:color="auto" w:fill="F5EED8"/>
        <w:spacing w:before="100" w:after="100" w:line="320" w:lineRule="auto"/>
        <w:ind w:left="360" w:right="360"/>
      </w:pPr>
      <w:r>
        <w:rPr>
          <w:color w:val="0D1B33"/>
        </w:rPr>
        <w:t>البُعد الأول (الزراع): السلامة الوجودية — النفس المطمئنة المُحرَّرة من جروح الأنا الأعلى القاسي، المُصالَحة مع صورتها الإلهية الداخلية.</w:t>
      </w:r>
    </w:p>
    <w:p w14:paraId="6D36F5BA" w14:textId="77777777" w:rsidR="00265C2A" w:rsidRDefault="00000000" w:rsidP="00A643F5">
      <w:pPr>
        <w:shd w:val="clear" w:color="auto" w:fill="E0EEEE"/>
        <w:spacing w:before="100" w:after="100" w:line="320" w:lineRule="auto"/>
        <w:ind w:left="360" w:right="360"/>
      </w:pPr>
      <w:r>
        <w:rPr>
          <w:color w:val="0D1B33"/>
        </w:rPr>
        <w:t>البُعد الثاني (خيري): الفاعلية السياسية — المواطن الاستخلافي الحر المُشارك في بناء الأمة وإقامة العدل ورفض الاستبداد.</w:t>
      </w:r>
    </w:p>
    <w:p w14:paraId="707DDD9F" w14:textId="77777777" w:rsidR="00265C2A" w:rsidRDefault="00000000" w:rsidP="00A643F5">
      <w:pPr>
        <w:shd w:val="clear" w:color="auto" w:fill="E8EDF5"/>
        <w:spacing w:before="100" w:after="100" w:line="320" w:lineRule="auto"/>
        <w:ind w:left="360" w:right="360"/>
      </w:pPr>
      <w:r>
        <w:rPr>
          <w:color w:val="0D1B33"/>
        </w:rPr>
        <w:t>البُعد الثالث (التكامل): المعنى الحضاري — الإنسان الذي يحمل رسالة الخلافة مشروعاً شخصياً وجماعياً في آن، ويرى في كل فعل يومي — صغيراً كان أم كبيراً — امتداداً للأمانة الكونية.</w:t>
      </w:r>
    </w:p>
    <w:p w14:paraId="27AC231C" w14:textId="77777777" w:rsidR="00265C2A" w:rsidRDefault="00000000" w:rsidP="00A643F5">
      <w:r>
        <w:br w:type="page"/>
      </w:r>
    </w:p>
    <w:p w14:paraId="11CBB6E0" w14:textId="77777777" w:rsidR="00265C2A" w:rsidRDefault="00000000" w:rsidP="00A643F5">
      <w:pPr>
        <w:pStyle w:val="1"/>
        <w:pBdr>
          <w:bottom w:val="single" w:sz="8" w:space="4" w:color="9A7B1A"/>
        </w:pBdr>
        <w:jc w:val="left"/>
      </w:pPr>
      <w:r>
        <w:t>المحور السابع: النقد الداخلي المتبادل — ماذا يقول كل منهما للآخر؟</w:t>
      </w:r>
    </w:p>
    <w:p w14:paraId="4F3370B6" w14:textId="77777777" w:rsidR="00265C2A" w:rsidRDefault="00000000" w:rsidP="00A643F5">
      <w:pPr>
        <w:spacing w:before="80" w:after="120" w:line="340" w:lineRule="auto"/>
      </w:pPr>
      <w:r>
        <w:rPr>
          <w:color w:val="000000"/>
        </w:rPr>
        <w:t>لا تستكمل المقارنة الأكاديمية الرصينة عناصرها دون توجيه نقد داخلي بين النظريتَين: ماذا يمكن لخيري أن يُضيف لمشروع الزراع؟ وماذا يمكن للزراع أن يُضيف لمشروع خيري؟</w:t>
      </w:r>
    </w:p>
    <w:p w14:paraId="0377DEF2" w14:textId="77777777" w:rsidR="00265C2A" w:rsidRDefault="00000000" w:rsidP="00A643F5">
      <w:pPr>
        <w:pStyle w:val="2"/>
        <w:jc w:val="left"/>
      </w:pPr>
      <w:r>
        <w:t>7.1 ما يُقدّمه خيري لمشروع الزراع: البُعد البنيوي</w:t>
      </w:r>
    </w:p>
    <w:p w14:paraId="28B0A1D0" w14:textId="77777777" w:rsidR="00265C2A" w:rsidRDefault="00000000" w:rsidP="00A643F5">
      <w:pPr>
        <w:spacing w:before="80" w:after="120" w:line="340" w:lineRule="auto"/>
      </w:pPr>
      <w:r>
        <w:rPr>
          <w:color w:val="000000"/>
        </w:rPr>
        <w:t>النقد الذي يمكن توجيهه — من زاوية خيري — لمشروع الزراع هو: ألا يُخاطر نموذج TLRT بأن يُنتج «إنساناً مُعافىً في مجتمع مريض»؟ بمعنى: هل يكفي أن يُصبح الفرد «خليفةً متجذّراً» في سياق بنيوي ظالم يُعيد إنتاج الجراح الوجودية بشكل مستمر؟</w:t>
      </w:r>
    </w:p>
    <w:p w14:paraId="1B3C6F5F" w14:textId="77777777" w:rsidR="00265C2A" w:rsidRDefault="00000000" w:rsidP="00A643F5">
      <w:pPr>
        <w:spacing w:before="80" w:after="120" w:line="340" w:lineRule="auto"/>
      </w:pPr>
      <w:r>
        <w:rPr>
          <w:color w:val="000000"/>
        </w:rPr>
        <w:t>خيري يُذكّر الزراع بأن الأمراض النفسية — كالعجز المُتعلَّم، والاستلاب الهوياتي، وأزمة المعنى — لها في كثير من الأحيان أسباب بنيوية-سياسية لا يمكن علاجها فردياً فحسب. فالفقر البنيوي والقمع السياسي والإقصاء الهوياتي تُنتج أمراضاً نفسية جماعية، لا يُعالجها العلاج الفردي وحده، بل يحتاج إلى تغيير البنى الاجتماعية الظالمة.</w:t>
      </w:r>
    </w:p>
    <w:p w14:paraId="78895BEF" w14:textId="77777777" w:rsidR="00265C2A" w:rsidRDefault="00000000" w:rsidP="00A643F5">
      <w:pPr>
        <w:pStyle w:val="2"/>
        <w:jc w:val="left"/>
      </w:pPr>
      <w:r>
        <w:t>7.2 ما يُقدّمه الزراع لمشروع خيري: البُعد الداخلي</w:t>
      </w:r>
    </w:p>
    <w:p w14:paraId="4898EA84" w14:textId="77777777" w:rsidR="00265C2A" w:rsidRDefault="00000000" w:rsidP="00A643F5">
      <w:pPr>
        <w:spacing w:before="80" w:after="120" w:line="340" w:lineRule="auto"/>
      </w:pPr>
      <w:r>
        <w:rPr>
          <w:color w:val="000000"/>
        </w:rPr>
        <w:t>النقد الذي يمكن توجيهه — من زاوية الزراع — لمشروع خيري هو: ألا يُخاطر المشروع السياسي بأن يُنتج «دولةً بلا روح»؟ بمعنى: هل يكفي أن تتوفر شروط الاستخلاف السياسية (الحرية، العدالة، الوحدة) إذا ظلّ قادة تلك الدولة يُعانون من «الأنا الأعلى القاسي» والشيزوفرينيا الأخلاقية والإدراك السياسي المُشوَّه بجروح وجودية غير مُعالَجة؟</w:t>
      </w:r>
    </w:p>
    <w:p w14:paraId="2D69AC30" w14:textId="77777777" w:rsidR="00265C2A" w:rsidRDefault="00000000" w:rsidP="00A643F5">
      <w:pPr>
        <w:spacing w:before="80" w:after="120" w:line="340" w:lineRule="auto"/>
      </w:pPr>
      <w:r>
        <w:rPr>
          <w:color w:val="000000"/>
        </w:rPr>
        <w:t>الزراع يُذكّر خيري بأن أعتى الديكتاتوريين في التاريخ قد خرجوا من رحم حركات تحررية شرعية. والسبب — بمنطق علم النفس الاستخلافي — هو أن النفس الأمّارة تستطيع أن «تتنكر» في زي التحرر السياسي وتُعيد إنتاج الاستبداد بصورة أخرى. ولذلك: لا استخلاف سياسي ناضج بلا استخلاف نفسي أسبق.</w:t>
      </w:r>
    </w:p>
    <w:p w14:paraId="49FF65EF" w14:textId="77777777" w:rsidR="00265C2A" w:rsidRDefault="00000000" w:rsidP="00A643F5">
      <w:pPr>
        <w:pStyle w:val="2"/>
        <w:jc w:val="left"/>
      </w:pPr>
      <w:r>
        <w:t>7.3 توليف النقدَين: التحرر الشامل</w:t>
      </w:r>
    </w:p>
    <w:p w14:paraId="65F65A03" w14:textId="77777777" w:rsidR="00265C2A" w:rsidRDefault="00000000" w:rsidP="00A643F5">
      <w:pPr>
        <w:spacing w:before="80" w:after="120" w:line="340" w:lineRule="auto"/>
      </w:pPr>
      <w:r>
        <w:rPr>
          <w:color w:val="000000"/>
        </w:rPr>
        <w:t>يُفضي النقد الداخلي المتبادل إلى مبدأ جوهري يُسمّيه هذا البحث «التحرر الشامل» (Holistic Liberation): التحرر الحقيقي لا يكون خارجياً فحسب (خيري) ولا داخلياً فحسب (الزراع)، بل هو عملية مندمجة تُحرّر النفس والبنية معاً، وتُعالج الجروح الفردية والظلم الجماعي في آنٍ واحد.</w:t>
      </w:r>
    </w:p>
    <w:p w14:paraId="36E81D47" w14:textId="77777777" w:rsidR="00265C2A" w:rsidRDefault="00000000" w:rsidP="00A643F5">
      <w:pPr>
        <w:pBdr>
          <w:right w:val="single" w:sz="12" w:space="8" w:color="0A5E5E"/>
        </w:pBdr>
        <w:spacing w:before="60" w:after="60" w:line="300" w:lineRule="auto"/>
        <w:ind w:left="720" w:right="720"/>
      </w:pPr>
      <w:r>
        <w:rPr>
          <w:i/>
          <w:iCs/>
          <w:color w:val="0A5E5E"/>
          <w:sz w:val="24"/>
          <w:szCs w:val="24"/>
        </w:rPr>
        <w:t>«المشكلة في كثير من مشروعات التحرر هي أنها تُحرّر الجسد وتترك الروح في سجن، أو تُحرّر الروح وتترك الجسد في قيود. المشروع الاستخلافي المُكتمَل يأبى هذا التجزيء.»</w:t>
      </w:r>
    </w:p>
    <w:p w14:paraId="01B7EDC3" w14:textId="77777777" w:rsidR="00265C2A" w:rsidRDefault="00000000" w:rsidP="00A643F5">
      <w:r>
        <w:br w:type="page"/>
      </w:r>
    </w:p>
    <w:p w14:paraId="0828F177" w14:textId="77777777" w:rsidR="00265C2A" w:rsidRDefault="00000000" w:rsidP="00A643F5">
      <w:pPr>
        <w:pStyle w:val="1"/>
        <w:pBdr>
          <w:bottom w:val="single" w:sz="8" w:space="4" w:color="9A7B1A"/>
        </w:pBdr>
        <w:jc w:val="left"/>
      </w:pPr>
      <w:r>
        <w:t>المحور الثامن: التحديات المشتركة — العوائق أمام المشروع الاستخلافي</w:t>
      </w:r>
    </w:p>
    <w:p w14:paraId="25C40860" w14:textId="77777777" w:rsidR="00265C2A" w:rsidRDefault="00000000" w:rsidP="00A643F5">
      <w:pPr>
        <w:spacing w:before="80" w:after="120" w:line="340" w:lineRule="auto"/>
      </w:pPr>
      <w:r>
        <w:rPr>
          <w:color w:val="000000"/>
        </w:rPr>
        <w:t>يواجه كلا المشروعَين جملةً من التحديات المشتركة، يمكن تصنيفها في ثلاثة محاور:</w:t>
      </w:r>
    </w:p>
    <w:p w14:paraId="6C820070" w14:textId="77777777" w:rsidR="00265C2A" w:rsidRDefault="00000000" w:rsidP="00A643F5">
      <w:pPr>
        <w:pStyle w:val="2"/>
        <w:jc w:val="left"/>
      </w:pPr>
      <w:r>
        <w:t>8.1 تحدي الاختزال: بين التلفيق والانتقاء</w:t>
      </w:r>
    </w:p>
    <w:p w14:paraId="5257B4C5" w14:textId="77777777" w:rsidR="00265C2A" w:rsidRDefault="00000000" w:rsidP="00A643F5">
      <w:pPr>
        <w:spacing w:before="80" w:after="120" w:line="340" w:lineRule="auto"/>
      </w:pPr>
      <w:r>
        <w:rPr>
          <w:color w:val="000000"/>
        </w:rPr>
        <w:t>يواجه الزراع تحدي «التلفيق المعرفي» (Eclecticism): كيف يضمن التماسك النظري حين يجمع بين فرويد ولاكان وابن القيم وليدوكس في نموذج واحد؟ والخطر الحقيقي هو أن يتحول التعدد المرجعي إلى «أنثولوجيا» انتقائية لا إلى بنية نظرية متماسكة.</w:t>
      </w:r>
    </w:p>
    <w:p w14:paraId="09BED731" w14:textId="77777777" w:rsidR="00265C2A" w:rsidRDefault="00000000" w:rsidP="00A643F5">
      <w:pPr>
        <w:spacing w:before="80" w:after="120" w:line="340" w:lineRule="auto"/>
      </w:pPr>
      <w:r>
        <w:rPr>
          <w:color w:val="000000"/>
        </w:rPr>
        <w:t>ويواجه خيري — في المقابل — تحدي «الاختزال السياسي»: كيف يُقنع جمهوراً متعلماً معاصراً بأن المشكلة كلها في الاستبداد السياسي والتجزئة، دون الإقرار بأن الأزمة تمتد جذورها إلى عمق النفس والثقافة والبنية الرمزية؟</w:t>
      </w:r>
    </w:p>
    <w:p w14:paraId="79521C4F" w14:textId="77777777" w:rsidR="00265C2A" w:rsidRDefault="00000000" w:rsidP="00A643F5">
      <w:pPr>
        <w:pStyle w:val="2"/>
        <w:jc w:val="left"/>
      </w:pPr>
      <w:r>
        <w:t>8.2 تحدي التطبيق: بين المثالية والواقعية</w:t>
      </w:r>
    </w:p>
    <w:p w14:paraId="5E14F4AA" w14:textId="77777777" w:rsidR="00265C2A" w:rsidRDefault="00000000" w:rsidP="00A643F5">
      <w:pPr>
        <w:spacing w:before="80" w:after="120" w:line="340" w:lineRule="auto"/>
      </w:pPr>
      <w:r>
        <w:rPr>
          <w:color w:val="000000"/>
        </w:rPr>
        <w:t>يُطرح دائماً السؤال التطبيقي الإجرائي: كيف نُطبّق هذين المشروعَين في الواقع العربي الراهن؟ خيري يقدّم خارطة طريق سياسية، لكنها تبقى في مستوى المبادئ دون آليات مؤسسية قابلة للتنفيذ الفوري. والزراع يقدّم بروتوكولاً علاجياً (TLRT) قابلاً للتطبيق السريري، لكنه لا يزال يفتقر إلى الأدوات القياسية الدقيقة التي تُتيح التكرار والتحقق العلمي على نطاق واسع.</w:t>
      </w:r>
    </w:p>
    <w:p w14:paraId="64FB023C" w14:textId="77777777" w:rsidR="00265C2A" w:rsidRDefault="00000000" w:rsidP="00A643F5">
      <w:pPr>
        <w:pStyle w:val="2"/>
        <w:jc w:val="left"/>
      </w:pPr>
      <w:r>
        <w:t>8.3 تحدي الخطاب: من يُخاطِب من؟</w:t>
      </w:r>
    </w:p>
    <w:p w14:paraId="0C91A7E5" w14:textId="77777777" w:rsidR="00265C2A" w:rsidRDefault="00000000" w:rsidP="00A643F5">
      <w:pPr>
        <w:spacing w:before="80" w:after="120" w:line="340" w:lineRule="auto"/>
      </w:pPr>
      <w:r>
        <w:rPr>
          <w:color w:val="000000"/>
        </w:rPr>
        <w:t>يبقى سؤال الجمهور مُعضلةً مشتركة: خيري يُخاطب النخب السياسية والفكرية والدينية، وهو جمهور واسع لكن متعدد الانتماءات. والزراع يُخاطب المختصين في علم النفس والنخب المثقفة، وهو جمهور أكثر تجانساً لكن أضيق انتشاراً. والمشروع الاستخلافي المندمج يحتاج إلى خطاب مُركَّب يُخاطب الجميع: المواطن العادي، والمختص، والسياسي، والمعالج.</w:t>
      </w:r>
    </w:p>
    <w:p w14:paraId="4AE2A57A" w14:textId="77777777" w:rsidR="00265C2A" w:rsidRDefault="00000000" w:rsidP="00A643F5">
      <w:r>
        <w:br w:type="page"/>
      </w:r>
    </w:p>
    <w:p w14:paraId="73F31661" w14:textId="77777777" w:rsidR="00265C2A" w:rsidRDefault="00000000" w:rsidP="00A643F5">
      <w:pPr>
        <w:pStyle w:val="1"/>
        <w:pBdr>
          <w:bottom w:val="single" w:sz="8" w:space="4" w:color="9A7B1A"/>
        </w:pBdr>
        <w:jc w:val="left"/>
      </w:pPr>
      <w:r>
        <w:t>ملحق: الجدول المقارن الشامل</w:t>
      </w:r>
    </w:p>
    <w:p w14:paraId="4FAE7801" w14:textId="77777777" w:rsidR="00265C2A" w:rsidRDefault="00265C2A" w:rsidP="00A643F5">
      <w:pPr>
        <w:spacing w:before="40" w:after="40"/>
      </w:pP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00"/>
        <w:gridCol w:w="2100"/>
        <w:gridCol w:w="2100"/>
      </w:tblGrid>
      <w:tr w:rsidR="00265C2A" w14:paraId="52CE5B24" w14:textId="77777777">
        <w:tblPrEx>
          <w:tblCellMar>
            <w:top w:w="0" w:type="dxa"/>
            <w:bottom w:w="0" w:type="dxa"/>
          </w:tblCellMar>
        </w:tblPrEx>
        <w:tc>
          <w:tcPr>
            <w:tcW w:w="5200" w:type="dxa"/>
            <w:tcBorders>
              <w:top w:val="single" w:sz="4" w:space="0" w:color="1A3A6B"/>
              <w:left w:val="single" w:sz="4" w:space="0" w:color="1A3A6B"/>
              <w:bottom w:val="single" w:sz="4" w:space="0" w:color="1A3A6B"/>
              <w:right w:val="single" w:sz="4" w:space="0" w:color="1A3A6B"/>
            </w:tcBorders>
            <w:shd w:val="clear" w:color="auto" w:fill="0D1B33"/>
            <w:tcMar>
              <w:top w:w="100" w:type="dxa"/>
              <w:left w:w="150" w:type="dxa"/>
              <w:bottom w:w="100" w:type="dxa"/>
              <w:right w:w="150" w:type="dxa"/>
            </w:tcMar>
          </w:tcPr>
          <w:p w14:paraId="733EA670" w14:textId="77777777" w:rsidR="00265C2A" w:rsidRDefault="00000000" w:rsidP="00A643F5">
            <w:r>
              <w:rPr>
                <w:b/>
                <w:bCs/>
                <w:color w:val="FFFFFF"/>
                <w:sz w:val="24"/>
                <w:szCs w:val="24"/>
              </w:rPr>
              <w:t>وجه المقارنة</w:t>
            </w:r>
          </w:p>
        </w:tc>
        <w:tc>
          <w:tcPr>
            <w:tcW w:w="2100" w:type="dxa"/>
            <w:tcBorders>
              <w:top w:val="single" w:sz="4" w:space="0" w:color="1A3A6B"/>
              <w:left w:val="single" w:sz="4" w:space="0" w:color="1A3A6B"/>
              <w:bottom w:val="single" w:sz="4" w:space="0" w:color="1A3A6B"/>
              <w:right w:val="single" w:sz="4" w:space="0" w:color="1A3A6B"/>
            </w:tcBorders>
            <w:shd w:val="clear" w:color="auto" w:fill="0A5E5E"/>
            <w:tcMar>
              <w:top w:w="100" w:type="dxa"/>
              <w:left w:w="150" w:type="dxa"/>
              <w:bottom w:w="100" w:type="dxa"/>
              <w:right w:w="150" w:type="dxa"/>
            </w:tcMar>
          </w:tcPr>
          <w:p w14:paraId="4583FBFE" w14:textId="77777777" w:rsidR="00265C2A" w:rsidRDefault="00000000" w:rsidP="00A643F5">
            <w:r>
              <w:rPr>
                <w:b/>
                <w:bCs/>
                <w:color w:val="FFFFFF"/>
                <w:sz w:val="24"/>
                <w:szCs w:val="24"/>
              </w:rPr>
              <w:t>صبري خليل خيري</w:t>
            </w:r>
          </w:p>
        </w:tc>
        <w:tc>
          <w:tcPr>
            <w:tcW w:w="2100" w:type="dxa"/>
            <w:tcBorders>
              <w:top w:val="single" w:sz="4" w:space="0" w:color="1A3A6B"/>
              <w:left w:val="single" w:sz="4" w:space="0" w:color="1A3A6B"/>
              <w:bottom w:val="single" w:sz="4" w:space="0" w:color="1A3A6B"/>
              <w:right w:val="single" w:sz="4" w:space="0" w:color="1A3A6B"/>
            </w:tcBorders>
            <w:shd w:val="clear" w:color="auto" w:fill="1A3A6B"/>
            <w:tcMar>
              <w:top w:w="100" w:type="dxa"/>
              <w:left w:w="150" w:type="dxa"/>
              <w:bottom w:w="100" w:type="dxa"/>
              <w:right w:w="150" w:type="dxa"/>
            </w:tcMar>
          </w:tcPr>
          <w:p w14:paraId="736708ED" w14:textId="77777777" w:rsidR="00265C2A" w:rsidRDefault="00000000" w:rsidP="00A643F5">
            <w:r>
              <w:rPr>
                <w:b/>
                <w:bCs/>
                <w:color w:val="FFFFFF"/>
                <w:sz w:val="24"/>
                <w:szCs w:val="24"/>
              </w:rPr>
              <w:t>عبد السلام الزراع</w:t>
            </w:r>
          </w:p>
        </w:tc>
      </w:tr>
      <w:tr w:rsidR="00265C2A" w14:paraId="42AD0D10" w14:textId="77777777">
        <w:tblPrEx>
          <w:tblCellMar>
            <w:top w:w="0" w:type="dxa"/>
            <w:bottom w:w="0" w:type="dxa"/>
          </w:tblCellMar>
        </w:tblPrEx>
        <w:tc>
          <w:tcPr>
            <w:tcW w:w="5200" w:type="dxa"/>
            <w:tcBorders>
              <w:top w:val="single" w:sz="4" w:space="0" w:color="1A3A6B"/>
              <w:left w:val="single" w:sz="4" w:space="0" w:color="1A3A6B"/>
              <w:bottom w:val="single" w:sz="4" w:space="0" w:color="1A3A6B"/>
              <w:right w:val="single" w:sz="4" w:space="0" w:color="1A3A6B"/>
            </w:tcBorders>
            <w:shd w:val="clear" w:color="auto" w:fill="E8EDF5"/>
            <w:tcMar>
              <w:top w:w="80" w:type="dxa"/>
              <w:left w:w="150" w:type="dxa"/>
              <w:bottom w:w="80" w:type="dxa"/>
              <w:right w:w="150" w:type="dxa"/>
            </w:tcMar>
          </w:tcPr>
          <w:p w14:paraId="518B5542" w14:textId="77777777" w:rsidR="00265C2A" w:rsidRDefault="00000000" w:rsidP="00A643F5">
            <w:r>
              <w:rPr>
                <w:b/>
                <w:bCs/>
                <w:color w:val="0D1B33"/>
                <w:sz w:val="24"/>
                <w:szCs w:val="24"/>
              </w:rPr>
              <w:t>المرجعية الأساسية</w:t>
            </w:r>
          </w:p>
        </w:tc>
        <w:tc>
          <w:tcPr>
            <w:tcW w:w="2100" w:type="dxa"/>
            <w:tcBorders>
              <w:top w:val="single" w:sz="4" w:space="0" w:color="1A3A6B"/>
              <w:left w:val="single" w:sz="4" w:space="0" w:color="1A3A6B"/>
              <w:bottom w:val="single" w:sz="4" w:space="0" w:color="1A3A6B"/>
              <w:right w:val="single" w:sz="4" w:space="0" w:color="1A3A6B"/>
            </w:tcBorders>
            <w:shd w:val="clear" w:color="auto" w:fill="E0EEEE"/>
            <w:tcMar>
              <w:top w:w="80" w:type="dxa"/>
              <w:left w:w="150" w:type="dxa"/>
              <w:bottom w:w="80" w:type="dxa"/>
              <w:right w:w="150" w:type="dxa"/>
            </w:tcMar>
          </w:tcPr>
          <w:p w14:paraId="6952B55E" w14:textId="77777777" w:rsidR="00265C2A" w:rsidRDefault="00000000" w:rsidP="00A643F5">
            <w:r>
              <w:rPr>
                <w:color w:val="000000"/>
                <w:sz w:val="24"/>
                <w:szCs w:val="24"/>
              </w:rPr>
              <w:t>الفقه السياسي، أصول الفقه، فلسفة القيم</w:t>
            </w:r>
          </w:p>
        </w:tc>
        <w:tc>
          <w:tcPr>
            <w:tcW w:w="2100" w:type="dxa"/>
            <w:tcBorders>
              <w:top w:val="single" w:sz="4" w:space="0" w:color="1A3A6B"/>
              <w:left w:val="single" w:sz="4" w:space="0" w:color="1A3A6B"/>
              <w:bottom w:val="single" w:sz="4" w:space="0" w:color="1A3A6B"/>
              <w:right w:val="single" w:sz="4" w:space="0" w:color="1A3A6B"/>
            </w:tcBorders>
            <w:shd w:val="clear" w:color="auto" w:fill="F5EED8"/>
            <w:tcMar>
              <w:top w:w="80" w:type="dxa"/>
              <w:left w:w="150" w:type="dxa"/>
              <w:bottom w:w="80" w:type="dxa"/>
              <w:right w:w="150" w:type="dxa"/>
            </w:tcMar>
          </w:tcPr>
          <w:p w14:paraId="2504C2AC" w14:textId="77777777" w:rsidR="00265C2A" w:rsidRDefault="00000000" w:rsidP="00A643F5">
            <w:r>
              <w:rPr>
                <w:color w:val="000000"/>
                <w:sz w:val="24"/>
                <w:szCs w:val="24"/>
              </w:rPr>
              <w:t>علم النفس، التحليل النفسي، علم الأعصاب، الفلسفة الوجودية</w:t>
            </w:r>
          </w:p>
        </w:tc>
      </w:tr>
      <w:tr w:rsidR="00265C2A" w14:paraId="5BE94926" w14:textId="77777777">
        <w:tblPrEx>
          <w:tblCellMar>
            <w:top w:w="0" w:type="dxa"/>
            <w:bottom w:w="0" w:type="dxa"/>
          </w:tblCellMar>
        </w:tblPrEx>
        <w:tc>
          <w:tcPr>
            <w:tcW w:w="5200" w:type="dxa"/>
            <w:tcBorders>
              <w:top w:val="single" w:sz="4" w:space="0" w:color="1A3A6B"/>
              <w:left w:val="single" w:sz="4" w:space="0" w:color="1A3A6B"/>
              <w:bottom w:val="single" w:sz="4" w:space="0" w:color="1A3A6B"/>
              <w:right w:val="single" w:sz="4" w:space="0" w:color="1A3A6B"/>
            </w:tcBorders>
            <w:shd w:val="clear" w:color="auto" w:fill="FFFFFF"/>
            <w:tcMar>
              <w:top w:w="80" w:type="dxa"/>
              <w:left w:w="150" w:type="dxa"/>
              <w:bottom w:w="80" w:type="dxa"/>
              <w:right w:w="150" w:type="dxa"/>
            </w:tcMar>
          </w:tcPr>
          <w:p w14:paraId="03DAEAB8" w14:textId="77777777" w:rsidR="00265C2A" w:rsidRDefault="00000000" w:rsidP="00A643F5">
            <w:r>
              <w:rPr>
                <w:b/>
                <w:bCs/>
                <w:color w:val="0D1B33"/>
                <w:sz w:val="24"/>
                <w:szCs w:val="24"/>
              </w:rPr>
              <w:t>البُعد الأنطولوجي</w:t>
            </w:r>
          </w:p>
        </w:tc>
        <w:tc>
          <w:tcPr>
            <w:tcW w:w="2100" w:type="dxa"/>
            <w:tcBorders>
              <w:top w:val="single" w:sz="4" w:space="0" w:color="1A3A6B"/>
              <w:left w:val="single" w:sz="4" w:space="0" w:color="1A3A6B"/>
              <w:bottom w:val="single" w:sz="4" w:space="0" w:color="1A3A6B"/>
              <w:right w:val="single" w:sz="4" w:space="0" w:color="1A3A6B"/>
            </w:tcBorders>
            <w:shd w:val="clear" w:color="auto" w:fill="FFFFFF"/>
            <w:tcMar>
              <w:top w:w="80" w:type="dxa"/>
              <w:left w:w="150" w:type="dxa"/>
              <w:bottom w:w="80" w:type="dxa"/>
              <w:right w:w="150" w:type="dxa"/>
            </w:tcMar>
          </w:tcPr>
          <w:p w14:paraId="006B4866" w14:textId="77777777" w:rsidR="00265C2A" w:rsidRDefault="00000000" w:rsidP="00A643F5">
            <w:r>
              <w:rPr>
                <w:color w:val="000000"/>
                <w:sz w:val="24"/>
                <w:szCs w:val="24"/>
              </w:rPr>
              <w:t>الإنسان-الأمة (كائن جماعي)</w:t>
            </w:r>
          </w:p>
        </w:tc>
        <w:tc>
          <w:tcPr>
            <w:tcW w:w="2100" w:type="dxa"/>
            <w:tcBorders>
              <w:top w:val="single" w:sz="4" w:space="0" w:color="1A3A6B"/>
              <w:left w:val="single" w:sz="4" w:space="0" w:color="1A3A6B"/>
              <w:bottom w:val="single" w:sz="4" w:space="0" w:color="1A3A6B"/>
              <w:right w:val="single" w:sz="4" w:space="0" w:color="1A3A6B"/>
            </w:tcBorders>
            <w:shd w:val="clear" w:color="auto" w:fill="FFFFFF"/>
            <w:tcMar>
              <w:top w:w="80" w:type="dxa"/>
              <w:left w:w="150" w:type="dxa"/>
              <w:bottom w:w="80" w:type="dxa"/>
              <w:right w:w="150" w:type="dxa"/>
            </w:tcMar>
          </w:tcPr>
          <w:p w14:paraId="2EC52355" w14:textId="77777777" w:rsidR="00265C2A" w:rsidRDefault="00000000" w:rsidP="00A643F5">
            <w:r>
              <w:rPr>
                <w:color w:val="000000"/>
                <w:sz w:val="24"/>
                <w:szCs w:val="24"/>
              </w:rPr>
              <w:t>الإنسان-الخليفة (كائن وجودي)</w:t>
            </w:r>
          </w:p>
        </w:tc>
      </w:tr>
      <w:tr w:rsidR="00265C2A" w14:paraId="3823C47B" w14:textId="77777777">
        <w:tblPrEx>
          <w:tblCellMar>
            <w:top w:w="0" w:type="dxa"/>
            <w:bottom w:w="0" w:type="dxa"/>
          </w:tblCellMar>
        </w:tblPrEx>
        <w:tc>
          <w:tcPr>
            <w:tcW w:w="5200" w:type="dxa"/>
            <w:tcBorders>
              <w:top w:val="single" w:sz="4" w:space="0" w:color="1A3A6B"/>
              <w:left w:val="single" w:sz="4" w:space="0" w:color="1A3A6B"/>
              <w:bottom w:val="single" w:sz="4" w:space="0" w:color="1A3A6B"/>
              <w:right w:val="single" w:sz="4" w:space="0" w:color="1A3A6B"/>
            </w:tcBorders>
            <w:shd w:val="clear" w:color="auto" w:fill="E8EDF5"/>
            <w:tcMar>
              <w:top w:w="80" w:type="dxa"/>
              <w:left w:w="150" w:type="dxa"/>
              <w:bottom w:w="80" w:type="dxa"/>
              <w:right w:w="150" w:type="dxa"/>
            </w:tcMar>
          </w:tcPr>
          <w:p w14:paraId="1FA810E9" w14:textId="77777777" w:rsidR="00265C2A" w:rsidRDefault="00000000" w:rsidP="00A643F5">
            <w:r>
              <w:rPr>
                <w:b/>
                <w:bCs/>
                <w:color w:val="0D1B33"/>
                <w:sz w:val="24"/>
                <w:szCs w:val="24"/>
              </w:rPr>
              <w:t>المرجعية القرآنية الأساسية</w:t>
            </w:r>
          </w:p>
        </w:tc>
        <w:tc>
          <w:tcPr>
            <w:tcW w:w="2100" w:type="dxa"/>
            <w:tcBorders>
              <w:top w:val="single" w:sz="4" w:space="0" w:color="1A3A6B"/>
              <w:left w:val="single" w:sz="4" w:space="0" w:color="1A3A6B"/>
              <w:bottom w:val="single" w:sz="4" w:space="0" w:color="1A3A6B"/>
              <w:right w:val="single" w:sz="4" w:space="0" w:color="1A3A6B"/>
            </w:tcBorders>
            <w:shd w:val="clear" w:color="auto" w:fill="E0EEEE"/>
            <w:tcMar>
              <w:top w:w="80" w:type="dxa"/>
              <w:left w:w="150" w:type="dxa"/>
              <w:bottom w:w="80" w:type="dxa"/>
              <w:right w:w="150" w:type="dxa"/>
            </w:tcMar>
          </w:tcPr>
          <w:p w14:paraId="0D9D6B34" w14:textId="77777777" w:rsidR="00265C2A" w:rsidRDefault="00000000" w:rsidP="00A643F5">
            <w:r>
              <w:rPr>
                <w:color w:val="000000"/>
                <w:sz w:val="24"/>
                <w:szCs w:val="24"/>
              </w:rPr>
              <w:t>النور: 55 (وعد جماعي)</w:t>
            </w:r>
          </w:p>
        </w:tc>
        <w:tc>
          <w:tcPr>
            <w:tcW w:w="2100" w:type="dxa"/>
            <w:tcBorders>
              <w:top w:val="single" w:sz="4" w:space="0" w:color="1A3A6B"/>
              <w:left w:val="single" w:sz="4" w:space="0" w:color="1A3A6B"/>
              <w:bottom w:val="single" w:sz="4" w:space="0" w:color="1A3A6B"/>
              <w:right w:val="single" w:sz="4" w:space="0" w:color="1A3A6B"/>
            </w:tcBorders>
            <w:shd w:val="clear" w:color="auto" w:fill="F5EED8"/>
            <w:tcMar>
              <w:top w:w="80" w:type="dxa"/>
              <w:left w:w="150" w:type="dxa"/>
              <w:bottom w:w="80" w:type="dxa"/>
              <w:right w:w="150" w:type="dxa"/>
            </w:tcMar>
          </w:tcPr>
          <w:p w14:paraId="6B2651FA" w14:textId="77777777" w:rsidR="00265C2A" w:rsidRDefault="00000000" w:rsidP="00A643F5">
            <w:r>
              <w:rPr>
                <w:color w:val="000000"/>
                <w:sz w:val="24"/>
                <w:szCs w:val="24"/>
              </w:rPr>
              <w:t>الشمس: 7-10، البقرة: 30 (فطرة فردية)</w:t>
            </w:r>
          </w:p>
        </w:tc>
      </w:tr>
      <w:tr w:rsidR="00265C2A" w14:paraId="139DB341" w14:textId="77777777">
        <w:tblPrEx>
          <w:tblCellMar>
            <w:top w:w="0" w:type="dxa"/>
            <w:bottom w:w="0" w:type="dxa"/>
          </w:tblCellMar>
        </w:tblPrEx>
        <w:tc>
          <w:tcPr>
            <w:tcW w:w="5200" w:type="dxa"/>
            <w:tcBorders>
              <w:top w:val="single" w:sz="4" w:space="0" w:color="1A3A6B"/>
              <w:left w:val="single" w:sz="4" w:space="0" w:color="1A3A6B"/>
              <w:bottom w:val="single" w:sz="4" w:space="0" w:color="1A3A6B"/>
              <w:right w:val="single" w:sz="4" w:space="0" w:color="1A3A6B"/>
            </w:tcBorders>
            <w:shd w:val="clear" w:color="auto" w:fill="FFFFFF"/>
            <w:tcMar>
              <w:top w:w="80" w:type="dxa"/>
              <w:left w:w="150" w:type="dxa"/>
              <w:bottom w:w="80" w:type="dxa"/>
              <w:right w:w="150" w:type="dxa"/>
            </w:tcMar>
          </w:tcPr>
          <w:p w14:paraId="4F35624C" w14:textId="77777777" w:rsidR="00265C2A" w:rsidRDefault="00000000" w:rsidP="00A643F5">
            <w:r>
              <w:rPr>
                <w:b/>
                <w:bCs/>
                <w:color w:val="0D1B33"/>
                <w:sz w:val="24"/>
                <w:szCs w:val="24"/>
              </w:rPr>
              <w:t>تعريف الاستخلاف</w:t>
            </w:r>
          </w:p>
        </w:tc>
        <w:tc>
          <w:tcPr>
            <w:tcW w:w="2100" w:type="dxa"/>
            <w:tcBorders>
              <w:top w:val="single" w:sz="4" w:space="0" w:color="1A3A6B"/>
              <w:left w:val="single" w:sz="4" w:space="0" w:color="1A3A6B"/>
              <w:bottom w:val="single" w:sz="4" w:space="0" w:color="1A3A6B"/>
              <w:right w:val="single" w:sz="4" w:space="0" w:color="1A3A6B"/>
            </w:tcBorders>
            <w:shd w:val="clear" w:color="auto" w:fill="FFFFFF"/>
            <w:tcMar>
              <w:top w:w="80" w:type="dxa"/>
              <w:left w:w="150" w:type="dxa"/>
              <w:bottom w:w="80" w:type="dxa"/>
              <w:right w:w="150" w:type="dxa"/>
            </w:tcMar>
          </w:tcPr>
          <w:p w14:paraId="4E08DF9D" w14:textId="77777777" w:rsidR="00265C2A" w:rsidRDefault="00000000" w:rsidP="00A643F5">
            <w:r>
              <w:rPr>
                <w:color w:val="000000"/>
                <w:sz w:val="24"/>
                <w:szCs w:val="24"/>
              </w:rPr>
              <w:t>حدث تاريخي-سياسي</w:t>
            </w:r>
          </w:p>
        </w:tc>
        <w:tc>
          <w:tcPr>
            <w:tcW w:w="2100" w:type="dxa"/>
            <w:tcBorders>
              <w:top w:val="single" w:sz="4" w:space="0" w:color="1A3A6B"/>
              <w:left w:val="single" w:sz="4" w:space="0" w:color="1A3A6B"/>
              <w:bottom w:val="single" w:sz="4" w:space="0" w:color="1A3A6B"/>
              <w:right w:val="single" w:sz="4" w:space="0" w:color="1A3A6B"/>
            </w:tcBorders>
            <w:shd w:val="clear" w:color="auto" w:fill="FFFFFF"/>
            <w:tcMar>
              <w:top w:w="80" w:type="dxa"/>
              <w:left w:w="150" w:type="dxa"/>
              <w:bottom w:w="80" w:type="dxa"/>
              <w:right w:w="150" w:type="dxa"/>
            </w:tcMar>
          </w:tcPr>
          <w:p w14:paraId="45777A5A" w14:textId="77777777" w:rsidR="00265C2A" w:rsidRDefault="00000000" w:rsidP="00A643F5">
            <w:r>
              <w:rPr>
                <w:color w:val="000000"/>
                <w:sz w:val="24"/>
                <w:szCs w:val="24"/>
              </w:rPr>
              <w:t>عملية وجودية-نفسية مستمرة</w:t>
            </w:r>
          </w:p>
        </w:tc>
      </w:tr>
      <w:tr w:rsidR="00265C2A" w14:paraId="7452534F" w14:textId="77777777">
        <w:tblPrEx>
          <w:tblCellMar>
            <w:top w:w="0" w:type="dxa"/>
            <w:bottom w:w="0" w:type="dxa"/>
          </w:tblCellMar>
        </w:tblPrEx>
        <w:tc>
          <w:tcPr>
            <w:tcW w:w="5200" w:type="dxa"/>
            <w:tcBorders>
              <w:top w:val="single" w:sz="4" w:space="0" w:color="1A3A6B"/>
              <w:left w:val="single" w:sz="4" w:space="0" w:color="1A3A6B"/>
              <w:bottom w:val="single" w:sz="4" w:space="0" w:color="1A3A6B"/>
              <w:right w:val="single" w:sz="4" w:space="0" w:color="1A3A6B"/>
            </w:tcBorders>
            <w:shd w:val="clear" w:color="auto" w:fill="E8EDF5"/>
            <w:tcMar>
              <w:top w:w="80" w:type="dxa"/>
              <w:left w:w="150" w:type="dxa"/>
              <w:bottom w:w="80" w:type="dxa"/>
              <w:right w:w="150" w:type="dxa"/>
            </w:tcMar>
          </w:tcPr>
          <w:p w14:paraId="23F26EF3" w14:textId="77777777" w:rsidR="00265C2A" w:rsidRDefault="00000000" w:rsidP="00A643F5">
            <w:r>
              <w:rPr>
                <w:b/>
                <w:bCs/>
                <w:color w:val="0D1B33"/>
                <w:sz w:val="24"/>
                <w:szCs w:val="24"/>
              </w:rPr>
              <w:t>الشروط الأساسية</w:t>
            </w:r>
          </w:p>
        </w:tc>
        <w:tc>
          <w:tcPr>
            <w:tcW w:w="2100" w:type="dxa"/>
            <w:tcBorders>
              <w:top w:val="single" w:sz="4" w:space="0" w:color="1A3A6B"/>
              <w:left w:val="single" w:sz="4" w:space="0" w:color="1A3A6B"/>
              <w:bottom w:val="single" w:sz="4" w:space="0" w:color="1A3A6B"/>
              <w:right w:val="single" w:sz="4" w:space="0" w:color="1A3A6B"/>
            </w:tcBorders>
            <w:shd w:val="clear" w:color="auto" w:fill="E0EEEE"/>
            <w:tcMar>
              <w:top w:w="80" w:type="dxa"/>
              <w:left w:w="150" w:type="dxa"/>
              <w:bottom w:w="80" w:type="dxa"/>
              <w:right w:w="150" w:type="dxa"/>
            </w:tcMar>
          </w:tcPr>
          <w:p w14:paraId="26972BCF" w14:textId="77777777" w:rsidR="00265C2A" w:rsidRDefault="00000000" w:rsidP="00A643F5">
            <w:r>
              <w:rPr>
                <w:color w:val="000000"/>
                <w:sz w:val="24"/>
                <w:szCs w:val="24"/>
              </w:rPr>
              <w:t>الحرية، العدالة، الوحدة</w:t>
            </w:r>
          </w:p>
        </w:tc>
        <w:tc>
          <w:tcPr>
            <w:tcW w:w="2100" w:type="dxa"/>
            <w:tcBorders>
              <w:top w:val="single" w:sz="4" w:space="0" w:color="1A3A6B"/>
              <w:left w:val="single" w:sz="4" w:space="0" w:color="1A3A6B"/>
              <w:bottom w:val="single" w:sz="4" w:space="0" w:color="1A3A6B"/>
              <w:right w:val="single" w:sz="4" w:space="0" w:color="1A3A6B"/>
            </w:tcBorders>
            <w:shd w:val="clear" w:color="auto" w:fill="F5EED8"/>
            <w:tcMar>
              <w:top w:w="80" w:type="dxa"/>
              <w:left w:w="150" w:type="dxa"/>
              <w:bottom w:w="80" w:type="dxa"/>
              <w:right w:w="150" w:type="dxa"/>
            </w:tcMar>
          </w:tcPr>
          <w:p w14:paraId="10785B46" w14:textId="77777777" w:rsidR="00265C2A" w:rsidRDefault="00000000" w:rsidP="00A643F5">
            <w:r>
              <w:rPr>
                <w:color w:val="000000"/>
                <w:sz w:val="24"/>
                <w:szCs w:val="24"/>
              </w:rPr>
              <w:t>التخليق، تفعيل الأضلاع، إعادة بناء الصورة الإلهية</w:t>
            </w:r>
          </w:p>
        </w:tc>
      </w:tr>
      <w:tr w:rsidR="00265C2A" w14:paraId="03312192" w14:textId="77777777">
        <w:tblPrEx>
          <w:tblCellMar>
            <w:top w:w="0" w:type="dxa"/>
            <w:bottom w:w="0" w:type="dxa"/>
          </w:tblCellMar>
        </w:tblPrEx>
        <w:tc>
          <w:tcPr>
            <w:tcW w:w="5200" w:type="dxa"/>
            <w:tcBorders>
              <w:top w:val="single" w:sz="4" w:space="0" w:color="1A3A6B"/>
              <w:left w:val="single" w:sz="4" w:space="0" w:color="1A3A6B"/>
              <w:bottom w:val="single" w:sz="4" w:space="0" w:color="1A3A6B"/>
              <w:right w:val="single" w:sz="4" w:space="0" w:color="1A3A6B"/>
            </w:tcBorders>
            <w:shd w:val="clear" w:color="auto" w:fill="FFFFFF"/>
            <w:tcMar>
              <w:top w:w="80" w:type="dxa"/>
              <w:left w:w="150" w:type="dxa"/>
              <w:bottom w:w="80" w:type="dxa"/>
              <w:right w:w="150" w:type="dxa"/>
            </w:tcMar>
          </w:tcPr>
          <w:p w14:paraId="1552F776" w14:textId="77777777" w:rsidR="00265C2A" w:rsidRDefault="00000000" w:rsidP="00A643F5">
            <w:r>
              <w:rPr>
                <w:b/>
                <w:bCs/>
                <w:color w:val="0D1B33"/>
                <w:sz w:val="24"/>
                <w:szCs w:val="24"/>
              </w:rPr>
              <w:t>الأداة المركزية</w:t>
            </w:r>
          </w:p>
        </w:tc>
        <w:tc>
          <w:tcPr>
            <w:tcW w:w="2100" w:type="dxa"/>
            <w:tcBorders>
              <w:top w:val="single" w:sz="4" w:space="0" w:color="1A3A6B"/>
              <w:left w:val="single" w:sz="4" w:space="0" w:color="1A3A6B"/>
              <w:bottom w:val="single" w:sz="4" w:space="0" w:color="1A3A6B"/>
              <w:right w:val="single" w:sz="4" w:space="0" w:color="1A3A6B"/>
            </w:tcBorders>
            <w:shd w:val="clear" w:color="auto" w:fill="FFFFFF"/>
            <w:tcMar>
              <w:top w:w="80" w:type="dxa"/>
              <w:left w:w="150" w:type="dxa"/>
              <w:bottom w:w="80" w:type="dxa"/>
              <w:right w:w="150" w:type="dxa"/>
            </w:tcMar>
          </w:tcPr>
          <w:p w14:paraId="2AEC23CA" w14:textId="77777777" w:rsidR="00265C2A" w:rsidRDefault="00000000" w:rsidP="00A643F5">
            <w:r>
              <w:rPr>
                <w:color w:val="000000"/>
                <w:sz w:val="24"/>
                <w:szCs w:val="24"/>
              </w:rPr>
              <w:t>الإصلاح السياسي التدريجي</w:t>
            </w:r>
          </w:p>
        </w:tc>
        <w:tc>
          <w:tcPr>
            <w:tcW w:w="2100" w:type="dxa"/>
            <w:tcBorders>
              <w:top w:val="single" w:sz="4" w:space="0" w:color="1A3A6B"/>
              <w:left w:val="single" w:sz="4" w:space="0" w:color="1A3A6B"/>
              <w:bottom w:val="single" w:sz="4" w:space="0" w:color="1A3A6B"/>
              <w:right w:val="single" w:sz="4" w:space="0" w:color="1A3A6B"/>
            </w:tcBorders>
            <w:shd w:val="clear" w:color="auto" w:fill="FFFFFF"/>
            <w:tcMar>
              <w:top w:w="80" w:type="dxa"/>
              <w:left w:w="150" w:type="dxa"/>
              <w:bottom w:w="80" w:type="dxa"/>
              <w:right w:w="150" w:type="dxa"/>
            </w:tcMar>
          </w:tcPr>
          <w:p w14:paraId="4025BF85" w14:textId="77777777" w:rsidR="00265C2A" w:rsidRDefault="00000000" w:rsidP="00A643F5">
            <w:r>
              <w:rPr>
                <w:color w:val="000000"/>
                <w:sz w:val="24"/>
                <w:szCs w:val="24"/>
              </w:rPr>
              <w:t>نموذج TLRT العلاجي</w:t>
            </w:r>
          </w:p>
        </w:tc>
      </w:tr>
      <w:tr w:rsidR="00265C2A" w14:paraId="6FDC6B7E" w14:textId="77777777">
        <w:tblPrEx>
          <w:tblCellMar>
            <w:top w:w="0" w:type="dxa"/>
            <w:bottom w:w="0" w:type="dxa"/>
          </w:tblCellMar>
        </w:tblPrEx>
        <w:tc>
          <w:tcPr>
            <w:tcW w:w="5200" w:type="dxa"/>
            <w:tcBorders>
              <w:top w:val="single" w:sz="4" w:space="0" w:color="1A3A6B"/>
              <w:left w:val="single" w:sz="4" w:space="0" w:color="1A3A6B"/>
              <w:bottom w:val="single" w:sz="4" w:space="0" w:color="1A3A6B"/>
              <w:right w:val="single" w:sz="4" w:space="0" w:color="1A3A6B"/>
            </w:tcBorders>
            <w:shd w:val="clear" w:color="auto" w:fill="E8EDF5"/>
            <w:tcMar>
              <w:top w:w="80" w:type="dxa"/>
              <w:left w:w="150" w:type="dxa"/>
              <w:bottom w:w="80" w:type="dxa"/>
              <w:right w:w="150" w:type="dxa"/>
            </w:tcMar>
          </w:tcPr>
          <w:p w14:paraId="0EE17FC3" w14:textId="77777777" w:rsidR="00265C2A" w:rsidRDefault="00000000" w:rsidP="00A643F5">
            <w:r>
              <w:rPr>
                <w:b/>
                <w:bCs/>
                <w:color w:val="0D1B33"/>
                <w:sz w:val="24"/>
                <w:szCs w:val="24"/>
              </w:rPr>
              <w:t>الإنسان المنشود</w:t>
            </w:r>
          </w:p>
        </w:tc>
        <w:tc>
          <w:tcPr>
            <w:tcW w:w="2100" w:type="dxa"/>
            <w:tcBorders>
              <w:top w:val="single" w:sz="4" w:space="0" w:color="1A3A6B"/>
              <w:left w:val="single" w:sz="4" w:space="0" w:color="1A3A6B"/>
              <w:bottom w:val="single" w:sz="4" w:space="0" w:color="1A3A6B"/>
              <w:right w:val="single" w:sz="4" w:space="0" w:color="1A3A6B"/>
            </w:tcBorders>
            <w:shd w:val="clear" w:color="auto" w:fill="E0EEEE"/>
            <w:tcMar>
              <w:top w:w="80" w:type="dxa"/>
              <w:left w:w="150" w:type="dxa"/>
              <w:bottom w:w="80" w:type="dxa"/>
              <w:right w:w="150" w:type="dxa"/>
            </w:tcMar>
          </w:tcPr>
          <w:p w14:paraId="7BEF0546" w14:textId="77777777" w:rsidR="00265C2A" w:rsidRDefault="00000000" w:rsidP="00A643F5">
            <w:r>
              <w:rPr>
                <w:color w:val="000000"/>
                <w:sz w:val="24"/>
                <w:szCs w:val="24"/>
              </w:rPr>
              <w:t>المواطن الاستخلافي الفاعل</w:t>
            </w:r>
          </w:p>
        </w:tc>
        <w:tc>
          <w:tcPr>
            <w:tcW w:w="2100" w:type="dxa"/>
            <w:tcBorders>
              <w:top w:val="single" w:sz="4" w:space="0" w:color="1A3A6B"/>
              <w:left w:val="single" w:sz="4" w:space="0" w:color="1A3A6B"/>
              <w:bottom w:val="single" w:sz="4" w:space="0" w:color="1A3A6B"/>
              <w:right w:val="single" w:sz="4" w:space="0" w:color="1A3A6B"/>
            </w:tcBorders>
            <w:shd w:val="clear" w:color="auto" w:fill="F5EED8"/>
            <w:tcMar>
              <w:top w:w="80" w:type="dxa"/>
              <w:left w:w="150" w:type="dxa"/>
              <w:bottom w:w="80" w:type="dxa"/>
              <w:right w:w="150" w:type="dxa"/>
            </w:tcMar>
          </w:tcPr>
          <w:p w14:paraId="1BAA506F" w14:textId="77777777" w:rsidR="00265C2A" w:rsidRDefault="00000000" w:rsidP="00A643F5">
            <w:r>
              <w:rPr>
                <w:color w:val="000000"/>
                <w:sz w:val="24"/>
                <w:szCs w:val="24"/>
              </w:rPr>
              <w:t>الخليفة المتجذّر (النفس المطمئنة)</w:t>
            </w:r>
          </w:p>
        </w:tc>
      </w:tr>
      <w:tr w:rsidR="00265C2A" w14:paraId="701BB5F9" w14:textId="77777777">
        <w:tblPrEx>
          <w:tblCellMar>
            <w:top w:w="0" w:type="dxa"/>
            <w:bottom w:w="0" w:type="dxa"/>
          </w:tblCellMar>
        </w:tblPrEx>
        <w:tc>
          <w:tcPr>
            <w:tcW w:w="5200" w:type="dxa"/>
            <w:tcBorders>
              <w:top w:val="single" w:sz="4" w:space="0" w:color="1A3A6B"/>
              <w:left w:val="single" w:sz="4" w:space="0" w:color="1A3A6B"/>
              <w:bottom w:val="single" w:sz="4" w:space="0" w:color="1A3A6B"/>
              <w:right w:val="single" w:sz="4" w:space="0" w:color="1A3A6B"/>
            </w:tcBorders>
            <w:shd w:val="clear" w:color="auto" w:fill="FFFFFF"/>
            <w:tcMar>
              <w:top w:w="80" w:type="dxa"/>
              <w:left w:w="150" w:type="dxa"/>
              <w:bottom w:w="80" w:type="dxa"/>
              <w:right w:w="150" w:type="dxa"/>
            </w:tcMar>
          </w:tcPr>
          <w:p w14:paraId="7614B150" w14:textId="77777777" w:rsidR="00265C2A" w:rsidRDefault="00000000" w:rsidP="00A643F5">
            <w:r>
              <w:rPr>
                <w:b/>
                <w:bCs/>
                <w:color w:val="0D1B33"/>
                <w:sz w:val="24"/>
                <w:szCs w:val="24"/>
              </w:rPr>
              <w:t>الإبستمولوجيا</w:t>
            </w:r>
          </w:p>
        </w:tc>
        <w:tc>
          <w:tcPr>
            <w:tcW w:w="2100" w:type="dxa"/>
            <w:tcBorders>
              <w:top w:val="single" w:sz="4" w:space="0" w:color="1A3A6B"/>
              <w:left w:val="single" w:sz="4" w:space="0" w:color="1A3A6B"/>
              <w:bottom w:val="single" w:sz="4" w:space="0" w:color="1A3A6B"/>
              <w:right w:val="single" w:sz="4" w:space="0" w:color="1A3A6B"/>
            </w:tcBorders>
            <w:shd w:val="clear" w:color="auto" w:fill="FFFFFF"/>
            <w:tcMar>
              <w:top w:w="80" w:type="dxa"/>
              <w:left w:w="150" w:type="dxa"/>
              <w:bottom w:w="80" w:type="dxa"/>
              <w:right w:w="150" w:type="dxa"/>
            </w:tcMar>
          </w:tcPr>
          <w:p w14:paraId="12E34386" w14:textId="77777777" w:rsidR="00265C2A" w:rsidRDefault="00000000" w:rsidP="00A643F5">
            <w:r>
              <w:rPr>
                <w:color w:val="000000"/>
                <w:sz w:val="24"/>
                <w:szCs w:val="24"/>
              </w:rPr>
              <w:t>التأصيل النصي-الواقعي</w:t>
            </w:r>
          </w:p>
        </w:tc>
        <w:tc>
          <w:tcPr>
            <w:tcW w:w="2100" w:type="dxa"/>
            <w:tcBorders>
              <w:top w:val="single" w:sz="4" w:space="0" w:color="1A3A6B"/>
              <w:left w:val="single" w:sz="4" w:space="0" w:color="1A3A6B"/>
              <w:bottom w:val="single" w:sz="4" w:space="0" w:color="1A3A6B"/>
              <w:right w:val="single" w:sz="4" w:space="0" w:color="1A3A6B"/>
            </w:tcBorders>
            <w:shd w:val="clear" w:color="auto" w:fill="FFFFFF"/>
            <w:tcMar>
              <w:top w:w="80" w:type="dxa"/>
              <w:left w:w="150" w:type="dxa"/>
              <w:bottom w:w="80" w:type="dxa"/>
              <w:right w:w="150" w:type="dxa"/>
            </w:tcMar>
          </w:tcPr>
          <w:p w14:paraId="33A23017" w14:textId="77777777" w:rsidR="00265C2A" w:rsidRDefault="00000000" w:rsidP="00A643F5">
            <w:r>
              <w:rPr>
                <w:color w:val="000000"/>
                <w:sz w:val="24"/>
                <w:szCs w:val="24"/>
              </w:rPr>
              <w:t>أركيولوجيا الجرح (تعددية مرجعية)</w:t>
            </w:r>
          </w:p>
        </w:tc>
      </w:tr>
      <w:tr w:rsidR="00265C2A" w14:paraId="671487BA" w14:textId="77777777">
        <w:tblPrEx>
          <w:tblCellMar>
            <w:top w:w="0" w:type="dxa"/>
            <w:bottom w:w="0" w:type="dxa"/>
          </w:tblCellMar>
        </w:tblPrEx>
        <w:tc>
          <w:tcPr>
            <w:tcW w:w="5200" w:type="dxa"/>
            <w:tcBorders>
              <w:top w:val="single" w:sz="4" w:space="0" w:color="1A3A6B"/>
              <w:left w:val="single" w:sz="4" w:space="0" w:color="1A3A6B"/>
              <w:bottom w:val="single" w:sz="4" w:space="0" w:color="1A3A6B"/>
              <w:right w:val="single" w:sz="4" w:space="0" w:color="1A3A6B"/>
            </w:tcBorders>
            <w:shd w:val="clear" w:color="auto" w:fill="E8EDF5"/>
            <w:tcMar>
              <w:top w:w="80" w:type="dxa"/>
              <w:left w:w="150" w:type="dxa"/>
              <w:bottom w:w="80" w:type="dxa"/>
              <w:right w:w="150" w:type="dxa"/>
            </w:tcMar>
          </w:tcPr>
          <w:p w14:paraId="72210691" w14:textId="77777777" w:rsidR="00265C2A" w:rsidRDefault="00000000" w:rsidP="00A643F5">
            <w:r>
              <w:rPr>
                <w:b/>
                <w:bCs/>
                <w:color w:val="0D1B33"/>
                <w:sz w:val="24"/>
                <w:szCs w:val="24"/>
              </w:rPr>
              <w:t>التوجه الزماني</w:t>
            </w:r>
          </w:p>
        </w:tc>
        <w:tc>
          <w:tcPr>
            <w:tcW w:w="2100" w:type="dxa"/>
            <w:tcBorders>
              <w:top w:val="single" w:sz="4" w:space="0" w:color="1A3A6B"/>
              <w:left w:val="single" w:sz="4" w:space="0" w:color="1A3A6B"/>
              <w:bottom w:val="single" w:sz="4" w:space="0" w:color="1A3A6B"/>
              <w:right w:val="single" w:sz="4" w:space="0" w:color="1A3A6B"/>
            </w:tcBorders>
            <w:shd w:val="clear" w:color="auto" w:fill="E0EEEE"/>
            <w:tcMar>
              <w:top w:w="80" w:type="dxa"/>
              <w:left w:w="150" w:type="dxa"/>
              <w:bottom w:w="80" w:type="dxa"/>
              <w:right w:w="150" w:type="dxa"/>
            </w:tcMar>
          </w:tcPr>
          <w:p w14:paraId="7805E547" w14:textId="77777777" w:rsidR="00265C2A" w:rsidRDefault="00000000" w:rsidP="00A643F5">
            <w:r>
              <w:rPr>
                <w:color w:val="000000"/>
                <w:sz w:val="24"/>
                <w:szCs w:val="24"/>
              </w:rPr>
              <w:t>مستقبلي (الاستخلاف القادم)</w:t>
            </w:r>
          </w:p>
        </w:tc>
        <w:tc>
          <w:tcPr>
            <w:tcW w:w="2100" w:type="dxa"/>
            <w:tcBorders>
              <w:top w:val="single" w:sz="4" w:space="0" w:color="1A3A6B"/>
              <w:left w:val="single" w:sz="4" w:space="0" w:color="1A3A6B"/>
              <w:bottom w:val="single" w:sz="4" w:space="0" w:color="1A3A6B"/>
              <w:right w:val="single" w:sz="4" w:space="0" w:color="1A3A6B"/>
            </w:tcBorders>
            <w:shd w:val="clear" w:color="auto" w:fill="F5EED8"/>
            <w:tcMar>
              <w:top w:w="80" w:type="dxa"/>
              <w:left w:w="150" w:type="dxa"/>
              <w:bottom w:w="80" w:type="dxa"/>
              <w:right w:w="150" w:type="dxa"/>
            </w:tcMar>
          </w:tcPr>
          <w:p w14:paraId="1539D7B2" w14:textId="77777777" w:rsidR="00265C2A" w:rsidRDefault="00000000" w:rsidP="00A643F5">
            <w:r>
              <w:rPr>
                <w:color w:val="000000"/>
                <w:sz w:val="24"/>
                <w:szCs w:val="24"/>
              </w:rPr>
              <w:t>راهن (الاستخلاف المعاش الآن)</w:t>
            </w:r>
          </w:p>
        </w:tc>
      </w:tr>
      <w:tr w:rsidR="00265C2A" w14:paraId="35A5A915" w14:textId="77777777">
        <w:tblPrEx>
          <w:tblCellMar>
            <w:top w:w="0" w:type="dxa"/>
            <w:bottom w:w="0" w:type="dxa"/>
          </w:tblCellMar>
        </w:tblPrEx>
        <w:tc>
          <w:tcPr>
            <w:tcW w:w="5200" w:type="dxa"/>
            <w:tcBorders>
              <w:top w:val="single" w:sz="4" w:space="0" w:color="1A3A6B"/>
              <w:left w:val="single" w:sz="4" w:space="0" w:color="1A3A6B"/>
              <w:bottom w:val="single" w:sz="4" w:space="0" w:color="1A3A6B"/>
              <w:right w:val="single" w:sz="4" w:space="0" w:color="1A3A6B"/>
            </w:tcBorders>
            <w:shd w:val="clear" w:color="auto" w:fill="FFFFFF"/>
            <w:tcMar>
              <w:top w:w="80" w:type="dxa"/>
              <w:left w:w="150" w:type="dxa"/>
              <w:bottom w:w="80" w:type="dxa"/>
              <w:right w:w="150" w:type="dxa"/>
            </w:tcMar>
          </w:tcPr>
          <w:p w14:paraId="19A7D007" w14:textId="77777777" w:rsidR="00265C2A" w:rsidRDefault="00000000" w:rsidP="00A643F5">
            <w:r>
              <w:rPr>
                <w:b/>
                <w:bCs/>
                <w:color w:val="0D1B33"/>
                <w:sz w:val="24"/>
                <w:szCs w:val="24"/>
              </w:rPr>
              <w:t>نقطة البداية التغييرية</w:t>
            </w:r>
          </w:p>
        </w:tc>
        <w:tc>
          <w:tcPr>
            <w:tcW w:w="2100" w:type="dxa"/>
            <w:tcBorders>
              <w:top w:val="single" w:sz="4" w:space="0" w:color="1A3A6B"/>
              <w:left w:val="single" w:sz="4" w:space="0" w:color="1A3A6B"/>
              <w:bottom w:val="single" w:sz="4" w:space="0" w:color="1A3A6B"/>
              <w:right w:val="single" w:sz="4" w:space="0" w:color="1A3A6B"/>
            </w:tcBorders>
            <w:shd w:val="clear" w:color="auto" w:fill="FFFFFF"/>
            <w:tcMar>
              <w:top w:w="80" w:type="dxa"/>
              <w:left w:w="150" w:type="dxa"/>
              <w:bottom w:w="80" w:type="dxa"/>
              <w:right w:w="150" w:type="dxa"/>
            </w:tcMar>
          </w:tcPr>
          <w:p w14:paraId="55E44DC5" w14:textId="77777777" w:rsidR="00265C2A" w:rsidRDefault="00000000" w:rsidP="00A643F5">
            <w:r>
              <w:rPr>
                <w:color w:val="000000"/>
                <w:sz w:val="24"/>
                <w:szCs w:val="24"/>
              </w:rPr>
              <w:t>الأمة → الفرد</w:t>
            </w:r>
          </w:p>
        </w:tc>
        <w:tc>
          <w:tcPr>
            <w:tcW w:w="2100" w:type="dxa"/>
            <w:tcBorders>
              <w:top w:val="single" w:sz="4" w:space="0" w:color="1A3A6B"/>
              <w:left w:val="single" w:sz="4" w:space="0" w:color="1A3A6B"/>
              <w:bottom w:val="single" w:sz="4" w:space="0" w:color="1A3A6B"/>
              <w:right w:val="single" w:sz="4" w:space="0" w:color="1A3A6B"/>
            </w:tcBorders>
            <w:shd w:val="clear" w:color="auto" w:fill="FFFFFF"/>
            <w:tcMar>
              <w:top w:w="80" w:type="dxa"/>
              <w:left w:w="150" w:type="dxa"/>
              <w:bottom w:w="80" w:type="dxa"/>
              <w:right w:w="150" w:type="dxa"/>
            </w:tcMar>
          </w:tcPr>
          <w:p w14:paraId="3288655F" w14:textId="77777777" w:rsidR="00265C2A" w:rsidRDefault="00000000" w:rsidP="00A643F5">
            <w:r>
              <w:rPr>
                <w:color w:val="000000"/>
                <w:sz w:val="24"/>
                <w:szCs w:val="24"/>
              </w:rPr>
              <w:t>الفرد → الأمة</w:t>
            </w:r>
          </w:p>
        </w:tc>
      </w:tr>
      <w:tr w:rsidR="00265C2A" w14:paraId="324D641A" w14:textId="77777777">
        <w:tblPrEx>
          <w:tblCellMar>
            <w:top w:w="0" w:type="dxa"/>
            <w:bottom w:w="0" w:type="dxa"/>
          </w:tblCellMar>
        </w:tblPrEx>
        <w:tc>
          <w:tcPr>
            <w:tcW w:w="5200" w:type="dxa"/>
            <w:tcBorders>
              <w:top w:val="single" w:sz="4" w:space="0" w:color="1A3A6B"/>
              <w:left w:val="single" w:sz="4" w:space="0" w:color="1A3A6B"/>
              <w:bottom w:val="single" w:sz="4" w:space="0" w:color="1A3A6B"/>
              <w:right w:val="single" w:sz="4" w:space="0" w:color="1A3A6B"/>
            </w:tcBorders>
            <w:shd w:val="clear" w:color="auto" w:fill="E8EDF5"/>
            <w:tcMar>
              <w:top w:w="80" w:type="dxa"/>
              <w:left w:w="150" w:type="dxa"/>
              <w:bottom w:w="80" w:type="dxa"/>
              <w:right w:w="150" w:type="dxa"/>
            </w:tcMar>
          </w:tcPr>
          <w:p w14:paraId="2F544D9E" w14:textId="77777777" w:rsidR="00265C2A" w:rsidRDefault="00000000" w:rsidP="00A643F5">
            <w:r>
              <w:rPr>
                <w:b/>
                <w:bCs/>
                <w:color w:val="0D1B33"/>
                <w:sz w:val="24"/>
                <w:szCs w:val="24"/>
              </w:rPr>
              <w:t>الشريك الغربي الأقرب</w:t>
            </w:r>
          </w:p>
        </w:tc>
        <w:tc>
          <w:tcPr>
            <w:tcW w:w="2100" w:type="dxa"/>
            <w:tcBorders>
              <w:top w:val="single" w:sz="4" w:space="0" w:color="1A3A6B"/>
              <w:left w:val="single" w:sz="4" w:space="0" w:color="1A3A6B"/>
              <w:bottom w:val="single" w:sz="4" w:space="0" w:color="1A3A6B"/>
              <w:right w:val="single" w:sz="4" w:space="0" w:color="1A3A6B"/>
            </w:tcBorders>
            <w:shd w:val="clear" w:color="auto" w:fill="E0EEEE"/>
            <w:tcMar>
              <w:top w:w="80" w:type="dxa"/>
              <w:left w:w="150" w:type="dxa"/>
              <w:bottom w:w="80" w:type="dxa"/>
              <w:right w:w="150" w:type="dxa"/>
            </w:tcMar>
          </w:tcPr>
          <w:p w14:paraId="503268B6" w14:textId="77777777" w:rsidR="00265C2A" w:rsidRDefault="00000000" w:rsidP="00A643F5">
            <w:r>
              <w:rPr>
                <w:color w:val="000000"/>
                <w:sz w:val="24"/>
                <w:szCs w:val="24"/>
              </w:rPr>
              <w:t>هابرماس، هانتينغتون، بورديو</w:t>
            </w:r>
          </w:p>
        </w:tc>
        <w:tc>
          <w:tcPr>
            <w:tcW w:w="2100" w:type="dxa"/>
            <w:tcBorders>
              <w:top w:val="single" w:sz="4" w:space="0" w:color="1A3A6B"/>
              <w:left w:val="single" w:sz="4" w:space="0" w:color="1A3A6B"/>
              <w:bottom w:val="single" w:sz="4" w:space="0" w:color="1A3A6B"/>
              <w:right w:val="single" w:sz="4" w:space="0" w:color="1A3A6B"/>
            </w:tcBorders>
            <w:shd w:val="clear" w:color="auto" w:fill="F5EED8"/>
            <w:tcMar>
              <w:top w:w="80" w:type="dxa"/>
              <w:left w:w="150" w:type="dxa"/>
              <w:bottom w:w="80" w:type="dxa"/>
              <w:right w:w="150" w:type="dxa"/>
            </w:tcMar>
          </w:tcPr>
          <w:p w14:paraId="38E7DE71" w14:textId="77777777" w:rsidR="00265C2A" w:rsidRDefault="00000000" w:rsidP="00A643F5">
            <w:r>
              <w:rPr>
                <w:color w:val="000000"/>
                <w:sz w:val="24"/>
                <w:szCs w:val="24"/>
              </w:rPr>
              <w:t>فرانكل، ماسلو، لاكان، هوسرل</w:t>
            </w:r>
          </w:p>
        </w:tc>
      </w:tr>
      <w:tr w:rsidR="00265C2A" w14:paraId="4D306DB4" w14:textId="77777777">
        <w:tblPrEx>
          <w:tblCellMar>
            <w:top w:w="0" w:type="dxa"/>
            <w:bottom w:w="0" w:type="dxa"/>
          </w:tblCellMar>
        </w:tblPrEx>
        <w:tc>
          <w:tcPr>
            <w:tcW w:w="5200" w:type="dxa"/>
            <w:tcBorders>
              <w:top w:val="single" w:sz="4" w:space="0" w:color="1A3A6B"/>
              <w:left w:val="single" w:sz="4" w:space="0" w:color="1A3A6B"/>
              <w:bottom w:val="single" w:sz="4" w:space="0" w:color="1A3A6B"/>
              <w:right w:val="single" w:sz="4" w:space="0" w:color="1A3A6B"/>
            </w:tcBorders>
            <w:shd w:val="clear" w:color="auto" w:fill="FFFFFF"/>
            <w:tcMar>
              <w:top w:w="80" w:type="dxa"/>
              <w:left w:w="150" w:type="dxa"/>
              <w:bottom w:w="80" w:type="dxa"/>
              <w:right w:w="150" w:type="dxa"/>
            </w:tcMar>
          </w:tcPr>
          <w:p w14:paraId="5E06051F" w14:textId="77777777" w:rsidR="00265C2A" w:rsidRDefault="00000000" w:rsidP="00A643F5">
            <w:r>
              <w:rPr>
                <w:b/>
                <w:bCs/>
                <w:color w:val="0D1B33"/>
                <w:sz w:val="24"/>
                <w:szCs w:val="24"/>
              </w:rPr>
              <w:t>التحدي الرئيسي</w:t>
            </w:r>
          </w:p>
        </w:tc>
        <w:tc>
          <w:tcPr>
            <w:tcW w:w="2100" w:type="dxa"/>
            <w:tcBorders>
              <w:top w:val="single" w:sz="4" w:space="0" w:color="1A3A6B"/>
              <w:left w:val="single" w:sz="4" w:space="0" w:color="1A3A6B"/>
              <w:bottom w:val="single" w:sz="4" w:space="0" w:color="1A3A6B"/>
              <w:right w:val="single" w:sz="4" w:space="0" w:color="1A3A6B"/>
            </w:tcBorders>
            <w:shd w:val="clear" w:color="auto" w:fill="FFFFFF"/>
            <w:tcMar>
              <w:top w:w="80" w:type="dxa"/>
              <w:left w:w="150" w:type="dxa"/>
              <w:bottom w:w="80" w:type="dxa"/>
              <w:right w:w="150" w:type="dxa"/>
            </w:tcMar>
          </w:tcPr>
          <w:p w14:paraId="27FF61A3" w14:textId="77777777" w:rsidR="00265C2A" w:rsidRDefault="00000000" w:rsidP="00A643F5">
            <w:r>
              <w:rPr>
                <w:color w:val="000000"/>
                <w:sz w:val="24"/>
                <w:szCs w:val="24"/>
              </w:rPr>
              <w:t>الاختزال السياسي للأزمة</w:t>
            </w:r>
          </w:p>
        </w:tc>
        <w:tc>
          <w:tcPr>
            <w:tcW w:w="2100" w:type="dxa"/>
            <w:tcBorders>
              <w:top w:val="single" w:sz="4" w:space="0" w:color="1A3A6B"/>
              <w:left w:val="single" w:sz="4" w:space="0" w:color="1A3A6B"/>
              <w:bottom w:val="single" w:sz="4" w:space="0" w:color="1A3A6B"/>
              <w:right w:val="single" w:sz="4" w:space="0" w:color="1A3A6B"/>
            </w:tcBorders>
            <w:shd w:val="clear" w:color="auto" w:fill="FFFFFF"/>
            <w:tcMar>
              <w:top w:w="80" w:type="dxa"/>
              <w:left w:w="150" w:type="dxa"/>
              <w:bottom w:w="80" w:type="dxa"/>
              <w:right w:w="150" w:type="dxa"/>
            </w:tcMar>
          </w:tcPr>
          <w:p w14:paraId="0B5168DC" w14:textId="77777777" w:rsidR="00265C2A" w:rsidRDefault="00000000" w:rsidP="00A643F5">
            <w:r>
              <w:rPr>
                <w:color w:val="000000"/>
                <w:sz w:val="24"/>
                <w:szCs w:val="24"/>
              </w:rPr>
              <w:t>التلفيق المعرفي وتحدي القياس</w:t>
            </w:r>
          </w:p>
        </w:tc>
      </w:tr>
      <w:tr w:rsidR="00265C2A" w14:paraId="5B509EED" w14:textId="77777777">
        <w:tblPrEx>
          <w:tblCellMar>
            <w:top w:w="0" w:type="dxa"/>
            <w:bottom w:w="0" w:type="dxa"/>
          </w:tblCellMar>
        </w:tblPrEx>
        <w:tc>
          <w:tcPr>
            <w:tcW w:w="5200" w:type="dxa"/>
            <w:tcBorders>
              <w:top w:val="single" w:sz="4" w:space="0" w:color="1A3A6B"/>
              <w:left w:val="single" w:sz="4" w:space="0" w:color="1A3A6B"/>
              <w:bottom w:val="single" w:sz="4" w:space="0" w:color="1A3A6B"/>
              <w:right w:val="single" w:sz="4" w:space="0" w:color="1A3A6B"/>
            </w:tcBorders>
            <w:shd w:val="clear" w:color="auto" w:fill="E8EDF5"/>
            <w:tcMar>
              <w:top w:w="80" w:type="dxa"/>
              <w:left w:w="150" w:type="dxa"/>
              <w:bottom w:w="80" w:type="dxa"/>
              <w:right w:w="150" w:type="dxa"/>
            </w:tcMar>
          </w:tcPr>
          <w:p w14:paraId="55ED6B8E" w14:textId="77777777" w:rsidR="00265C2A" w:rsidRDefault="00000000" w:rsidP="00A643F5">
            <w:r>
              <w:rPr>
                <w:b/>
                <w:bCs/>
                <w:color w:val="0D1B33"/>
                <w:sz w:val="24"/>
                <w:szCs w:val="24"/>
              </w:rPr>
              <w:t>التكامل الممكن</w:t>
            </w:r>
          </w:p>
        </w:tc>
        <w:tc>
          <w:tcPr>
            <w:tcW w:w="2100" w:type="dxa"/>
            <w:tcBorders>
              <w:top w:val="single" w:sz="4" w:space="0" w:color="1A3A6B"/>
              <w:left w:val="single" w:sz="4" w:space="0" w:color="1A3A6B"/>
              <w:bottom w:val="single" w:sz="4" w:space="0" w:color="1A3A6B"/>
              <w:right w:val="single" w:sz="4" w:space="0" w:color="1A3A6B"/>
            </w:tcBorders>
            <w:shd w:val="clear" w:color="auto" w:fill="E0EEEE"/>
            <w:tcMar>
              <w:top w:w="80" w:type="dxa"/>
              <w:left w:w="150" w:type="dxa"/>
              <w:bottom w:w="80" w:type="dxa"/>
              <w:right w:w="150" w:type="dxa"/>
            </w:tcMar>
          </w:tcPr>
          <w:p w14:paraId="10440646" w14:textId="77777777" w:rsidR="00265C2A" w:rsidRDefault="00000000" w:rsidP="00A643F5">
            <w:r>
              <w:rPr>
                <w:color w:val="000000"/>
                <w:sz w:val="24"/>
                <w:szCs w:val="24"/>
              </w:rPr>
              <w:t>يُقدّم الهيكل (البنية)</w:t>
            </w:r>
          </w:p>
        </w:tc>
        <w:tc>
          <w:tcPr>
            <w:tcW w:w="2100" w:type="dxa"/>
            <w:tcBorders>
              <w:top w:val="single" w:sz="4" w:space="0" w:color="1A3A6B"/>
              <w:left w:val="single" w:sz="4" w:space="0" w:color="1A3A6B"/>
              <w:bottom w:val="single" w:sz="4" w:space="0" w:color="1A3A6B"/>
              <w:right w:val="single" w:sz="4" w:space="0" w:color="1A3A6B"/>
            </w:tcBorders>
            <w:shd w:val="clear" w:color="auto" w:fill="F5EED8"/>
            <w:tcMar>
              <w:top w:w="80" w:type="dxa"/>
              <w:left w:w="150" w:type="dxa"/>
              <w:bottom w:w="80" w:type="dxa"/>
              <w:right w:w="150" w:type="dxa"/>
            </w:tcMar>
          </w:tcPr>
          <w:p w14:paraId="1CB15D2F" w14:textId="77777777" w:rsidR="00265C2A" w:rsidRDefault="00000000" w:rsidP="00A643F5">
            <w:r>
              <w:rPr>
                <w:color w:val="000000"/>
                <w:sz w:val="24"/>
                <w:szCs w:val="24"/>
              </w:rPr>
              <w:t>يُقدّم الروح (الداخل)</w:t>
            </w:r>
          </w:p>
        </w:tc>
      </w:tr>
    </w:tbl>
    <w:p w14:paraId="3EEDD58C" w14:textId="77777777" w:rsidR="00265C2A" w:rsidRDefault="00265C2A" w:rsidP="00A643F5">
      <w:pPr>
        <w:spacing w:before="40" w:after="40"/>
      </w:pPr>
    </w:p>
    <w:p w14:paraId="45262178" w14:textId="77777777" w:rsidR="00265C2A" w:rsidRDefault="00265C2A" w:rsidP="00A643F5">
      <w:pPr>
        <w:spacing w:before="40" w:after="40"/>
      </w:pPr>
    </w:p>
    <w:p w14:paraId="62DEC89E" w14:textId="77777777" w:rsidR="00265C2A" w:rsidRDefault="00000000" w:rsidP="00A643F5">
      <w:r>
        <w:br w:type="page"/>
      </w:r>
    </w:p>
    <w:p w14:paraId="17C32EF1" w14:textId="77777777" w:rsidR="00265C2A" w:rsidRDefault="00000000" w:rsidP="00A643F5">
      <w:pPr>
        <w:pStyle w:val="1"/>
        <w:pBdr>
          <w:bottom w:val="single" w:sz="8" w:space="4" w:color="9A7B1A"/>
        </w:pBdr>
        <w:jc w:val="left"/>
      </w:pPr>
      <w:r>
        <w:t>خاتمة: نحو نظرية استخلافية مندمجة</w:t>
      </w:r>
    </w:p>
    <w:p w14:paraId="35EC895A" w14:textId="77777777" w:rsidR="00265C2A" w:rsidRDefault="00000000" w:rsidP="00A643F5">
      <w:pPr>
        <w:spacing w:before="80" w:after="120" w:line="340" w:lineRule="auto"/>
      </w:pPr>
      <w:r>
        <w:rPr>
          <w:color w:val="000000"/>
        </w:rPr>
        <w:t>في نهاية هذه الرحلة المقارنة، نخلص إلى أن مشروعَي الاستخلاف عند صبري خليل خيري وعبد السلام الزراع ليسا نظريتَين متنافستَين بقدر ما هما نصفان لنظرية واحدة ناضجة لم يكتمل بناؤها بعد. فخيري يُقدّم «ميتافيزيقا الاستخلاف السياسي» — الإطار الماكروي الذي يصف الشروط الهيكلية للمشروع الحضاري الإسلامي. والزراع يُقدّم «ميكروفيزياء الاستخلاف النفسي» — الخريطة الداخلية للنفس البشرية المُؤهَّلة لحمل ذلك المشروع.</w:t>
      </w:r>
    </w:p>
    <w:p w14:paraId="4E5E0535" w14:textId="77777777" w:rsidR="00265C2A" w:rsidRDefault="00000000" w:rsidP="00A643F5">
      <w:pPr>
        <w:spacing w:before="80" w:after="120" w:line="340" w:lineRule="auto"/>
      </w:pPr>
      <w:r>
        <w:rPr>
          <w:color w:val="000000"/>
        </w:rPr>
        <w:t>والدرس العميق الذي تُقدّمه هذه المقارنة هو: لا يمكن للمشروع الحضاري الإسلامي أن ينهض إلا حين يُدرك أن الدولة التي لا تنبثق من نفوس مُعافاةً هي في الحقيقة استبداد بوجه استخلافي. وأن النفس المُعافاة التي لا تُقرّ بضرورة تغيير البنى الاجتماعية الظالمة هي في الحقيقة نُسُك فردي لا استخلاف حضاري.</w:t>
      </w:r>
    </w:p>
    <w:p w14:paraId="07FA8EFC" w14:textId="77777777" w:rsidR="00265C2A" w:rsidRDefault="00000000" w:rsidP="00A643F5">
      <w:pPr>
        <w:spacing w:before="80" w:after="120" w:line="340" w:lineRule="auto"/>
      </w:pPr>
      <w:r>
        <w:rPr>
          <w:color w:val="000000"/>
        </w:rPr>
        <w:t>وما تُقترحه هذه الدراسة — تحدياً للباحثَين معاً وللمشتغلين بالدراسات الإسلامية عموماً — هو بناء «نظرية استخلافية مندمجة» تقوم على ثلاثة مبادئ:</w:t>
      </w:r>
    </w:p>
    <w:p w14:paraId="324C0D06" w14:textId="77777777" w:rsidR="00265C2A" w:rsidRDefault="00000000" w:rsidP="00A643F5">
      <w:pPr>
        <w:shd w:val="clear" w:color="auto" w:fill="F5EED8"/>
        <w:spacing w:before="100" w:after="100" w:line="320" w:lineRule="auto"/>
        <w:ind w:left="360" w:right="360"/>
      </w:pPr>
      <w:r>
        <w:rPr>
          <w:color w:val="0D1B33"/>
        </w:rPr>
        <w:t>المبدأ الأول: التزامن لا التتابع — الإصلاح النفسي والإصلاح السياسي ليسا مرحلتَين متتابعتَين بل عمليتَين متداخلتَين تسيران جنباً إلى جنب.</w:t>
      </w:r>
    </w:p>
    <w:p w14:paraId="2A9C70DA" w14:textId="77777777" w:rsidR="00265C2A" w:rsidRDefault="00000000" w:rsidP="00A643F5">
      <w:pPr>
        <w:shd w:val="clear" w:color="auto" w:fill="E0EEEE"/>
        <w:spacing w:before="100" w:after="100" w:line="320" w:lineRule="auto"/>
        <w:ind w:left="360" w:right="360"/>
      </w:pPr>
      <w:r>
        <w:rPr>
          <w:color w:val="0D1B33"/>
        </w:rPr>
        <w:t>المبدأ الثاني: التكامل لا الإلغاء — لا نظرية الزراع تُلغي نظرية خيري، ولا نظرية خيري تستغني عن نظرية الزراع. الكمال في الاندماج.</w:t>
      </w:r>
    </w:p>
    <w:p w14:paraId="4EA23496" w14:textId="77777777" w:rsidR="00265C2A" w:rsidRDefault="00000000" w:rsidP="00A643F5">
      <w:pPr>
        <w:shd w:val="clear" w:color="auto" w:fill="E8EDF5"/>
        <w:spacing w:before="100" w:after="100" w:line="320" w:lineRule="auto"/>
        <w:ind w:left="360" w:right="360"/>
      </w:pPr>
      <w:r>
        <w:rPr>
          <w:color w:val="0D1B33"/>
        </w:rPr>
        <w:t>المبدأ الثالث: البداية من النفس والنهاية إلى الأمة — وفق الآية الكريمة: {إِنَّ اللَّهَ لَا يُغَيِّرُ مَا بِقَوْمٍ حَتَّىٰ يُغَيِّرُوا مَا بِأَنفُسِهِمْ} — فالنفس هي نقطة الانطلاق، والأمة هي أُفق الوصول.</w:t>
      </w:r>
    </w:p>
    <w:p w14:paraId="3FC82CB8" w14:textId="77777777" w:rsidR="00265C2A" w:rsidRDefault="00265C2A" w:rsidP="00A643F5">
      <w:pPr>
        <w:spacing w:before="40" w:after="40"/>
      </w:pPr>
    </w:p>
    <w:p w14:paraId="7D685A98" w14:textId="77777777" w:rsidR="00265C2A" w:rsidRDefault="00000000" w:rsidP="00A643F5">
      <w:pPr>
        <w:spacing w:before="80" w:after="120" w:line="340" w:lineRule="auto"/>
      </w:pPr>
      <w:r>
        <w:rPr>
          <w:color w:val="000000"/>
        </w:rPr>
        <w:t>وفي النهاية، ربما كانت العبقرية الحقيقية للمشروع الاستخلافي تكمن في أنه — وحده بين المشروعات الفكرية المعاصرة — يرفض الفصل بين الشخصي والسياسي، وبين الداخل والخارج، وبين النفس والأمة. فالاستخلاف — في جوهره — هو الإنسان حين يكون كاملاً في نفسه وكاملاً في علاقته بالآخرين والكون. وهذا ما يجعله أُفقاً لا سقفاً.</w:t>
      </w:r>
    </w:p>
    <w:p w14:paraId="27686B90" w14:textId="77777777" w:rsidR="00265C2A" w:rsidRDefault="00265C2A" w:rsidP="00A643F5">
      <w:pPr>
        <w:spacing w:before="40" w:after="40"/>
      </w:pPr>
    </w:p>
    <w:p w14:paraId="6BF32DD4" w14:textId="77777777" w:rsidR="00265C2A" w:rsidRDefault="00000000" w:rsidP="00A643F5">
      <w:pPr>
        <w:pBdr>
          <w:right w:val="single" w:sz="12" w:space="8" w:color="0A5E5E"/>
        </w:pBdr>
        <w:spacing w:before="60" w:after="60" w:line="300" w:lineRule="auto"/>
        <w:ind w:left="720" w:right="720"/>
      </w:pPr>
      <w:r>
        <w:rPr>
          <w:i/>
          <w:iCs/>
          <w:color w:val="0A5E5E"/>
          <w:sz w:val="24"/>
          <w:szCs w:val="24"/>
        </w:rPr>
        <w:t>{إِنَّ اللَّهَ لَا يُغَيِّرُ مَا بِقَوْمٍ حَتَّىٰ يُغَيِّرُوا مَا بِأَنفُسِهِمْ} [الرعد: 11].</w:t>
      </w:r>
    </w:p>
    <w:p w14:paraId="6B3218E5" w14:textId="77777777" w:rsidR="00265C2A" w:rsidRDefault="00000000" w:rsidP="00A643F5">
      <w:r>
        <w:br w:type="page"/>
      </w:r>
    </w:p>
    <w:p w14:paraId="7BF20532" w14:textId="77777777" w:rsidR="00265C2A" w:rsidRDefault="00000000" w:rsidP="00A643F5">
      <w:pPr>
        <w:pStyle w:val="1"/>
        <w:pBdr>
          <w:bottom w:val="single" w:sz="8" w:space="4" w:color="9A7B1A"/>
        </w:pBdr>
        <w:jc w:val="left"/>
      </w:pPr>
      <w:r>
        <w:t>قائمة المراجع</w:t>
      </w:r>
    </w:p>
    <w:p w14:paraId="0EBE40AF" w14:textId="77777777" w:rsidR="00265C2A" w:rsidRDefault="00000000" w:rsidP="00A643F5">
      <w:pPr>
        <w:pStyle w:val="3"/>
        <w:jc w:val="left"/>
      </w:pPr>
      <w:r>
        <w:t>أولاً: المصادر الأساسية</w:t>
      </w:r>
    </w:p>
    <w:p w14:paraId="33C4343F" w14:textId="77777777" w:rsidR="00265C2A" w:rsidRDefault="00000000" w:rsidP="00A643F5">
      <w:pPr>
        <w:spacing w:before="80" w:after="120" w:line="340" w:lineRule="auto"/>
      </w:pPr>
      <w:r>
        <w:rPr>
          <w:color w:val="000000"/>
        </w:rPr>
        <w:t>• الزراع، عبد السلام. علم النفس الاستخلافي: نحو نموذج نفسي قرآني متكامل. [المؤلف، د.ت].</w:t>
      </w:r>
    </w:p>
    <w:p w14:paraId="091510FC" w14:textId="77777777" w:rsidR="00265C2A" w:rsidRDefault="00000000" w:rsidP="00A643F5">
      <w:pPr>
        <w:spacing w:before="80" w:after="120" w:line="340" w:lineRule="auto"/>
      </w:pPr>
      <w:r>
        <w:rPr>
          <w:color w:val="000000"/>
        </w:rPr>
        <w:t>• الزراع، عبد السلام. العلاج بحرث المصالحة التحويلية (TLRT): الدليل السريري الشامل. [المؤلف، د.ت].</w:t>
      </w:r>
    </w:p>
    <w:p w14:paraId="08393A97" w14:textId="77777777" w:rsidR="00265C2A" w:rsidRDefault="00000000" w:rsidP="00A643F5">
      <w:pPr>
        <w:spacing w:before="80" w:after="120" w:line="340" w:lineRule="auto"/>
      </w:pPr>
      <w:r>
        <w:rPr>
          <w:color w:val="000000"/>
        </w:rPr>
        <w:t>• خيري، صبري محمد خليل. فلسفة القيم الإسلامية: الاستخلاف نموذجاً. الخرطوم: جامعة الخرطوم، [د.ت].</w:t>
      </w:r>
    </w:p>
    <w:p w14:paraId="16895853" w14:textId="77777777" w:rsidR="00265C2A" w:rsidRDefault="00000000" w:rsidP="00A643F5">
      <w:pPr>
        <w:pStyle w:val="3"/>
        <w:jc w:val="left"/>
      </w:pPr>
      <w:r>
        <w:t>ثانياً: المصادر التراثية</w:t>
      </w:r>
    </w:p>
    <w:p w14:paraId="2E0E14BC" w14:textId="77777777" w:rsidR="00265C2A" w:rsidRDefault="00000000" w:rsidP="00A643F5">
      <w:pPr>
        <w:spacing w:before="80" w:after="120" w:line="340" w:lineRule="auto"/>
      </w:pPr>
      <w:r>
        <w:rPr>
          <w:color w:val="000000"/>
        </w:rPr>
        <w:t>• الغزالي، أبو حامد. إحياء علوم الدين. بيروت: دار المعرفة، 1982.</w:t>
      </w:r>
    </w:p>
    <w:p w14:paraId="6D3E4D0E" w14:textId="77777777" w:rsidR="00265C2A" w:rsidRDefault="00000000" w:rsidP="00A643F5">
      <w:pPr>
        <w:spacing w:before="80" w:after="120" w:line="340" w:lineRule="auto"/>
      </w:pPr>
      <w:r>
        <w:rPr>
          <w:color w:val="000000"/>
        </w:rPr>
        <w:t>• ابن القيم الجوزية. مدارج السالكين بين منازل إياك نعبد وإياك نستعين. بيروت: دار الكتاب العربي، 1983.</w:t>
      </w:r>
    </w:p>
    <w:p w14:paraId="0A1F0D59" w14:textId="77777777" w:rsidR="00265C2A" w:rsidRDefault="00000000" w:rsidP="00A643F5">
      <w:pPr>
        <w:spacing w:before="80" w:after="120" w:line="340" w:lineRule="auto"/>
      </w:pPr>
      <w:r>
        <w:rPr>
          <w:color w:val="000000"/>
        </w:rPr>
        <w:t>• المحاسبي، الحارث. الرعاية لحقوق الله. تحقيق: مارغريت سميث. لندن: 1940.</w:t>
      </w:r>
    </w:p>
    <w:p w14:paraId="644FBB2A" w14:textId="77777777" w:rsidR="00265C2A" w:rsidRDefault="00000000" w:rsidP="00A643F5">
      <w:pPr>
        <w:spacing w:before="80" w:after="120" w:line="340" w:lineRule="auto"/>
      </w:pPr>
      <w:r>
        <w:rPr>
          <w:color w:val="000000"/>
        </w:rPr>
        <w:t>• ابن خلدون، عبد الرحمن. المقدمة. تحقيق: علي عبد الواحد وافي. القاهرة: دار نهضة مصر، 1981.</w:t>
      </w:r>
    </w:p>
    <w:p w14:paraId="61CC1E10" w14:textId="77777777" w:rsidR="00265C2A" w:rsidRDefault="00000000" w:rsidP="00A643F5">
      <w:pPr>
        <w:pStyle w:val="3"/>
        <w:jc w:val="left"/>
      </w:pPr>
      <w:r>
        <w:t>ثالثاً: المصادر الغربية</w:t>
      </w:r>
    </w:p>
    <w:p w14:paraId="6EAA238D" w14:textId="77777777" w:rsidR="00265C2A" w:rsidRDefault="00000000" w:rsidP="00A643F5">
      <w:pPr>
        <w:spacing w:before="80" w:after="120" w:line="340" w:lineRule="auto"/>
        <w:jc w:val="right"/>
      </w:pPr>
      <w:r>
        <w:rPr>
          <w:color w:val="000000"/>
        </w:rPr>
        <w:t>• Frankl, Viktor. Man's Search for Meaning. Boston: Beacon Press, 1959.</w:t>
      </w:r>
    </w:p>
    <w:p w14:paraId="1022CCF7" w14:textId="77777777" w:rsidR="00265C2A" w:rsidRDefault="00000000" w:rsidP="00A643F5">
      <w:pPr>
        <w:spacing w:before="80" w:after="120" w:line="340" w:lineRule="auto"/>
        <w:jc w:val="right"/>
      </w:pPr>
      <w:r>
        <w:rPr>
          <w:color w:val="000000"/>
        </w:rPr>
        <w:t>• Habermas, Jürgen. The Theory of Communicative Action. Boston: Beacon Press, 1984.</w:t>
      </w:r>
    </w:p>
    <w:p w14:paraId="221DD30F" w14:textId="77777777" w:rsidR="00265C2A" w:rsidRDefault="00000000" w:rsidP="00A643F5">
      <w:pPr>
        <w:spacing w:before="80" w:after="120" w:line="340" w:lineRule="auto"/>
        <w:jc w:val="right"/>
      </w:pPr>
      <w:r>
        <w:rPr>
          <w:color w:val="000000"/>
        </w:rPr>
        <w:t>• Lacan, Jacques. Écrits: A Selection. Translated by Alan Sheridan. New York: Norton, 1977.</w:t>
      </w:r>
    </w:p>
    <w:p w14:paraId="6D36AA2F" w14:textId="77777777" w:rsidR="00265C2A" w:rsidRDefault="00000000" w:rsidP="00A643F5">
      <w:pPr>
        <w:spacing w:before="80" w:after="120" w:line="340" w:lineRule="auto"/>
        <w:jc w:val="right"/>
      </w:pPr>
      <w:r>
        <w:rPr>
          <w:color w:val="000000"/>
        </w:rPr>
        <w:t>• LeDoux, Joseph. The Emotional Brain. New York: Simon &amp; Schuster, 1996.</w:t>
      </w:r>
    </w:p>
    <w:p w14:paraId="652BAEB4" w14:textId="77777777" w:rsidR="00265C2A" w:rsidRDefault="00000000" w:rsidP="00A643F5">
      <w:pPr>
        <w:spacing w:before="80" w:after="120" w:line="340" w:lineRule="auto"/>
        <w:jc w:val="right"/>
      </w:pPr>
      <w:r>
        <w:rPr>
          <w:color w:val="000000"/>
        </w:rPr>
        <w:t>• Maslow, Abraham. Toward a Psychology of Being. New York: Van Nostrand, 1962.</w:t>
      </w:r>
    </w:p>
    <w:p w14:paraId="57DA234E" w14:textId="77777777" w:rsidR="00265C2A" w:rsidRDefault="00000000" w:rsidP="00A643F5">
      <w:pPr>
        <w:spacing w:before="80" w:after="120" w:line="340" w:lineRule="auto"/>
        <w:jc w:val="right"/>
      </w:pPr>
      <w:r>
        <w:rPr>
          <w:color w:val="000000"/>
        </w:rPr>
        <w:t>• Rizzuto, Ana-Maria. The Birth of the Living God: A Psychoanalytic Study. Chicago: University of Chicago Press, 1979.</w:t>
      </w:r>
    </w:p>
    <w:p w14:paraId="66894119" w14:textId="77777777" w:rsidR="00265C2A" w:rsidRDefault="00000000" w:rsidP="00A643F5">
      <w:pPr>
        <w:spacing w:before="80" w:after="120" w:line="340" w:lineRule="auto"/>
        <w:jc w:val="right"/>
      </w:pPr>
      <w:r>
        <w:rPr>
          <w:color w:val="000000"/>
        </w:rPr>
        <w:t>• Yalom, Irvin D. Existential Psychotherapy. New York: Basic Books, 1980.</w:t>
      </w:r>
    </w:p>
    <w:p w14:paraId="3A934D26" w14:textId="77777777" w:rsidR="00265C2A" w:rsidRDefault="00000000" w:rsidP="00A643F5">
      <w:pPr>
        <w:spacing w:before="80" w:after="120" w:line="340" w:lineRule="auto"/>
        <w:jc w:val="right"/>
      </w:pPr>
      <w:r>
        <w:rPr>
          <w:color w:val="000000"/>
        </w:rPr>
        <w:t>• Bourdieu, Pierre. The Logic of Practice. Stanford: Stanford University Press, 1990.</w:t>
      </w:r>
    </w:p>
    <w:p w14:paraId="40038851" w14:textId="77777777" w:rsidR="00265C2A" w:rsidRDefault="00000000" w:rsidP="00A643F5">
      <w:pPr>
        <w:spacing w:before="80" w:after="120" w:line="340" w:lineRule="auto"/>
        <w:jc w:val="right"/>
      </w:pPr>
      <w:r>
        <w:rPr>
          <w:color w:val="000000"/>
        </w:rPr>
        <w:t>• Foucault, Michel. The Hermeneutics of the Subject. Translated by Graham Burchell. New York: Picador, 2005.</w:t>
      </w:r>
    </w:p>
    <w:sectPr w:rsidR="00265C2A">
      <w:headerReference w:type="default" r:id="rId7"/>
      <w:footerReference w:type="default" r:id="rId8"/>
      <w:pgSz w:w="11906" w:h="16838"/>
      <w:pgMar w:top="1440" w:right="1701" w:bottom="1440"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44FE5" w14:textId="77777777" w:rsidR="004C31A9" w:rsidRDefault="004C31A9">
      <w:r>
        <w:separator/>
      </w:r>
    </w:p>
  </w:endnote>
  <w:endnote w:type="continuationSeparator" w:id="0">
    <w:p w14:paraId="440F04D1" w14:textId="77777777" w:rsidR="004C31A9" w:rsidRDefault="004C3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85538" w14:textId="77777777" w:rsidR="00265C2A" w:rsidRDefault="00000000">
    <w:pPr>
      <w:pBdr>
        <w:top w:val="single" w:sz="6" w:space="4" w:color="9A7B1A"/>
      </w:pBdr>
      <w:spacing w:before="100"/>
      <w:jc w:val="right"/>
    </w:pPr>
    <w:r>
      <w:rPr>
        <w:color w:val="0D1B33"/>
        <w:sz w:val="20"/>
        <w:szCs w:val="20"/>
      </w:rPr>
      <w:t xml:space="preserve">الصفحة </w:t>
    </w:r>
    <w:r>
      <w:rPr>
        <w:b/>
        <w:bCs/>
        <w:color w:val="0D1B33"/>
        <w:sz w:val="20"/>
        <w:szCs w:val="20"/>
      </w:rPr>
      <w:fldChar w:fldCharType="begin"/>
    </w:r>
    <w:r>
      <w:rPr>
        <w:b/>
        <w:bCs/>
        <w:color w:val="0D1B33"/>
        <w:sz w:val="20"/>
        <w:szCs w:val="20"/>
      </w:rPr>
      <w:instrText>PAGE</w:instrText>
    </w:r>
    <w:r>
      <w:rPr>
        <w:b/>
        <w:bCs/>
        <w:color w:val="0D1B33"/>
        <w:sz w:val="20"/>
        <w:szCs w:val="20"/>
      </w:rPr>
      <w:fldChar w:fldCharType="separate"/>
    </w:r>
    <w:r>
      <w:rPr>
        <w:b/>
        <w:bCs/>
        <w:color w:val="0D1B33"/>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8A3B5" w14:textId="77777777" w:rsidR="004C31A9" w:rsidRDefault="004C31A9">
      <w:r>
        <w:separator/>
      </w:r>
    </w:p>
  </w:footnote>
  <w:footnote w:type="continuationSeparator" w:id="0">
    <w:p w14:paraId="5A31CAD0" w14:textId="77777777" w:rsidR="004C31A9" w:rsidRDefault="004C31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E1AF8" w14:textId="77777777" w:rsidR="00265C2A" w:rsidRDefault="00000000">
    <w:pPr>
      <w:pBdr>
        <w:bottom w:val="single" w:sz="6" w:space="4" w:color="9A7B1A"/>
      </w:pBdr>
      <w:spacing w:after="100"/>
      <w:jc w:val="right"/>
    </w:pPr>
    <w:r>
      <w:rPr>
        <w:color w:val="1A3A6B"/>
        <w:sz w:val="20"/>
        <w:szCs w:val="20"/>
      </w:rPr>
      <w:t>لقاء الاستخلافَين: من السياسي إلى النفسي</w:t>
    </w:r>
    <w:r>
      <w:rPr>
        <w:sz w:val="20"/>
        <w:szCs w:val="20"/>
      </w:rPr>
      <w:tab/>
    </w:r>
    <w:r>
      <w:rPr>
        <w:i/>
        <w:iCs/>
        <w:color w:val="0A5E5E"/>
        <w:sz w:val="20"/>
        <w:szCs w:val="20"/>
      </w:rPr>
      <w:t>دراسة مقارنة بين خيري والزراع</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9A1478"/>
    <w:multiLevelType w:val="hybridMultilevel"/>
    <w:tmpl w:val="FFFFFFFF"/>
    <w:lvl w:ilvl="0" w:tplc="CB40DA10">
      <w:start w:val="1"/>
      <w:numFmt w:val="bullet"/>
      <w:lvlText w:val="●"/>
      <w:lvlJc w:val="left"/>
      <w:pPr>
        <w:ind w:left="720" w:hanging="360"/>
      </w:pPr>
    </w:lvl>
    <w:lvl w:ilvl="1" w:tplc="5B347654">
      <w:start w:val="1"/>
      <w:numFmt w:val="bullet"/>
      <w:lvlText w:val="○"/>
      <w:lvlJc w:val="left"/>
      <w:pPr>
        <w:ind w:left="1440" w:hanging="360"/>
      </w:pPr>
    </w:lvl>
    <w:lvl w:ilvl="2" w:tplc="05946EB4">
      <w:start w:val="1"/>
      <w:numFmt w:val="bullet"/>
      <w:lvlText w:val="■"/>
      <w:lvlJc w:val="left"/>
      <w:pPr>
        <w:ind w:left="2160" w:hanging="360"/>
      </w:pPr>
    </w:lvl>
    <w:lvl w:ilvl="3" w:tplc="7F80C490">
      <w:start w:val="1"/>
      <w:numFmt w:val="bullet"/>
      <w:lvlText w:val="●"/>
      <w:lvlJc w:val="left"/>
      <w:pPr>
        <w:ind w:left="2880" w:hanging="360"/>
      </w:pPr>
    </w:lvl>
    <w:lvl w:ilvl="4" w:tplc="729428A2">
      <w:start w:val="1"/>
      <w:numFmt w:val="bullet"/>
      <w:lvlText w:val="○"/>
      <w:lvlJc w:val="left"/>
      <w:pPr>
        <w:ind w:left="3600" w:hanging="360"/>
      </w:pPr>
    </w:lvl>
    <w:lvl w:ilvl="5" w:tplc="51689170">
      <w:start w:val="1"/>
      <w:numFmt w:val="bullet"/>
      <w:lvlText w:val="■"/>
      <w:lvlJc w:val="left"/>
      <w:pPr>
        <w:ind w:left="4320" w:hanging="360"/>
      </w:pPr>
    </w:lvl>
    <w:lvl w:ilvl="6" w:tplc="FAD8CA7C">
      <w:start w:val="1"/>
      <w:numFmt w:val="bullet"/>
      <w:lvlText w:val="●"/>
      <w:lvlJc w:val="left"/>
      <w:pPr>
        <w:ind w:left="5040" w:hanging="360"/>
      </w:pPr>
    </w:lvl>
    <w:lvl w:ilvl="7" w:tplc="B4D26D0C">
      <w:start w:val="1"/>
      <w:numFmt w:val="bullet"/>
      <w:lvlText w:val="●"/>
      <w:lvlJc w:val="left"/>
      <w:pPr>
        <w:ind w:left="5760" w:hanging="360"/>
      </w:pPr>
    </w:lvl>
    <w:lvl w:ilvl="8" w:tplc="BD1ED372">
      <w:start w:val="1"/>
      <w:numFmt w:val="bullet"/>
      <w:lvlText w:val="●"/>
      <w:lvlJc w:val="left"/>
      <w:pPr>
        <w:ind w:left="6480" w:hanging="360"/>
      </w:pPr>
    </w:lvl>
  </w:abstractNum>
  <w:num w:numId="1" w16cid:durableId="151291121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C2A"/>
    <w:rsid w:val="00265C2A"/>
    <w:rsid w:val="004C31A9"/>
    <w:rsid w:val="00997D12"/>
    <w:rsid w:val="00A643F5"/>
    <w:rsid w:val="00D9737A"/>
    <w:rsid w:val="00FF6F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0F885162"/>
  <w15:docId w15:val="{7D557035-59B1-DF41-8C08-ED1B3E933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color w:val="1A1A1A"/>
        <w:sz w:val="26"/>
        <w:szCs w:val="26"/>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bidi/>
      <w:spacing w:before="480" w:after="240"/>
      <w:jc w:val="right"/>
      <w:outlineLvl w:val="0"/>
    </w:pPr>
    <w:rPr>
      <w:b/>
      <w:bCs/>
      <w:color w:val="0D1B33"/>
      <w:sz w:val="40"/>
      <w:szCs w:val="40"/>
    </w:rPr>
  </w:style>
  <w:style w:type="paragraph" w:styleId="2">
    <w:name w:val="heading 2"/>
    <w:uiPriority w:val="9"/>
    <w:unhideWhenUsed/>
    <w:qFormat/>
    <w:pPr>
      <w:bidi/>
      <w:spacing w:before="360" w:after="180"/>
      <w:jc w:val="right"/>
      <w:outlineLvl w:val="1"/>
    </w:pPr>
    <w:rPr>
      <w:b/>
      <w:bCs/>
      <w:color w:val="1A3A6B"/>
      <w:sz w:val="34"/>
      <w:szCs w:val="34"/>
    </w:rPr>
  </w:style>
  <w:style w:type="paragraph" w:styleId="3">
    <w:name w:val="heading 3"/>
    <w:uiPriority w:val="9"/>
    <w:unhideWhenUsed/>
    <w:qFormat/>
    <w:pPr>
      <w:bidi/>
      <w:spacing w:before="240" w:after="120"/>
      <w:jc w:val="right"/>
      <w:outlineLvl w:val="2"/>
    </w:pPr>
    <w:rPr>
      <w:b/>
      <w:bCs/>
      <w:color w:val="0A5E5E"/>
      <w:sz w:val="30"/>
      <w:szCs w:val="30"/>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3724</Words>
  <Characters>21232</Characters>
  <Application>Microsoft Office Word</Application>
  <DocSecurity>0</DocSecurity>
  <Lines>176</Lines>
  <Paragraphs>49</Paragraphs>
  <ScaleCrop>false</ScaleCrop>
  <Company/>
  <LinksUpToDate>false</LinksUpToDate>
  <CharactersWithSpaces>24907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4</cp:revision>
  <dcterms:created xsi:type="dcterms:W3CDTF">2026-06-09T03:45:00Z</dcterms:created>
  <dcterms:modified xsi:type="dcterms:W3CDTF">2026-06-09T03:48:00Z</dcterms:modified>
</cp:coreProperties>
</file>