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3B978" w14:textId="77777777" w:rsidR="0022600C" w:rsidRDefault="00000000" w:rsidP="002323B4">
      <w:pPr>
        <w:spacing w:before="200" w:after="80"/>
        <w:jc w:val="center"/>
      </w:pPr>
      <w:r>
        <w:rPr>
          <w:rFonts w:hint="cs"/>
          <w:b/>
          <w:bCs/>
          <w:color w:val="4A235A"/>
          <w:sz w:val="52"/>
          <w:szCs w:val="52"/>
        </w:rPr>
        <w:t>⚰</w:t>
      </w:r>
      <w:r>
        <w:rPr>
          <w:b/>
          <w:bCs/>
          <w:color w:val="4A235A"/>
          <w:sz w:val="52"/>
          <w:szCs w:val="52"/>
        </w:rPr>
        <w:t>️ الوكالة الجنائزية</w:t>
      </w:r>
    </w:p>
    <w:p w14:paraId="236EFFA5" w14:textId="71D0B760" w:rsidR="0022600C" w:rsidRDefault="0022600C">
      <w:pPr>
        <w:spacing w:after="80"/>
        <w:jc w:val="center"/>
      </w:pPr>
    </w:p>
    <w:p w14:paraId="7452289E" w14:textId="77777777" w:rsidR="0022600C" w:rsidRDefault="00000000">
      <w:pPr>
        <w:pBdr>
          <w:bottom w:val="single" w:sz="8" w:space="4" w:color="4A235A"/>
        </w:pBdr>
        <w:spacing w:after="320"/>
        <w:jc w:val="center"/>
      </w:pPr>
      <w:r>
        <w:rPr>
          <w:color w:val="555555"/>
          <w:sz w:val="24"/>
          <w:szCs w:val="24"/>
        </w:rPr>
        <w:t>تفكيك مفهومي في دراسة عبد السلام الزراع</w:t>
      </w:r>
    </w:p>
    <w:p w14:paraId="0EED20C6" w14:textId="77777777" w:rsidR="0022600C" w:rsidRDefault="0022600C"/>
    <w:p w14:paraId="3A0F0AA5" w14:textId="77777777" w:rsidR="0022600C" w:rsidRDefault="00000000" w:rsidP="000D08EE">
      <w:pPr>
        <w:pStyle w:val="1"/>
        <w:jc w:val="center"/>
      </w:pPr>
      <w:r>
        <w:t>أولاً: تعريف المصطلح</w:t>
      </w:r>
    </w:p>
    <w:p w14:paraId="6E18370D" w14:textId="77777777" w:rsidR="0022600C" w:rsidRDefault="00000000" w:rsidP="00AE63F1">
      <w:pPr>
        <w:spacing w:before="120" w:after="120"/>
      </w:pPr>
      <w:r>
        <w:t>الوكالة الجنائزية هي قدرة الفرد على ممارسة الفعل الحر والإرادة المستقلة في مواجهة الموت نفسه، وتحويل هذا الموت من مجرد «حدث بيولوجي سلبي» إلى «بيان ثقافي وسياسي إرادي».</w:t>
      </w:r>
    </w:p>
    <w:p w14:paraId="3204E921" w14:textId="77777777" w:rsidR="0022600C" w:rsidRDefault="00000000" w:rsidP="00AE63F1">
      <w:pPr>
        <w:spacing w:before="120" w:after="120"/>
      </w:pPr>
      <w:r>
        <w:t>في سياق دراسة الزراع، تعني الوكالة الجنائزية أن الشاب الذي يقود دراجته بعجلة واحدة بسرعة جنونية وسط حركة المرور لا ينتظر الموت، ولا يبحث عنه بالضرورة، بل هو يستدعيه إلى حضرته ليتفاوض معه. إنه يضع جسده في منطقة الخطر القصوى ليعلن قدرته على «اختيار» كيفية وجوده في العالم، حتى لو كان الخيار الوحيد المتاح هو اختيار كيفية المخاطرة بفقدان هذا الوجود.</w:t>
      </w:r>
    </w:p>
    <w:p w14:paraId="01707720" w14:textId="77777777" w:rsidR="0022600C" w:rsidRDefault="0022600C" w:rsidP="00AE63F1"/>
    <w:p w14:paraId="5296BBD3" w14:textId="77777777" w:rsidR="0022600C" w:rsidRDefault="00000000" w:rsidP="00AE63F1">
      <w:pPr>
        <w:pStyle w:val="1"/>
      </w:pPr>
      <w:r>
        <w:t>ثانياً: التفكيك الدلالي للمصطلح (</w:t>
      </w:r>
      <w:proofErr w:type="spellStart"/>
      <w:r>
        <w:t>سيميائياً</w:t>
      </w:r>
      <w:proofErr w:type="spellEnd"/>
      <w:r>
        <w:t>)</w:t>
      </w:r>
    </w:p>
    <w:p w14:paraId="7BB06624" w14:textId="77777777" w:rsidR="0022600C" w:rsidRDefault="00000000" w:rsidP="00AE63F1">
      <w:pPr>
        <w:spacing w:before="120" w:after="120"/>
      </w:pPr>
      <w:r>
        <w:t>لفهم عمق المصطلح، يجب فصله إلى عنصرين ثم إعادة تركيبهما:</w:t>
      </w:r>
    </w:p>
    <w:p w14:paraId="394B6C3D" w14:textId="77777777" w:rsidR="0022600C" w:rsidRDefault="0022600C" w:rsidP="00AE63F1"/>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0"/>
        <w:gridCol w:w="3840"/>
        <w:gridCol w:w="3840"/>
      </w:tblGrid>
      <w:tr w:rsidR="0022600C" w14:paraId="238CA013" w14:textId="77777777">
        <w:tblPrEx>
          <w:tblCellMar>
            <w:top w:w="0" w:type="dxa"/>
            <w:bottom w:w="0" w:type="dxa"/>
          </w:tblCellMar>
        </w:tblPrEx>
        <w:tc>
          <w:tcPr>
            <w:tcW w:w="1680" w:type="dxa"/>
            <w:tcBorders>
              <w:top w:val="single" w:sz="1" w:space="0" w:color="4A235A"/>
              <w:left w:val="single" w:sz="1" w:space="0" w:color="4A235A"/>
              <w:bottom w:val="single" w:sz="1" w:space="0" w:color="4A235A"/>
              <w:right w:val="single" w:sz="1" w:space="0" w:color="4A235A"/>
            </w:tcBorders>
            <w:shd w:val="clear" w:color="auto" w:fill="4A235A"/>
            <w:tcMar>
              <w:top w:w="100" w:type="dxa"/>
              <w:left w:w="150" w:type="dxa"/>
              <w:bottom w:w="100" w:type="dxa"/>
              <w:right w:w="150" w:type="dxa"/>
            </w:tcMar>
          </w:tcPr>
          <w:p w14:paraId="1D842F10" w14:textId="77777777" w:rsidR="0022600C" w:rsidRDefault="00000000" w:rsidP="00AE63F1">
            <w:r>
              <w:rPr>
                <w:b/>
                <w:bCs/>
                <w:color w:val="FFFFFF"/>
                <w:sz w:val="20"/>
                <w:szCs w:val="20"/>
              </w:rPr>
              <w:t>المكوّن</w:t>
            </w:r>
          </w:p>
        </w:tc>
        <w:tc>
          <w:tcPr>
            <w:tcW w:w="3840" w:type="dxa"/>
            <w:tcBorders>
              <w:top w:val="single" w:sz="1" w:space="0" w:color="4A235A"/>
              <w:left w:val="single" w:sz="1" w:space="0" w:color="4A235A"/>
              <w:bottom w:val="single" w:sz="1" w:space="0" w:color="4A235A"/>
              <w:right w:val="single" w:sz="1" w:space="0" w:color="4A235A"/>
            </w:tcBorders>
            <w:shd w:val="clear" w:color="auto" w:fill="4A235A"/>
            <w:tcMar>
              <w:top w:w="100" w:type="dxa"/>
              <w:left w:w="150" w:type="dxa"/>
              <w:bottom w:w="100" w:type="dxa"/>
              <w:right w:w="150" w:type="dxa"/>
            </w:tcMar>
          </w:tcPr>
          <w:p w14:paraId="730E368D" w14:textId="77777777" w:rsidR="0022600C" w:rsidRDefault="00000000" w:rsidP="00AE63F1">
            <w:r>
              <w:rPr>
                <w:b/>
                <w:bCs/>
                <w:color w:val="FFFFFF"/>
                <w:sz w:val="20"/>
                <w:szCs w:val="20"/>
              </w:rPr>
              <w:t>الدلالة التقليدية</w:t>
            </w:r>
          </w:p>
        </w:tc>
        <w:tc>
          <w:tcPr>
            <w:tcW w:w="3840" w:type="dxa"/>
            <w:tcBorders>
              <w:top w:val="single" w:sz="1" w:space="0" w:color="4A235A"/>
              <w:left w:val="single" w:sz="1" w:space="0" w:color="4A235A"/>
              <w:bottom w:val="single" w:sz="1" w:space="0" w:color="4A235A"/>
              <w:right w:val="single" w:sz="1" w:space="0" w:color="4A235A"/>
            </w:tcBorders>
            <w:shd w:val="clear" w:color="auto" w:fill="4A235A"/>
            <w:tcMar>
              <w:top w:w="100" w:type="dxa"/>
              <w:left w:w="150" w:type="dxa"/>
              <w:bottom w:w="100" w:type="dxa"/>
              <w:right w:w="150" w:type="dxa"/>
            </w:tcMar>
          </w:tcPr>
          <w:p w14:paraId="034FB2D7" w14:textId="77777777" w:rsidR="0022600C" w:rsidRDefault="00000000" w:rsidP="00AE63F1">
            <w:r>
              <w:rPr>
                <w:b/>
                <w:bCs/>
                <w:color w:val="FFFFFF"/>
                <w:sz w:val="20"/>
                <w:szCs w:val="20"/>
              </w:rPr>
              <w:t>الدلالة في الوكالة الجنائزية</w:t>
            </w:r>
          </w:p>
        </w:tc>
      </w:tr>
      <w:tr w:rsidR="0022600C" w14:paraId="09D02470"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4E5B4B2" w14:textId="27D25EC6" w:rsidR="0022600C" w:rsidRDefault="00000000" w:rsidP="00AE63F1">
            <w:r>
              <w:rPr>
                <w:sz w:val="18"/>
                <w:szCs w:val="18"/>
              </w:rPr>
              <w:t>الوكالة ()</w:t>
            </w:r>
          </w:p>
        </w:tc>
        <w:tc>
          <w:tcPr>
            <w:tcW w:w="38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B51FF8E" w14:textId="77777777" w:rsidR="0022600C" w:rsidRDefault="00000000" w:rsidP="00AE63F1">
            <w:r>
              <w:rPr>
                <w:sz w:val="18"/>
                <w:szCs w:val="18"/>
              </w:rPr>
              <w:t>قدرة الفرد على التصرف بحرية وإحداث تغيير في واقعه الاجتماعي رغم ضغوط البنى (الطبقة، الدولة، السوق).</w:t>
            </w:r>
          </w:p>
        </w:tc>
        <w:tc>
          <w:tcPr>
            <w:tcW w:w="38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3C5E431" w14:textId="77777777" w:rsidR="0022600C" w:rsidRDefault="00000000" w:rsidP="00AE63F1">
            <w:r>
              <w:rPr>
                <w:sz w:val="18"/>
                <w:szCs w:val="18"/>
              </w:rPr>
              <w:t>الوكالة المنقوصة: الشاب فاقد للوكالة الاقتصادية والاجتماعية. الوكالة الوحيدة التي لا تستطيع الدولة انتزاعها هي وكالة الجسد — فيمارسها بأقصى درجاتها.</w:t>
            </w:r>
          </w:p>
        </w:tc>
      </w:tr>
      <w:tr w:rsidR="0022600C" w14:paraId="6027AA3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shd w:val="clear" w:color="auto" w:fill="F5EEF8"/>
            <w:tcMar>
              <w:top w:w="80" w:type="dxa"/>
              <w:left w:w="150" w:type="dxa"/>
              <w:bottom w:w="80" w:type="dxa"/>
              <w:right w:w="150" w:type="dxa"/>
            </w:tcMar>
          </w:tcPr>
          <w:p w14:paraId="1112A11A" w14:textId="24899CD2" w:rsidR="0022600C" w:rsidRDefault="00000000" w:rsidP="00AE63F1">
            <w:r>
              <w:rPr>
                <w:sz w:val="18"/>
                <w:szCs w:val="18"/>
              </w:rPr>
              <w:t>الجنائزية ()</w:t>
            </w:r>
          </w:p>
        </w:tc>
        <w:tc>
          <w:tcPr>
            <w:tcW w:w="3840" w:type="dxa"/>
            <w:tcBorders>
              <w:top w:val="single" w:sz="1" w:space="0" w:color="CCCCCC"/>
              <w:left w:val="single" w:sz="1" w:space="0" w:color="CCCCCC"/>
              <w:bottom w:val="single" w:sz="1" w:space="0" w:color="CCCCCC"/>
              <w:right w:val="single" w:sz="1" w:space="0" w:color="CCCCCC"/>
            </w:tcBorders>
            <w:shd w:val="clear" w:color="auto" w:fill="F5EEF8"/>
            <w:tcMar>
              <w:top w:w="80" w:type="dxa"/>
              <w:left w:w="150" w:type="dxa"/>
              <w:bottom w:w="80" w:type="dxa"/>
              <w:right w:w="150" w:type="dxa"/>
            </w:tcMar>
          </w:tcPr>
          <w:p w14:paraId="12BB0FB5" w14:textId="77777777" w:rsidR="0022600C" w:rsidRDefault="00000000" w:rsidP="00AE63F1">
            <w:r>
              <w:rPr>
                <w:sz w:val="18"/>
                <w:szCs w:val="18"/>
              </w:rPr>
              <w:t>تشير إلى طقوس الموت والدفن والعزاء. هي لحظة نهاية الفعل وسلب الفاعلية.</w:t>
            </w:r>
          </w:p>
        </w:tc>
        <w:tc>
          <w:tcPr>
            <w:tcW w:w="3840" w:type="dxa"/>
            <w:tcBorders>
              <w:top w:val="single" w:sz="1" w:space="0" w:color="CCCCCC"/>
              <w:left w:val="single" w:sz="1" w:space="0" w:color="CCCCCC"/>
              <w:bottom w:val="single" w:sz="1" w:space="0" w:color="CCCCCC"/>
              <w:right w:val="single" w:sz="1" w:space="0" w:color="CCCCCC"/>
            </w:tcBorders>
            <w:shd w:val="clear" w:color="auto" w:fill="F5EEF8"/>
            <w:tcMar>
              <w:top w:w="80" w:type="dxa"/>
              <w:left w:w="150" w:type="dxa"/>
              <w:bottom w:w="80" w:type="dxa"/>
              <w:right w:w="150" w:type="dxa"/>
            </w:tcMar>
          </w:tcPr>
          <w:p w14:paraId="2D563B24" w14:textId="77777777" w:rsidR="0022600C" w:rsidRDefault="00000000" w:rsidP="00AE63F1">
            <w:r>
              <w:rPr>
                <w:sz w:val="18"/>
                <w:szCs w:val="18"/>
              </w:rPr>
              <w:t>عكس المعنى تماماً: بداية الفعل. الجنازة ليست حدثاً مستقبلياً، بل إطار أداء حاضر. الشاب يُقيم جنازة رمزية لرجولته المفقودة، لكنه يُبعث بطلاً في نظر رفاقه.</w:t>
            </w:r>
          </w:p>
        </w:tc>
      </w:tr>
    </w:tbl>
    <w:p w14:paraId="6CBB0861" w14:textId="77777777" w:rsidR="0022600C" w:rsidRDefault="0022600C" w:rsidP="00AE63F1"/>
    <w:p w14:paraId="5E3D54BE" w14:textId="77777777" w:rsidR="0022600C" w:rsidRDefault="00000000" w:rsidP="00AE63F1">
      <w:pPr>
        <w:pStyle w:val="1"/>
      </w:pPr>
      <w:r>
        <w:t>ثالثاً: لماذا ليس هذا «رغبة في الموت»؟</w:t>
      </w:r>
    </w:p>
    <w:p w14:paraId="71E8DF40" w14:textId="77777777" w:rsidR="0022600C" w:rsidRDefault="00000000" w:rsidP="00AE63F1">
      <w:pPr>
        <w:spacing w:before="120" w:after="120"/>
      </w:pPr>
      <w:r>
        <w:t>هذا هو المفتاح الأساسي لفهم عبقرية مصطلح الزراع. التفسير النفسي الشعبي يرى في هذه الممارسات «ميولاً انتحارية» أو «تهوراً مرضياً». الزراع يرفض هذا الاختزال عبر مصطلح الوكالة الجنائزية:</w:t>
      </w:r>
    </w:p>
    <w:p w14:paraId="0DC99F7A" w14:textId="77777777" w:rsidR="0022600C" w:rsidRDefault="0022600C" w:rsidP="00AE63F1"/>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3510"/>
        <w:gridCol w:w="3510"/>
      </w:tblGrid>
      <w:tr w:rsidR="0022600C" w14:paraId="23A87120" w14:textId="77777777">
        <w:tblPrEx>
          <w:tblCellMar>
            <w:top w:w="0" w:type="dxa"/>
            <w:bottom w:w="0" w:type="dxa"/>
          </w:tblCellMar>
        </w:tblPrEx>
        <w:tc>
          <w:tcPr>
            <w:tcW w:w="2340" w:type="dxa"/>
            <w:tcBorders>
              <w:top w:val="single" w:sz="1" w:space="0" w:color="4A235A"/>
              <w:left w:val="single" w:sz="1" w:space="0" w:color="4A235A"/>
              <w:bottom w:val="single" w:sz="1" w:space="0" w:color="4A235A"/>
              <w:right w:val="single" w:sz="1" w:space="0" w:color="4A235A"/>
            </w:tcBorders>
            <w:shd w:val="clear" w:color="auto" w:fill="1A5276"/>
            <w:tcMar>
              <w:top w:w="100" w:type="dxa"/>
              <w:left w:w="150" w:type="dxa"/>
              <w:bottom w:w="100" w:type="dxa"/>
              <w:right w:w="150" w:type="dxa"/>
            </w:tcMar>
          </w:tcPr>
          <w:p w14:paraId="0AF7BD27" w14:textId="77777777" w:rsidR="0022600C" w:rsidRDefault="00000000" w:rsidP="00AE63F1">
            <w:r>
              <w:rPr>
                <w:b/>
                <w:bCs/>
                <w:color w:val="FFFFFF"/>
                <w:sz w:val="20"/>
                <w:szCs w:val="20"/>
              </w:rPr>
              <w:t>المفهوم</w:t>
            </w:r>
          </w:p>
        </w:tc>
        <w:tc>
          <w:tcPr>
            <w:tcW w:w="3510" w:type="dxa"/>
            <w:tcBorders>
              <w:top w:val="single" w:sz="1" w:space="0" w:color="4A235A"/>
              <w:left w:val="single" w:sz="1" w:space="0" w:color="4A235A"/>
              <w:bottom w:val="single" w:sz="1" w:space="0" w:color="4A235A"/>
              <w:right w:val="single" w:sz="1" w:space="0" w:color="4A235A"/>
            </w:tcBorders>
            <w:shd w:val="clear" w:color="auto" w:fill="1A5276"/>
            <w:tcMar>
              <w:top w:w="100" w:type="dxa"/>
              <w:left w:w="150" w:type="dxa"/>
              <w:bottom w:w="100" w:type="dxa"/>
              <w:right w:w="150" w:type="dxa"/>
            </w:tcMar>
          </w:tcPr>
          <w:p w14:paraId="5D202CA0" w14:textId="77777777" w:rsidR="0022600C" w:rsidRDefault="00000000" w:rsidP="00AE63F1">
            <w:r>
              <w:rPr>
                <w:b/>
                <w:bCs/>
                <w:color w:val="FFFFFF"/>
                <w:sz w:val="20"/>
                <w:szCs w:val="20"/>
              </w:rPr>
              <w:t>الرغبة في الموت (</w:t>
            </w:r>
            <w:proofErr w:type="spellStart"/>
            <w:r>
              <w:rPr>
                <w:b/>
                <w:bCs/>
                <w:color w:val="FFFFFF"/>
                <w:sz w:val="20"/>
                <w:szCs w:val="20"/>
              </w:rPr>
              <w:t>Thanatos</w:t>
            </w:r>
            <w:proofErr w:type="spellEnd"/>
            <w:r>
              <w:rPr>
                <w:b/>
                <w:bCs/>
                <w:color w:val="FFFFFF"/>
                <w:sz w:val="20"/>
                <w:szCs w:val="20"/>
              </w:rPr>
              <w:t>)</w:t>
            </w:r>
          </w:p>
        </w:tc>
        <w:tc>
          <w:tcPr>
            <w:tcW w:w="3510" w:type="dxa"/>
            <w:tcBorders>
              <w:top w:val="single" w:sz="1" w:space="0" w:color="4A235A"/>
              <w:left w:val="single" w:sz="1" w:space="0" w:color="4A235A"/>
              <w:bottom w:val="single" w:sz="1" w:space="0" w:color="4A235A"/>
              <w:right w:val="single" w:sz="1" w:space="0" w:color="4A235A"/>
            </w:tcBorders>
            <w:shd w:val="clear" w:color="auto" w:fill="1A5276"/>
            <w:tcMar>
              <w:top w:w="100" w:type="dxa"/>
              <w:left w:w="150" w:type="dxa"/>
              <w:bottom w:w="100" w:type="dxa"/>
              <w:right w:w="150" w:type="dxa"/>
            </w:tcMar>
          </w:tcPr>
          <w:p w14:paraId="365CDD74" w14:textId="77777777" w:rsidR="0022600C" w:rsidRDefault="00000000" w:rsidP="00AE63F1">
            <w:r>
              <w:rPr>
                <w:b/>
                <w:bCs/>
                <w:color w:val="FFFFFF"/>
                <w:sz w:val="20"/>
                <w:szCs w:val="20"/>
              </w:rPr>
              <w:t>الوكالة الجنائزية (</w:t>
            </w:r>
            <w:proofErr w:type="spellStart"/>
            <w:r>
              <w:rPr>
                <w:b/>
                <w:bCs/>
                <w:color w:val="FFFFFF"/>
                <w:sz w:val="20"/>
                <w:szCs w:val="20"/>
              </w:rPr>
              <w:t>Funerary</w:t>
            </w:r>
            <w:proofErr w:type="spellEnd"/>
            <w:r>
              <w:rPr>
                <w:b/>
                <w:bCs/>
                <w:color w:val="FFFFFF"/>
                <w:sz w:val="20"/>
                <w:szCs w:val="20"/>
              </w:rPr>
              <w:t xml:space="preserve"> </w:t>
            </w:r>
            <w:proofErr w:type="spellStart"/>
            <w:r>
              <w:rPr>
                <w:b/>
                <w:bCs/>
                <w:color w:val="FFFFFF"/>
                <w:sz w:val="20"/>
                <w:szCs w:val="20"/>
              </w:rPr>
              <w:t>Agency</w:t>
            </w:r>
            <w:proofErr w:type="spellEnd"/>
            <w:r>
              <w:rPr>
                <w:b/>
                <w:bCs/>
                <w:color w:val="FFFFFF"/>
                <w:sz w:val="20"/>
                <w:szCs w:val="20"/>
              </w:rPr>
              <w:t>)</w:t>
            </w:r>
          </w:p>
        </w:tc>
      </w:tr>
      <w:tr w:rsidR="0022600C" w14:paraId="52CAEBD5"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008A521" w14:textId="77777777" w:rsidR="0022600C" w:rsidRDefault="00000000" w:rsidP="00AE63F1">
            <w:r>
              <w:rPr>
                <w:sz w:val="18"/>
                <w:szCs w:val="18"/>
              </w:rPr>
              <w:t>الهدف النهائي</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6B3A7EC" w14:textId="77777777" w:rsidR="0022600C" w:rsidRDefault="00000000" w:rsidP="00AE63F1">
            <w:r>
              <w:rPr>
                <w:sz w:val="18"/>
                <w:szCs w:val="18"/>
              </w:rPr>
              <w:t xml:space="preserve">الانتهاء والفناء. البحث عن </w:t>
            </w:r>
            <w:proofErr w:type="spellStart"/>
            <w:r>
              <w:rPr>
                <w:sz w:val="18"/>
                <w:szCs w:val="18"/>
              </w:rPr>
              <w:t>اللاشيء</w:t>
            </w:r>
            <w:proofErr w:type="spellEnd"/>
            <w:r>
              <w:rPr>
                <w:sz w:val="18"/>
                <w:szCs w:val="18"/>
              </w:rPr>
              <w:t>.</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53DE6C5" w14:textId="77777777" w:rsidR="0022600C" w:rsidRDefault="00000000" w:rsidP="00AE63F1">
            <w:r>
              <w:rPr>
                <w:sz w:val="18"/>
                <w:szCs w:val="18"/>
              </w:rPr>
              <w:t>الوجود والاعتراف. البحث عن «حياة مكثفة» ومرئية.</w:t>
            </w:r>
          </w:p>
        </w:tc>
      </w:tr>
      <w:tr w:rsidR="0022600C" w14:paraId="73534DDA"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4DC6232B" w14:textId="77777777" w:rsidR="0022600C" w:rsidRDefault="00000000" w:rsidP="00AE63F1">
            <w:r>
              <w:rPr>
                <w:sz w:val="18"/>
                <w:szCs w:val="18"/>
              </w:rPr>
              <w:t>نوع الفعل</w:t>
            </w:r>
          </w:p>
        </w:tc>
        <w:tc>
          <w:tcPr>
            <w:tcW w:w="351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45400BD3" w14:textId="77777777" w:rsidR="0022600C" w:rsidRDefault="00000000" w:rsidP="00AE63F1">
            <w:r>
              <w:rPr>
                <w:sz w:val="18"/>
                <w:szCs w:val="18"/>
              </w:rPr>
              <w:t>سلبي، استسلامي، صامت في الغالب.</w:t>
            </w:r>
          </w:p>
        </w:tc>
        <w:tc>
          <w:tcPr>
            <w:tcW w:w="351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45128A60" w14:textId="77777777" w:rsidR="0022600C" w:rsidRDefault="00000000" w:rsidP="00AE63F1">
            <w:r>
              <w:rPr>
                <w:sz w:val="18"/>
                <w:szCs w:val="18"/>
              </w:rPr>
              <w:t>أدائي (</w:t>
            </w:r>
            <w:proofErr w:type="spellStart"/>
            <w:r>
              <w:rPr>
                <w:sz w:val="18"/>
                <w:szCs w:val="18"/>
              </w:rPr>
              <w:t>Performative</w:t>
            </w:r>
            <w:proofErr w:type="spellEnd"/>
            <w:r>
              <w:rPr>
                <w:sz w:val="18"/>
                <w:szCs w:val="18"/>
              </w:rPr>
              <w:t>)، استعراضي، صاخب (صوت المحرك).</w:t>
            </w:r>
          </w:p>
        </w:tc>
      </w:tr>
      <w:tr w:rsidR="0022600C" w14:paraId="47C962F7"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DDEA140" w14:textId="77777777" w:rsidR="0022600C" w:rsidRDefault="00000000" w:rsidP="00AE63F1">
            <w:r>
              <w:rPr>
                <w:sz w:val="18"/>
                <w:szCs w:val="18"/>
              </w:rPr>
              <w:t>الجمهور</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0DCF43C" w14:textId="77777777" w:rsidR="0022600C" w:rsidRDefault="00000000" w:rsidP="00AE63F1">
            <w:r>
              <w:rPr>
                <w:sz w:val="18"/>
                <w:szCs w:val="18"/>
              </w:rPr>
              <w:t>لا جمهور. الموت فردي.</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7926F6B" w14:textId="77777777" w:rsidR="0022600C" w:rsidRDefault="00000000" w:rsidP="00AE63F1">
            <w:r>
              <w:rPr>
                <w:sz w:val="18"/>
                <w:szCs w:val="18"/>
              </w:rPr>
              <w:t>جمهور ضروري (الرفاق، كاميرات الجوال، الشارع). الفعل يحدث ليُرى ويُوثق.</w:t>
            </w:r>
          </w:p>
        </w:tc>
      </w:tr>
      <w:tr w:rsidR="0022600C" w14:paraId="78BDD55B"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13E68AC1" w14:textId="77777777" w:rsidR="0022600C" w:rsidRDefault="00000000" w:rsidP="00AE63F1">
            <w:r>
              <w:rPr>
                <w:sz w:val="18"/>
                <w:szCs w:val="18"/>
              </w:rPr>
              <w:t>المعادلة المجازية</w:t>
            </w:r>
          </w:p>
        </w:tc>
        <w:tc>
          <w:tcPr>
            <w:tcW w:w="351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0E65CC9B" w14:textId="77777777" w:rsidR="0022600C" w:rsidRDefault="00000000" w:rsidP="00AE63F1">
            <w:r>
              <w:rPr>
                <w:sz w:val="18"/>
                <w:szCs w:val="18"/>
              </w:rPr>
              <w:t>«أريد أن أموت.»</w:t>
            </w:r>
          </w:p>
        </w:tc>
        <w:tc>
          <w:tcPr>
            <w:tcW w:w="3510" w:type="dxa"/>
            <w:tcBorders>
              <w:top w:val="single" w:sz="1" w:space="0" w:color="CCCCCC"/>
              <w:left w:val="single" w:sz="1" w:space="0" w:color="CCCCCC"/>
              <w:bottom w:val="single" w:sz="1" w:space="0" w:color="CCCCCC"/>
              <w:right w:val="single" w:sz="1" w:space="0" w:color="CCCCCC"/>
            </w:tcBorders>
            <w:shd w:val="clear" w:color="auto" w:fill="EBF5FB"/>
            <w:tcMar>
              <w:top w:w="80" w:type="dxa"/>
              <w:left w:w="150" w:type="dxa"/>
              <w:bottom w:w="80" w:type="dxa"/>
              <w:right w:w="150" w:type="dxa"/>
            </w:tcMar>
          </w:tcPr>
          <w:p w14:paraId="72671C83" w14:textId="77777777" w:rsidR="0022600C" w:rsidRDefault="00000000" w:rsidP="00AE63F1">
            <w:r>
              <w:rPr>
                <w:sz w:val="18"/>
                <w:szCs w:val="18"/>
              </w:rPr>
              <w:t>«انظروا كيف يمكنني أن أموت... لكني لا أموت الآن. أنا سيد هذه اللحظة.»</w:t>
            </w:r>
          </w:p>
        </w:tc>
      </w:tr>
    </w:tbl>
    <w:p w14:paraId="25AF095C" w14:textId="77777777" w:rsidR="0022600C" w:rsidRDefault="0022600C" w:rsidP="00AE63F1"/>
    <w:p w14:paraId="4706C74B" w14:textId="77777777" w:rsidR="0022600C" w:rsidRDefault="00000000" w:rsidP="00AE63F1">
      <w:pPr>
        <w:pStyle w:val="1"/>
      </w:pPr>
      <w:r>
        <w:t>رابعاً: تجسيد الوكالة الجنائزية في مشهد «التحديق بعجلة واحدة»</w:t>
      </w:r>
    </w:p>
    <w:p w14:paraId="6A185CEA" w14:textId="77777777" w:rsidR="0022600C" w:rsidRDefault="00000000" w:rsidP="00AE63F1">
      <w:pPr>
        <w:spacing w:before="120" w:after="120"/>
      </w:pPr>
      <w:r>
        <w:t>بحسب تحليل الزراع، تتجسد هذه الوكالة عبر ثلاثة مستويات متداخلة في الأداء:</w:t>
      </w:r>
    </w:p>
    <w:p w14:paraId="43B16096" w14:textId="77777777" w:rsidR="0022600C" w:rsidRDefault="0022600C" w:rsidP="00AE63F1"/>
    <w:p w14:paraId="06D343B2" w14:textId="77777777" w:rsidR="0022600C" w:rsidRDefault="00000000" w:rsidP="00AE63F1">
      <w:pPr>
        <w:pStyle w:val="2"/>
      </w:pPr>
      <w:r>
        <w:t>1 — اختيار مكان التحدي: سياسة الفضاء</w:t>
      </w:r>
    </w:p>
    <w:p w14:paraId="71D8B809" w14:textId="77777777" w:rsidR="0022600C" w:rsidRDefault="00000000" w:rsidP="00AE63F1">
      <w:pPr>
        <w:spacing w:before="120" w:after="120"/>
      </w:pPr>
      <w:r>
        <w:t>لا يمارس الشاب هذه الهواية في صحراء أو مكان خالٍ. المكان شرط أساسي: تقاطع مزدحم، شارع رئيسي، أمام نقطة تفتيش أمنية. اختيار الفضاء العام المزدحم هو إعلان أن هذا الموت المحتمل سيكون علنياً ومكشوفاً.</w:t>
      </w:r>
    </w:p>
    <w:p w14:paraId="22193033" w14:textId="77777777" w:rsidR="0022600C" w:rsidRDefault="00000000" w:rsidP="00AE63F1">
      <w:pPr>
        <w:spacing w:before="120" w:after="120"/>
      </w:pPr>
      <w:r>
        <w:t>إنها محاولة لتحويل الفضاء العام من فضاء تخضع فيه للمراقبة، إلى فضاء تُراقِب أنت فيه الآخرين وهم يراقبونك في رهبة.</w:t>
      </w:r>
    </w:p>
    <w:p w14:paraId="3B5AE2D4" w14:textId="77777777" w:rsidR="0022600C" w:rsidRDefault="0022600C" w:rsidP="00AE63F1"/>
    <w:p w14:paraId="28BCB1BD" w14:textId="77777777" w:rsidR="0022600C" w:rsidRDefault="00000000" w:rsidP="00AE63F1">
      <w:pPr>
        <w:pStyle w:val="2"/>
      </w:pPr>
      <w:r>
        <w:t>2 — الجسد غير المحمي: سياسة الجسد</w:t>
      </w:r>
    </w:p>
    <w:p w14:paraId="69FB6784" w14:textId="77777777" w:rsidR="0022600C" w:rsidRDefault="00000000" w:rsidP="00AE63F1">
      <w:pPr>
        <w:spacing w:before="120" w:after="120"/>
      </w:pPr>
      <w:r>
        <w:t>الامتناع عن ارتداء الخوذة ليس إهمالاً — إنه رسالة. الخوذة ترمز لمنطق الدولة الأبوي («نحن نحميك»). التعري من الخوذة هو إعلان جسدي فحواه:</w:t>
      </w:r>
    </w:p>
    <w:p w14:paraId="6CBF1435" w14:textId="77777777" w:rsidR="0022600C" w:rsidRDefault="00000000" w:rsidP="00AE63F1">
      <w:pPr>
        <w:pBdr>
          <w:right w:val="single" w:sz="10" w:space="8" w:color="4A235A"/>
        </w:pBdr>
        <w:spacing w:before="120" w:after="120"/>
        <w:ind w:right="720"/>
      </w:pPr>
      <w:r>
        <w:rPr>
          <w:color w:val="4A235A"/>
        </w:rPr>
        <w:t>«لقد سحبتم مني الحماية الاقتصادية والاجتماعية، فلماذا أقبل حمايتكم الجسدية؟ أنا أستعيد السيادة على جسدي ولو بالتعري للخطر.»</w:t>
      </w:r>
    </w:p>
    <w:p w14:paraId="79772C9D" w14:textId="77777777" w:rsidR="0022600C" w:rsidRDefault="0022600C" w:rsidP="00AE63F1"/>
    <w:p w14:paraId="6BF76A82" w14:textId="77777777" w:rsidR="0022600C" w:rsidRDefault="00000000" w:rsidP="00AE63F1">
      <w:pPr>
        <w:pStyle w:val="2"/>
      </w:pPr>
      <w:r>
        <w:t>3 — الراكب الخلفي: عقد الشهادة</w:t>
      </w:r>
    </w:p>
    <w:p w14:paraId="0DBDF796" w14:textId="77777777" w:rsidR="0022600C" w:rsidRDefault="00000000" w:rsidP="00AE63F1">
      <w:pPr>
        <w:spacing w:before="120" w:after="120"/>
      </w:pPr>
      <w:r>
        <w:t>وجود شخص خلف السائق يضاعف من مفهوم الوكالة الجنائزية. فالراكب الخلفي يضع حياته طواعية بين يدي السائق — هذا ليس انتحاراً جماعياً، بل هو أسمى آيات الثقة والاعتراف.</w:t>
      </w:r>
    </w:p>
    <w:p w14:paraId="4BD000CB" w14:textId="77777777" w:rsidR="0022600C" w:rsidRDefault="00000000" w:rsidP="00AE63F1">
      <w:pPr>
        <w:spacing w:before="120" w:after="120"/>
      </w:pPr>
      <w:r>
        <w:t>في مجتمع يشعر فيه الشاب أنه غير مرئي وغير موثوق به، يُقدم له صديقه أغلى ما يملك — حياته — كشهادة بأنه «موجود» و«كفؤ». هذه لحظة تتجاوز فيها قيمة الرفقة قيمة الحياة ذاتها.</w:t>
      </w:r>
    </w:p>
    <w:p w14:paraId="05BB5AA5" w14:textId="77777777" w:rsidR="0022600C" w:rsidRDefault="0022600C" w:rsidP="00AE63F1"/>
    <w:p w14:paraId="7F9118D2" w14:textId="77777777" w:rsidR="0022600C" w:rsidRDefault="00000000" w:rsidP="00AE63F1">
      <w:pPr>
        <w:pStyle w:val="1"/>
      </w:pPr>
      <w:r>
        <w:t>خامساً: مقارنة مع مفاهيم مشابهة</w:t>
      </w:r>
    </w:p>
    <w:p w14:paraId="7C7228EC" w14:textId="77777777" w:rsidR="0022600C" w:rsidRDefault="00000000" w:rsidP="00AE63F1">
      <w:pPr>
        <w:spacing w:before="120" w:after="120"/>
      </w:pPr>
      <w:r>
        <w:t>المصطلح لا يظهر من فراغ، لكنه يبتكر دلالة جديدة في مواجهة كل من سبقه:</w:t>
      </w:r>
    </w:p>
    <w:p w14:paraId="4298D082" w14:textId="77777777" w:rsidR="0022600C" w:rsidRDefault="0022600C" w:rsidP="00AE63F1"/>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3510"/>
        <w:gridCol w:w="3510"/>
      </w:tblGrid>
      <w:tr w:rsidR="0022600C" w14:paraId="55474C4E" w14:textId="77777777">
        <w:tblPrEx>
          <w:tblCellMar>
            <w:top w:w="0" w:type="dxa"/>
            <w:bottom w:w="0" w:type="dxa"/>
          </w:tblCellMar>
        </w:tblPrEx>
        <w:tc>
          <w:tcPr>
            <w:tcW w:w="2340" w:type="dxa"/>
            <w:tcBorders>
              <w:top w:val="single" w:sz="1" w:space="0" w:color="4A235A"/>
              <w:left w:val="single" w:sz="1" w:space="0" w:color="4A235A"/>
              <w:bottom w:val="single" w:sz="1" w:space="0" w:color="4A235A"/>
              <w:right w:val="single" w:sz="1" w:space="0" w:color="4A235A"/>
            </w:tcBorders>
            <w:shd w:val="clear" w:color="auto" w:fill="1E8449"/>
            <w:tcMar>
              <w:top w:w="100" w:type="dxa"/>
              <w:left w:w="150" w:type="dxa"/>
              <w:bottom w:w="100" w:type="dxa"/>
              <w:right w:w="150" w:type="dxa"/>
            </w:tcMar>
          </w:tcPr>
          <w:p w14:paraId="7B83DEEB" w14:textId="77777777" w:rsidR="0022600C" w:rsidRDefault="00000000" w:rsidP="00AE63F1">
            <w:r>
              <w:rPr>
                <w:b/>
                <w:bCs/>
                <w:color w:val="FFFFFF"/>
                <w:sz w:val="20"/>
                <w:szCs w:val="20"/>
              </w:rPr>
              <w:t>المصطلح / المفكر</w:t>
            </w:r>
          </w:p>
        </w:tc>
        <w:tc>
          <w:tcPr>
            <w:tcW w:w="3510" w:type="dxa"/>
            <w:tcBorders>
              <w:top w:val="single" w:sz="1" w:space="0" w:color="4A235A"/>
              <w:left w:val="single" w:sz="1" w:space="0" w:color="4A235A"/>
              <w:bottom w:val="single" w:sz="1" w:space="0" w:color="4A235A"/>
              <w:right w:val="single" w:sz="1" w:space="0" w:color="4A235A"/>
            </w:tcBorders>
            <w:shd w:val="clear" w:color="auto" w:fill="1E8449"/>
            <w:tcMar>
              <w:top w:w="100" w:type="dxa"/>
              <w:left w:w="150" w:type="dxa"/>
              <w:bottom w:w="100" w:type="dxa"/>
              <w:right w:w="150" w:type="dxa"/>
            </w:tcMar>
          </w:tcPr>
          <w:p w14:paraId="0D0BD975" w14:textId="77777777" w:rsidR="0022600C" w:rsidRDefault="00000000" w:rsidP="00AE63F1">
            <w:r>
              <w:rPr>
                <w:b/>
                <w:bCs/>
                <w:color w:val="FFFFFF"/>
                <w:sz w:val="20"/>
                <w:szCs w:val="20"/>
              </w:rPr>
              <w:t>نقطة التقاطع</w:t>
            </w:r>
          </w:p>
        </w:tc>
        <w:tc>
          <w:tcPr>
            <w:tcW w:w="3510" w:type="dxa"/>
            <w:tcBorders>
              <w:top w:val="single" w:sz="1" w:space="0" w:color="4A235A"/>
              <w:left w:val="single" w:sz="1" w:space="0" w:color="4A235A"/>
              <w:bottom w:val="single" w:sz="1" w:space="0" w:color="4A235A"/>
              <w:right w:val="single" w:sz="1" w:space="0" w:color="4A235A"/>
            </w:tcBorders>
            <w:shd w:val="clear" w:color="auto" w:fill="1E8449"/>
            <w:tcMar>
              <w:top w:w="100" w:type="dxa"/>
              <w:left w:w="150" w:type="dxa"/>
              <w:bottom w:w="100" w:type="dxa"/>
              <w:right w:w="150" w:type="dxa"/>
            </w:tcMar>
          </w:tcPr>
          <w:p w14:paraId="1AA20931" w14:textId="77777777" w:rsidR="0022600C" w:rsidRDefault="00000000" w:rsidP="00AE63F1">
            <w:r>
              <w:rPr>
                <w:b/>
                <w:bCs/>
                <w:color w:val="FFFFFF"/>
                <w:sz w:val="20"/>
                <w:szCs w:val="20"/>
              </w:rPr>
              <w:t>الإضافة الجوهرية عند الزراع</w:t>
            </w:r>
          </w:p>
        </w:tc>
      </w:tr>
      <w:tr w:rsidR="0022600C" w14:paraId="65ECD31B"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B472C52" w14:textId="77777777" w:rsidR="0022600C" w:rsidRDefault="00000000" w:rsidP="00AE63F1">
            <w:proofErr w:type="spellStart"/>
            <w:r>
              <w:rPr>
                <w:sz w:val="18"/>
                <w:szCs w:val="18"/>
              </w:rPr>
              <w:t>نيتشه</w:t>
            </w:r>
            <w:proofErr w:type="spellEnd"/>
            <w:r>
              <w:rPr>
                <w:sz w:val="18"/>
                <w:szCs w:val="18"/>
              </w:rPr>
              <w:t xml:space="preserve"> (التفاؤل المأساوي)</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47C136A" w14:textId="77777777" w:rsidR="0022600C" w:rsidRDefault="00000000" w:rsidP="00AE63F1">
            <w:r>
              <w:rPr>
                <w:sz w:val="18"/>
                <w:szCs w:val="18"/>
              </w:rPr>
              <w:t>الإنسان يؤكد إرادته في الحياة عبر مواجهة العدم.</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0701AA3E" w14:textId="77777777" w:rsidR="0022600C" w:rsidRDefault="00000000" w:rsidP="00AE63F1">
            <w:proofErr w:type="spellStart"/>
            <w:r>
              <w:rPr>
                <w:sz w:val="18"/>
                <w:szCs w:val="18"/>
              </w:rPr>
              <w:t>نيتشه</w:t>
            </w:r>
            <w:proofErr w:type="spellEnd"/>
            <w:r>
              <w:rPr>
                <w:sz w:val="18"/>
                <w:szCs w:val="18"/>
              </w:rPr>
              <w:t xml:space="preserve"> فلسفي تجريدي؛ الوكالة الجنائزية تحليل </w:t>
            </w:r>
            <w:proofErr w:type="spellStart"/>
            <w:r>
              <w:rPr>
                <w:sz w:val="18"/>
                <w:szCs w:val="18"/>
              </w:rPr>
              <w:t>سوسيو</w:t>
            </w:r>
            <w:proofErr w:type="spellEnd"/>
            <w:r>
              <w:rPr>
                <w:sz w:val="18"/>
                <w:szCs w:val="18"/>
              </w:rPr>
              <w:t>-اقتصادي ملموس مرتبط بالبطالة والتهميش.</w:t>
            </w:r>
          </w:p>
        </w:tc>
      </w:tr>
      <w:tr w:rsidR="0022600C" w14:paraId="321395CB"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AFAF1"/>
            <w:tcMar>
              <w:top w:w="80" w:type="dxa"/>
              <w:left w:w="150" w:type="dxa"/>
              <w:bottom w:w="80" w:type="dxa"/>
              <w:right w:w="150" w:type="dxa"/>
            </w:tcMar>
          </w:tcPr>
          <w:p w14:paraId="496B90B2" w14:textId="77777777" w:rsidR="0022600C" w:rsidRDefault="00000000" w:rsidP="00AE63F1">
            <w:r>
              <w:rPr>
                <w:sz w:val="18"/>
                <w:szCs w:val="18"/>
              </w:rPr>
              <w:t xml:space="preserve">ستيفن </w:t>
            </w:r>
            <w:proofErr w:type="spellStart"/>
            <w:r>
              <w:rPr>
                <w:sz w:val="18"/>
                <w:szCs w:val="18"/>
              </w:rPr>
              <w:t>لينغ</w:t>
            </w:r>
            <w:proofErr w:type="spellEnd"/>
            <w:r>
              <w:rPr>
                <w:sz w:val="18"/>
                <w:szCs w:val="18"/>
              </w:rPr>
              <w:t xml:space="preserve"> (</w:t>
            </w:r>
            <w:proofErr w:type="spellStart"/>
            <w:r>
              <w:rPr>
                <w:sz w:val="18"/>
                <w:szCs w:val="18"/>
              </w:rPr>
              <w:t>Edgework</w:t>
            </w:r>
            <w:proofErr w:type="spellEnd"/>
            <w:r>
              <w:rPr>
                <w:sz w:val="18"/>
                <w:szCs w:val="18"/>
              </w:rPr>
              <w:t>)</w:t>
            </w:r>
          </w:p>
        </w:tc>
        <w:tc>
          <w:tcPr>
            <w:tcW w:w="3510" w:type="dxa"/>
            <w:tcBorders>
              <w:top w:val="single" w:sz="1" w:space="0" w:color="CCCCCC"/>
              <w:left w:val="single" w:sz="1" w:space="0" w:color="CCCCCC"/>
              <w:bottom w:val="single" w:sz="1" w:space="0" w:color="CCCCCC"/>
              <w:right w:val="single" w:sz="1" w:space="0" w:color="CCCCCC"/>
            </w:tcBorders>
            <w:shd w:val="clear" w:color="auto" w:fill="EAFAF1"/>
            <w:tcMar>
              <w:top w:w="80" w:type="dxa"/>
              <w:left w:w="150" w:type="dxa"/>
              <w:bottom w:w="80" w:type="dxa"/>
              <w:right w:w="150" w:type="dxa"/>
            </w:tcMar>
          </w:tcPr>
          <w:p w14:paraId="3E9AC6FE" w14:textId="77777777" w:rsidR="0022600C" w:rsidRDefault="00000000" w:rsidP="00AE63F1">
            <w:r>
              <w:rPr>
                <w:sz w:val="18"/>
                <w:szCs w:val="18"/>
              </w:rPr>
              <w:t>المخاطرة كبحث عن السيطرة على الذات.</w:t>
            </w:r>
          </w:p>
        </w:tc>
        <w:tc>
          <w:tcPr>
            <w:tcW w:w="3510" w:type="dxa"/>
            <w:tcBorders>
              <w:top w:val="single" w:sz="1" w:space="0" w:color="CCCCCC"/>
              <w:left w:val="single" w:sz="1" w:space="0" w:color="CCCCCC"/>
              <w:bottom w:val="single" w:sz="1" w:space="0" w:color="CCCCCC"/>
              <w:right w:val="single" w:sz="1" w:space="0" w:color="CCCCCC"/>
            </w:tcBorders>
            <w:shd w:val="clear" w:color="auto" w:fill="EAFAF1"/>
            <w:tcMar>
              <w:top w:w="80" w:type="dxa"/>
              <w:left w:w="150" w:type="dxa"/>
              <w:bottom w:w="80" w:type="dxa"/>
              <w:right w:w="150" w:type="dxa"/>
            </w:tcMar>
          </w:tcPr>
          <w:p w14:paraId="52D0DF4E" w14:textId="77777777" w:rsidR="0022600C" w:rsidRDefault="00000000" w:rsidP="00AE63F1">
            <w:r>
              <w:rPr>
                <w:sz w:val="18"/>
                <w:szCs w:val="18"/>
              </w:rPr>
              <w:t>الزراع يضيف بُعداً وجودياً مأساوياً: السيطرة على الموت نفسه بوصفه طقساً ثقافياً، لا على الذات فقط.</w:t>
            </w:r>
          </w:p>
        </w:tc>
      </w:tr>
      <w:tr w:rsidR="0022600C" w14:paraId="4E786ADF"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4665A26" w14:textId="77777777" w:rsidR="0022600C" w:rsidRDefault="00000000" w:rsidP="00AE63F1">
            <w:r>
              <w:rPr>
                <w:sz w:val="18"/>
                <w:szCs w:val="18"/>
              </w:rPr>
              <w:t xml:space="preserve">أشيل </w:t>
            </w:r>
            <w:proofErr w:type="spellStart"/>
            <w:r>
              <w:rPr>
                <w:sz w:val="18"/>
                <w:szCs w:val="18"/>
              </w:rPr>
              <w:t>مبيمبي</w:t>
            </w:r>
            <w:proofErr w:type="spellEnd"/>
            <w:r>
              <w:rPr>
                <w:sz w:val="18"/>
                <w:szCs w:val="18"/>
              </w:rPr>
              <w:t xml:space="preserve"> (</w:t>
            </w:r>
            <w:proofErr w:type="spellStart"/>
            <w:r>
              <w:rPr>
                <w:sz w:val="18"/>
                <w:szCs w:val="18"/>
              </w:rPr>
              <w:t>النيكروبوليتيكا</w:t>
            </w:r>
            <w:proofErr w:type="spellEnd"/>
            <w:r>
              <w:rPr>
                <w:sz w:val="18"/>
                <w:szCs w:val="18"/>
              </w:rPr>
              <w:t>)</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59D2FA2" w14:textId="77777777" w:rsidR="0022600C" w:rsidRDefault="00000000" w:rsidP="00AE63F1">
            <w:r>
              <w:rPr>
                <w:sz w:val="18"/>
                <w:szCs w:val="18"/>
              </w:rPr>
              <w:t>الدولة تمارس سلطتها بترك فئات تموت.</w:t>
            </w:r>
          </w:p>
        </w:tc>
        <w:tc>
          <w:tcPr>
            <w:tcW w:w="351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0A392CCD" w14:textId="77777777" w:rsidR="0022600C" w:rsidRDefault="00000000" w:rsidP="00AE63F1">
            <w:r>
              <w:rPr>
                <w:sz w:val="18"/>
                <w:szCs w:val="18"/>
              </w:rPr>
              <w:t>الزراع يقلب المعادلة: كيف يحوّل الشباب «اللامبالاة البنيوية» إلى طاقة رمزية لاستعادة الكرامة.</w:t>
            </w:r>
          </w:p>
        </w:tc>
      </w:tr>
    </w:tbl>
    <w:p w14:paraId="7CA8C1E7" w14:textId="77777777" w:rsidR="0022600C" w:rsidRDefault="0022600C" w:rsidP="00AE63F1"/>
    <w:p w14:paraId="7123B366" w14:textId="77777777" w:rsidR="0022600C" w:rsidRDefault="00000000" w:rsidP="00AE63F1">
      <w:pPr>
        <w:pStyle w:val="1"/>
      </w:pPr>
      <w:r>
        <w:t>خلاصة التفسير</w:t>
      </w:r>
    </w:p>
    <w:p w14:paraId="01A65342" w14:textId="77777777" w:rsidR="0022600C" w:rsidRDefault="00000000" w:rsidP="00AE63F1">
      <w:pPr>
        <w:pBdr>
          <w:top w:val="single" w:sz="6" w:space="4" w:color="4A235A"/>
          <w:left w:val="single" w:sz="4" w:space="4" w:color="CCCCCC"/>
          <w:bottom w:val="single" w:sz="6" w:space="4" w:color="4A235A"/>
          <w:right w:val="single" w:sz="20" w:space="6" w:color="4A235A"/>
        </w:pBdr>
        <w:shd w:val="clear" w:color="auto" w:fill="F9F0FF"/>
        <w:spacing w:before="160" w:after="200"/>
      </w:pPr>
      <w:r>
        <w:rPr>
          <w:sz w:val="24"/>
          <w:szCs w:val="24"/>
        </w:rPr>
        <w:t>الوكالة الجنائزية هي صيحة وجودية في وجه العدم الاجتماعي. إنها محاولة مريرة لكتابة سيرة ذاتية بطولية، عندما تكون السيرة الذاتية المدنية — شهادة عمل، رخصة سياقة، حساب بنكي — فارغة.</w:t>
      </w:r>
    </w:p>
    <w:p w14:paraId="64D4C08C" w14:textId="77777777" w:rsidR="0022600C" w:rsidRDefault="0022600C" w:rsidP="00AE63F1"/>
    <w:p w14:paraId="50EBB631" w14:textId="77777777" w:rsidR="0022600C" w:rsidRDefault="00000000" w:rsidP="00AE63F1">
      <w:pPr>
        <w:spacing w:before="300" w:after="100"/>
      </w:pPr>
      <w:r>
        <w:rPr>
          <w:b/>
          <w:bCs/>
          <w:color w:val="4A235A"/>
        </w:rPr>
        <w:t>وما توفيقي إلا بالله</w:t>
      </w:r>
    </w:p>
    <w:p w14:paraId="7DB95A5A" w14:textId="77777777" w:rsidR="0022600C" w:rsidRDefault="00000000" w:rsidP="00AE63F1">
      <w:pPr>
        <w:spacing w:before="60" w:after="60"/>
      </w:pPr>
      <w:r>
        <w:rPr>
          <w:color w:val="777777"/>
          <w:sz w:val="20"/>
          <w:szCs w:val="20"/>
        </w:rPr>
        <w:t>﴿ وَمَا تَوْفِيقِي إِلَّا بِاللَّهِ ۚ عَلَيْهِ تَوَكَّلْتُ وَإِلَيْهِ أُنِيبُ ﴾</w:t>
      </w:r>
    </w:p>
    <w:p w14:paraId="4ACC25C2" w14:textId="77777777" w:rsidR="0022600C" w:rsidRDefault="00000000" w:rsidP="00AE63F1">
      <w:r>
        <w:rPr>
          <w:color w:val="999999"/>
          <w:sz w:val="18"/>
          <w:szCs w:val="18"/>
        </w:rPr>
        <w:t>[هود: 88]</w:t>
      </w:r>
    </w:p>
    <w:sectPr w:rsidR="0022600C">
      <w:headerReference w:type="default" r:id="rId7"/>
      <w:footerReference w:type="default" r:id="rId8"/>
      <w:pgSz w:w="11906" w:h="16838"/>
      <w:pgMar w:top="1440" w:right="180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41DD" w14:textId="77777777" w:rsidR="00E10EC9" w:rsidRDefault="00E10EC9">
      <w:r>
        <w:separator/>
      </w:r>
    </w:p>
  </w:endnote>
  <w:endnote w:type="continuationSeparator" w:id="0">
    <w:p w14:paraId="43C2113C" w14:textId="77777777" w:rsidR="00E10EC9" w:rsidRDefault="00E1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68C7" w14:textId="77777777" w:rsidR="0022600C" w:rsidRDefault="00000000">
    <w:pPr>
      <w:pBdr>
        <w:top w:val="single" w:sz="4" w:space="1" w:color="CCCCCC"/>
      </w:pBdr>
      <w:jc w:val="center"/>
    </w:pPr>
    <w:r>
      <w:rPr>
        <w:color w:val="888888"/>
        <w:sz w:val="18"/>
        <w:szCs w:val="18"/>
      </w:rPr>
      <w:t xml:space="preserve">صفحة </w:t>
    </w:r>
    <w:r>
      <w:rPr>
        <w:color w:val="888888"/>
        <w:sz w:val="18"/>
        <w:szCs w:val="18"/>
      </w:rPr>
      <w:fldChar w:fldCharType="begin"/>
    </w:r>
    <w:r>
      <w:rPr>
        <w:color w:val="888888"/>
        <w:sz w:val="18"/>
        <w:szCs w:val="18"/>
      </w:rPr>
      <w:instrText>PAGE</w:instrText>
    </w:r>
    <w:r>
      <w:rPr>
        <w:color w:val="888888"/>
        <w:sz w:val="18"/>
        <w:szCs w:val="18"/>
      </w:rPr>
      <w:fldChar w:fldCharType="separate"/>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B6EC" w14:textId="77777777" w:rsidR="00E10EC9" w:rsidRDefault="00E10EC9">
      <w:r>
        <w:separator/>
      </w:r>
    </w:p>
  </w:footnote>
  <w:footnote w:type="continuationSeparator" w:id="0">
    <w:p w14:paraId="53AC3DD1" w14:textId="77777777" w:rsidR="00E10EC9" w:rsidRDefault="00E1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3AE7" w14:textId="77777777" w:rsidR="0022600C" w:rsidRDefault="00000000">
    <w:pPr>
      <w:pBdr>
        <w:bottom w:val="single" w:sz="6" w:space="1" w:color="4A235A"/>
      </w:pBdr>
      <w:jc w:val="right"/>
    </w:pPr>
    <w:r>
      <w:rPr>
        <w:color w:val="4A235A"/>
        <w:sz w:val="18"/>
        <w:szCs w:val="18"/>
      </w:rPr>
      <w:t>الوكالة الجنائزية — تفكيك مفهومي في دراسة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1592"/>
    <w:multiLevelType w:val="hybridMultilevel"/>
    <w:tmpl w:val="FFFFFFFF"/>
    <w:lvl w:ilvl="0" w:tplc="4D203C44">
      <w:start w:val="1"/>
      <w:numFmt w:val="bullet"/>
      <w:lvlText w:val="●"/>
      <w:lvlJc w:val="left"/>
      <w:pPr>
        <w:ind w:left="720" w:hanging="360"/>
      </w:pPr>
    </w:lvl>
    <w:lvl w:ilvl="1" w:tplc="872C497E">
      <w:start w:val="1"/>
      <w:numFmt w:val="bullet"/>
      <w:lvlText w:val="○"/>
      <w:lvlJc w:val="left"/>
      <w:pPr>
        <w:ind w:left="1440" w:hanging="360"/>
      </w:pPr>
    </w:lvl>
    <w:lvl w:ilvl="2" w:tplc="B4B64654">
      <w:start w:val="1"/>
      <w:numFmt w:val="bullet"/>
      <w:lvlText w:val="■"/>
      <w:lvlJc w:val="left"/>
      <w:pPr>
        <w:ind w:left="2160" w:hanging="360"/>
      </w:pPr>
    </w:lvl>
    <w:lvl w:ilvl="3" w:tplc="51F23038">
      <w:start w:val="1"/>
      <w:numFmt w:val="bullet"/>
      <w:lvlText w:val="●"/>
      <w:lvlJc w:val="left"/>
      <w:pPr>
        <w:ind w:left="2880" w:hanging="360"/>
      </w:pPr>
    </w:lvl>
    <w:lvl w:ilvl="4" w:tplc="4F085EA8">
      <w:start w:val="1"/>
      <w:numFmt w:val="bullet"/>
      <w:lvlText w:val="○"/>
      <w:lvlJc w:val="left"/>
      <w:pPr>
        <w:ind w:left="3600" w:hanging="360"/>
      </w:pPr>
    </w:lvl>
    <w:lvl w:ilvl="5" w:tplc="DD907CB4">
      <w:start w:val="1"/>
      <w:numFmt w:val="bullet"/>
      <w:lvlText w:val="■"/>
      <w:lvlJc w:val="left"/>
      <w:pPr>
        <w:ind w:left="4320" w:hanging="360"/>
      </w:pPr>
    </w:lvl>
    <w:lvl w:ilvl="6" w:tplc="6E58B0D6">
      <w:start w:val="1"/>
      <w:numFmt w:val="bullet"/>
      <w:lvlText w:val="●"/>
      <w:lvlJc w:val="left"/>
      <w:pPr>
        <w:ind w:left="5040" w:hanging="360"/>
      </w:pPr>
    </w:lvl>
    <w:lvl w:ilvl="7" w:tplc="94169B86">
      <w:start w:val="1"/>
      <w:numFmt w:val="bullet"/>
      <w:lvlText w:val="●"/>
      <w:lvlJc w:val="left"/>
      <w:pPr>
        <w:ind w:left="5760" w:hanging="360"/>
      </w:pPr>
    </w:lvl>
    <w:lvl w:ilvl="8" w:tplc="C8E8FC0C">
      <w:start w:val="1"/>
      <w:numFmt w:val="bullet"/>
      <w:lvlText w:val="●"/>
      <w:lvlJc w:val="left"/>
      <w:pPr>
        <w:ind w:left="6480" w:hanging="360"/>
      </w:pPr>
    </w:lvl>
  </w:abstractNum>
  <w:abstractNum w:abstractNumId="1" w15:restartNumberingAfterBreak="0">
    <w:nsid w:val="13945642"/>
    <w:multiLevelType w:val="hybridMultilevel"/>
    <w:tmpl w:val="FFFFFFFF"/>
    <w:lvl w:ilvl="0" w:tplc="F01E367A">
      <w:start w:val="1"/>
      <w:numFmt w:val="decimal"/>
      <w:lvlText w:val="%1."/>
      <w:lvlJc w:val="right"/>
      <w:pPr>
        <w:bidi/>
        <w:ind w:left="0" w:right="720"/>
      </w:pPr>
    </w:lvl>
    <w:lvl w:ilvl="1" w:tplc="32929454">
      <w:numFmt w:val="decimal"/>
      <w:lvlText w:val=""/>
      <w:lvlJc w:val="left"/>
    </w:lvl>
    <w:lvl w:ilvl="2" w:tplc="E0C21E7A">
      <w:numFmt w:val="decimal"/>
      <w:lvlText w:val=""/>
      <w:lvlJc w:val="left"/>
    </w:lvl>
    <w:lvl w:ilvl="3" w:tplc="AD5ACD26">
      <w:numFmt w:val="decimal"/>
      <w:lvlText w:val=""/>
      <w:lvlJc w:val="left"/>
    </w:lvl>
    <w:lvl w:ilvl="4" w:tplc="ABCEAED6">
      <w:numFmt w:val="decimal"/>
      <w:lvlText w:val=""/>
      <w:lvlJc w:val="left"/>
    </w:lvl>
    <w:lvl w:ilvl="5" w:tplc="EF74F54E">
      <w:numFmt w:val="decimal"/>
      <w:lvlText w:val=""/>
      <w:lvlJc w:val="left"/>
    </w:lvl>
    <w:lvl w:ilvl="6" w:tplc="60E25188">
      <w:numFmt w:val="decimal"/>
      <w:lvlText w:val=""/>
      <w:lvlJc w:val="left"/>
    </w:lvl>
    <w:lvl w:ilvl="7" w:tplc="5DFE3E28">
      <w:numFmt w:val="decimal"/>
      <w:lvlText w:val=""/>
      <w:lvlJc w:val="left"/>
    </w:lvl>
    <w:lvl w:ilvl="8" w:tplc="D82CA140">
      <w:numFmt w:val="decimal"/>
      <w:lvlText w:val=""/>
      <w:lvlJc w:val="left"/>
    </w:lvl>
  </w:abstractNum>
  <w:abstractNum w:abstractNumId="2" w15:restartNumberingAfterBreak="0">
    <w:nsid w:val="2C323813"/>
    <w:multiLevelType w:val="hybridMultilevel"/>
    <w:tmpl w:val="FFFFFFFF"/>
    <w:lvl w:ilvl="0" w:tplc="EE84DE18">
      <w:start w:val="1"/>
      <w:numFmt w:val="bullet"/>
      <w:lvlText w:val="◆"/>
      <w:lvlJc w:val="right"/>
      <w:pPr>
        <w:bidi/>
        <w:ind w:left="0" w:right="720"/>
      </w:pPr>
    </w:lvl>
    <w:lvl w:ilvl="1" w:tplc="BF1ADF06">
      <w:numFmt w:val="decimal"/>
      <w:lvlText w:val=""/>
      <w:lvlJc w:val="left"/>
    </w:lvl>
    <w:lvl w:ilvl="2" w:tplc="8CEE0F6C">
      <w:numFmt w:val="decimal"/>
      <w:lvlText w:val=""/>
      <w:lvlJc w:val="left"/>
    </w:lvl>
    <w:lvl w:ilvl="3" w:tplc="EDC8A5A8">
      <w:numFmt w:val="decimal"/>
      <w:lvlText w:val=""/>
      <w:lvlJc w:val="left"/>
    </w:lvl>
    <w:lvl w:ilvl="4" w:tplc="B56EE144">
      <w:numFmt w:val="decimal"/>
      <w:lvlText w:val=""/>
      <w:lvlJc w:val="left"/>
    </w:lvl>
    <w:lvl w:ilvl="5" w:tplc="B0CE7254">
      <w:numFmt w:val="decimal"/>
      <w:lvlText w:val=""/>
      <w:lvlJc w:val="left"/>
    </w:lvl>
    <w:lvl w:ilvl="6" w:tplc="A12817A4">
      <w:numFmt w:val="decimal"/>
      <w:lvlText w:val=""/>
      <w:lvlJc w:val="left"/>
    </w:lvl>
    <w:lvl w:ilvl="7" w:tplc="74D8F13A">
      <w:numFmt w:val="decimal"/>
      <w:lvlText w:val=""/>
      <w:lvlJc w:val="left"/>
    </w:lvl>
    <w:lvl w:ilvl="8" w:tplc="FC5C08A8">
      <w:numFmt w:val="decimal"/>
      <w:lvlText w:val=""/>
      <w:lvlJc w:val="left"/>
    </w:lvl>
  </w:abstractNum>
  <w:num w:numId="1" w16cid:durableId="9160915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0C"/>
    <w:rsid w:val="000D08EE"/>
    <w:rsid w:val="0022600C"/>
    <w:rsid w:val="002323B4"/>
    <w:rsid w:val="003E5EFD"/>
    <w:rsid w:val="006C5BF0"/>
    <w:rsid w:val="007876B2"/>
    <w:rsid w:val="0084270C"/>
    <w:rsid w:val="00AE63F1"/>
    <w:rsid w:val="00E10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035FA3"/>
  <w15:docId w15:val="{96187741-958E-7843-8FBE-A7F2227B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bidi/>
      <w:spacing w:before="300" w:after="200"/>
      <w:outlineLvl w:val="0"/>
    </w:pPr>
    <w:rPr>
      <w:b/>
      <w:bCs/>
      <w:color w:val="4A235A"/>
      <w:sz w:val="34"/>
      <w:szCs w:val="34"/>
    </w:rPr>
  </w:style>
  <w:style w:type="paragraph" w:styleId="2">
    <w:name w:val="heading 2"/>
    <w:uiPriority w:val="9"/>
    <w:unhideWhenUsed/>
    <w:qFormat/>
    <w:pPr>
      <w:bidi/>
      <w:spacing w:before="240" w:after="160"/>
      <w:outlineLvl w:val="1"/>
    </w:pPr>
    <w:rPr>
      <w:b/>
      <w:bCs/>
      <w:color w:val="1A5276"/>
      <w:sz w:val="26"/>
      <w:szCs w:val="26"/>
    </w:rPr>
  </w:style>
  <w:style w:type="paragraph" w:styleId="3">
    <w:name w:val="heading 3"/>
    <w:uiPriority w:val="9"/>
    <w:semiHidden/>
    <w:unhideWhenUsed/>
    <w:qFormat/>
    <w:pPr>
      <w:bidi/>
      <w:spacing w:before="180" w:after="120"/>
      <w:outlineLvl w:val="2"/>
    </w:pPr>
    <w:rPr>
      <w:b/>
      <w:bCs/>
      <w:color w:val="1E8449"/>
      <w:sz w:val="23"/>
      <w:szCs w:val="23"/>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7</cp:revision>
  <dcterms:created xsi:type="dcterms:W3CDTF">2026-04-20T05:20:00Z</dcterms:created>
  <dcterms:modified xsi:type="dcterms:W3CDTF">2026-04-20T05:27:00Z</dcterms:modified>
</cp:coreProperties>
</file>