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383FD" w14:textId="77777777" w:rsidR="00E157CA" w:rsidRDefault="00E157CA" w:rsidP="0044318E">
      <w:pPr>
        <w:spacing w:before="600"/>
        <w:rPr>
          <w:rFonts w:hint="cs"/>
        </w:rPr>
      </w:pPr>
    </w:p>
    <w:p w14:paraId="4CDB64F0" w14:textId="001E1BEE" w:rsidR="00E157CA" w:rsidRDefault="003D1EF4">
      <w:pPr>
        <w:spacing w:after="120"/>
        <w:jc w:val="center"/>
      </w:pPr>
      <w:r>
        <w:rPr>
          <w:b/>
          <w:bCs/>
          <w:color w:val="B8862E"/>
        </w:rPr>
        <w:t xml:space="preserve">بحث أكاديمي </w:t>
      </w:r>
    </w:p>
    <w:p w14:paraId="17BC37D6" w14:textId="77777777" w:rsidR="00E157CA" w:rsidRDefault="00E157CA">
      <w:pPr>
        <w:pBdr>
          <w:bottom w:val="single" w:sz="4" w:space="8" w:color="1F6F6B"/>
        </w:pBdr>
        <w:spacing w:after="360"/>
        <w:jc w:val="center"/>
      </w:pPr>
    </w:p>
    <w:p w14:paraId="2AB6CEC1" w14:textId="77777777" w:rsidR="00E157CA" w:rsidRDefault="003D1EF4">
      <w:pPr>
        <w:spacing w:after="200"/>
        <w:jc w:val="center"/>
      </w:pPr>
      <w:r>
        <w:rPr>
          <w:b/>
          <w:bCs/>
          <w:color w:val="1B2A4A"/>
          <w:sz w:val="44"/>
          <w:szCs w:val="44"/>
        </w:rPr>
        <w:t>الأسس الفلسفية والعقدية لـ«طب الطاقة»</w:t>
      </w:r>
    </w:p>
    <w:p w14:paraId="42269CED" w14:textId="77777777" w:rsidR="00E157CA" w:rsidRDefault="003D1EF4">
      <w:pPr>
        <w:spacing w:after="400"/>
        <w:jc w:val="center"/>
      </w:pPr>
      <w:r>
        <w:rPr>
          <w:b/>
          <w:bCs/>
          <w:color w:val="1F6F6B"/>
          <w:sz w:val="28"/>
          <w:szCs w:val="28"/>
        </w:rPr>
        <w:t xml:space="preserve">قراءة نقدية </w:t>
      </w:r>
      <w:proofErr w:type="spellStart"/>
      <w:r>
        <w:rPr>
          <w:b/>
          <w:bCs/>
          <w:color w:val="1F6F6B"/>
          <w:sz w:val="28"/>
          <w:szCs w:val="28"/>
        </w:rPr>
        <w:t>إبستمولوجية</w:t>
      </w:r>
      <w:proofErr w:type="spellEnd"/>
      <w:r>
        <w:rPr>
          <w:b/>
          <w:bCs/>
          <w:color w:val="1F6F6B"/>
          <w:sz w:val="28"/>
          <w:szCs w:val="28"/>
        </w:rPr>
        <w:t xml:space="preserve"> وعقدية في الموروث الشرقي </w:t>
      </w:r>
      <w:proofErr w:type="spellStart"/>
      <w:r>
        <w:rPr>
          <w:b/>
          <w:bCs/>
          <w:color w:val="1F6F6B"/>
          <w:sz w:val="28"/>
          <w:szCs w:val="28"/>
        </w:rPr>
        <w:t>وتمثلاته</w:t>
      </w:r>
      <w:proofErr w:type="spellEnd"/>
      <w:r>
        <w:rPr>
          <w:b/>
          <w:bCs/>
          <w:color w:val="1F6F6B"/>
          <w:sz w:val="28"/>
          <w:szCs w:val="28"/>
        </w:rPr>
        <w:t xml:space="preserve"> الحديثة</w:t>
      </w:r>
    </w:p>
    <w:p w14:paraId="5E5F0FA1" w14:textId="77777777" w:rsidR="00E157CA" w:rsidRDefault="003D1EF4">
      <w:pPr>
        <w:spacing w:after="120"/>
        <w:jc w:val="center"/>
      </w:pPr>
      <w:r>
        <w:rPr>
          <w:i/>
          <w:iCs/>
          <w:color w:val="5A5A5A"/>
        </w:rPr>
        <w:t>دراسة في فلسفة العلم، وعلم الكلام، وعلم النفس المعرفي للمعتقد</w:t>
      </w:r>
    </w:p>
    <w:p w14:paraId="7FE78407" w14:textId="129304B7" w:rsidR="00E157CA" w:rsidRPr="003974DB" w:rsidRDefault="00ED739E" w:rsidP="003974DB">
      <w:pPr>
        <w:spacing w:before="1000"/>
        <w:jc w:val="center"/>
        <w:rPr>
          <w:b/>
          <w:bCs/>
        </w:rPr>
      </w:pPr>
      <w:r w:rsidRPr="003974DB">
        <w:rPr>
          <w:rFonts w:hint="cs"/>
          <w:b/>
          <w:bCs/>
        </w:rPr>
        <w:t xml:space="preserve">بقلم </w:t>
      </w:r>
      <w:r w:rsidR="003974DB" w:rsidRPr="003974DB">
        <w:rPr>
          <w:rFonts w:hint="cs"/>
          <w:b/>
          <w:bCs/>
        </w:rPr>
        <w:t>: عبد السلام الزراع</w:t>
      </w:r>
    </w:p>
    <w:p w14:paraId="6FC0FA00" w14:textId="77777777" w:rsidR="00E157CA" w:rsidRDefault="003D1EF4">
      <w:pPr>
        <w:spacing w:after="80"/>
        <w:jc w:val="center"/>
      </w:pPr>
      <w:r>
        <w:rPr>
          <w:color w:val="5A5A5A"/>
          <w:sz w:val="20"/>
          <w:szCs w:val="20"/>
        </w:rPr>
        <w:t>تاريخ الإعداد: ١٩ يونيو ٢٠٢٦</w:t>
      </w:r>
    </w:p>
    <w:p w14:paraId="5943BCC6" w14:textId="77777777" w:rsidR="00E157CA" w:rsidRDefault="003D1EF4">
      <w:r>
        <w:br w:type="page"/>
      </w:r>
    </w:p>
    <w:p w14:paraId="16ADCBA1" w14:textId="77777777" w:rsidR="00E157CA" w:rsidRDefault="003D1EF4" w:rsidP="0044318E">
      <w:pPr>
        <w:spacing w:after="240"/>
      </w:pPr>
      <w:r>
        <w:rPr>
          <w:b/>
          <w:bCs/>
          <w:color w:val="1B2A4A"/>
          <w:sz w:val="30"/>
          <w:szCs w:val="30"/>
        </w:rPr>
        <w:t>فهرس المحتويات</w:t>
      </w:r>
    </w:p>
    <w:sdt>
      <w:sdtPr>
        <w:alias w:val="سيتم تحديث الفهرس تلقائياً"/>
        <w:id w:val="-1193526458"/>
      </w:sdtPr>
      <w:sdtContent>
        <w:p w14:paraId="24698ED8" w14:textId="77777777" w:rsidR="00E157CA" w:rsidRDefault="003D1EF4" w:rsidP="0044318E">
          <w:r>
            <w:fldChar w:fldCharType="begin"/>
          </w:r>
          <w:r>
            <w:instrText>TOC \h \o "1-3"</w:instrText>
          </w:r>
          <w:r>
            <w:fldChar w:fldCharType="separate"/>
          </w:r>
        </w:p>
        <w:p w14:paraId="0099C685" w14:textId="77777777" w:rsidR="00E157CA" w:rsidRDefault="003D1EF4" w:rsidP="0044318E">
          <w:r>
            <w:fldChar w:fldCharType="end"/>
          </w:r>
        </w:p>
      </w:sdtContent>
    </w:sdt>
    <w:p w14:paraId="26618BD3" w14:textId="77777777" w:rsidR="00E157CA" w:rsidRDefault="003D1EF4" w:rsidP="0044318E">
      <w:r>
        <w:br w:type="page"/>
      </w:r>
    </w:p>
    <w:p w14:paraId="073DD747" w14:textId="77777777" w:rsidR="00E157CA" w:rsidRDefault="003D1EF4" w:rsidP="0044318E">
      <w:pPr>
        <w:pStyle w:val="1"/>
        <w:pBdr>
          <w:bottom w:val="single" w:sz="6" w:space="4" w:color="B8862E"/>
        </w:pBdr>
        <w:bidi/>
      </w:pPr>
      <w:r>
        <w:t>المستخلص</w:t>
      </w:r>
    </w:p>
    <w:p w14:paraId="6A78718E" w14:textId="77777777" w:rsidR="00E157CA" w:rsidRDefault="003D1EF4" w:rsidP="0044318E">
      <w:pPr>
        <w:spacing w:after="200" w:line="320" w:lineRule="auto"/>
      </w:pPr>
      <w:r>
        <w:t>تتناول هذه الدراسة، في صيغتها الموسعة، التحليل النقدي للجذور الفلسفية والعقدية والنفسية التي تشكّل أساس ما يُعرف اصطلاحاً بـ«علم الطاقة» أو «طب الطاقة» (</w:t>
      </w:r>
      <w:proofErr w:type="spellStart"/>
      <w:r>
        <w:t>Energy</w:t>
      </w:r>
      <w:proofErr w:type="spellEnd"/>
      <w:r>
        <w:t xml:space="preserve"> </w:t>
      </w:r>
      <w:proofErr w:type="spellStart"/>
      <w:r>
        <w:t>Medicine</w:t>
      </w:r>
      <w:proofErr w:type="spellEnd"/>
      <w:r>
        <w:t xml:space="preserve">). تهدف الدراسة إلى تفكيك البنية المعرفية الكامنة وراء هذا التيار عبر مسارين متلازمين: مسار </w:t>
      </w:r>
      <w:proofErr w:type="spellStart"/>
      <w:r>
        <w:t>إبستمولوجي</w:t>
      </w:r>
      <w:proofErr w:type="spellEnd"/>
      <w:r>
        <w:t xml:space="preserve"> يستند إلى فلسفة العلم الحديثة (معيار قابلية التفنيد عند بوبر، وإشكالية </w:t>
      </w:r>
      <w:proofErr w:type="spellStart"/>
      <w:r>
        <w:t>دوهيم-كواين</w:t>
      </w:r>
      <w:proofErr w:type="spellEnd"/>
      <w:r>
        <w:t>، ومعايير التصنيف المؤسسي لدى المراكز البحثية الطبية)، ومسار عقدي يفحص الموروث عند جذوره في الفلسفات الشرقية (تشي وبرانا)، وعقيدة الحيوية الغربية (</w:t>
      </w:r>
      <w:proofErr w:type="spellStart"/>
      <w:r>
        <w:t>Vitalism</w:t>
      </w:r>
      <w:proofErr w:type="spellEnd"/>
      <w:r>
        <w:t xml:space="preserve">)، وثنائية الين واليانغ، وصولاً إلى </w:t>
      </w:r>
      <w:proofErr w:type="spellStart"/>
      <w:r>
        <w:t>تمظهراته</w:t>
      </w:r>
      <w:proofErr w:type="spellEnd"/>
      <w:r>
        <w:t xml:space="preserve"> المعاصرة في حركة العصر الجديد وظاهرة «التصوف الكمي».</w:t>
      </w:r>
    </w:p>
    <w:p w14:paraId="29A943F8" w14:textId="77777777" w:rsidR="00E157CA" w:rsidRDefault="003D1EF4" w:rsidP="0044318E">
      <w:pPr>
        <w:spacing w:after="200" w:line="320" w:lineRule="auto"/>
      </w:pPr>
      <w:r>
        <w:t xml:space="preserve">تضيف هذه النسخة الموسعة أربع طبقات تحليلية جديدة لم تكن في الصياغة الأولى للبحث: الأولى نقد فلسفة العلم لمعيار </w:t>
      </w:r>
      <w:proofErr w:type="spellStart"/>
      <w:r>
        <w:t>الديماركاسيون</w:t>
      </w:r>
      <w:proofErr w:type="spellEnd"/>
      <w:r>
        <w:t xml:space="preserve"> ذاته وحدوده؛ والثانية تفسير سيكولوجي-معرفي لظاهرة «الانحياز التأكيدي» والارتداد إلى المتوسط كآليتين تفسّران الشعور الذاتي بفاعلية هذه الممارسات رغم غياب الدليل التجريبي؛ والثالثة قراءة في الموقف العقدي الإسلامي من ثنائية «الطاقة الكونية» مقارنة بمفهوم التوحيد والسببية الشرعية (السُّنن)؛ والرابعة استعراض لحالة دراسية حديثة (سحب ورقة علمية محكَّمة بعد ثبوت خلل منهجي) توضّح آليات الدفاع الذاتي التي تستخدمها هذه الحقول للحفاظ على شرعيتها الظاهرية. تخلص الدراسة إلى أن هذا الحقل يقع ضمن نطاق العلم الزائف (</w:t>
      </w:r>
      <w:proofErr w:type="spellStart"/>
      <w:r>
        <w:t>Pseudoscience</w:t>
      </w:r>
      <w:proofErr w:type="spellEnd"/>
      <w:r>
        <w:t>) بالمعنى الدقيق للمصطلح، فضلاً عن تعارضه مع الأصول العقدية للتوحيد في النظر إلى علل الكون وأسبابه.</w:t>
      </w:r>
    </w:p>
    <w:p w14:paraId="5DA14820" w14:textId="77777777" w:rsidR="00E157CA" w:rsidRDefault="003D1EF4" w:rsidP="0044318E">
      <w:pPr>
        <w:spacing w:after="200" w:line="320" w:lineRule="auto"/>
      </w:pPr>
      <w:r>
        <w:t>الكلمات المفتاحية: طب الطاقة، العلم الزائف، قابلية التفنيد، عقيدة الحيوية، التصوف الكمي، حقل الطاقة الحيوي (</w:t>
      </w:r>
      <w:proofErr w:type="spellStart"/>
      <w:r>
        <w:t>Biofield</w:t>
      </w:r>
      <w:proofErr w:type="spellEnd"/>
      <w:r>
        <w:t>)، وحدة الوجود، السببية الشرعية.</w:t>
      </w:r>
    </w:p>
    <w:p w14:paraId="0F58D4F6" w14:textId="77777777" w:rsidR="00E157CA" w:rsidRDefault="003D1EF4" w:rsidP="0044318E">
      <w:pPr>
        <w:pStyle w:val="1"/>
        <w:pBdr>
          <w:bottom w:val="single" w:sz="6" w:space="4" w:color="B8862E"/>
        </w:pBdr>
        <w:bidi/>
      </w:pPr>
      <w:r>
        <w:t>١. مقدمة: إشكالية المصطلح بين الفيزياء والميتافيزيقا</w:t>
      </w:r>
    </w:p>
    <w:p w14:paraId="5DEE92F8" w14:textId="77777777" w:rsidR="00E157CA" w:rsidRDefault="003D1EF4" w:rsidP="0044318E">
      <w:pPr>
        <w:spacing w:after="200" w:line="320" w:lineRule="auto"/>
      </w:pPr>
      <w:r>
        <w:t>يشهد الخطاب الثقافي والصحي المعاصر انتشاراً واسعاً لمفاهيم مثل «الطاقة الكونية»، و«هالة الطاقة»، و«علاج الشاكرات». غير أن هنالك قطيعة معرفية واضحة بين مفهوم «الطاقة» كما تعرّفه الفيزياء الكلاسيكية والحديثة بوصفها كمية قابلة للقياس، كالطاقة الحركية والكهرومغناطيسية، وبين «الطاقة» المتداولة في أروقة الطب البديل والروحانيات.</w:t>
      </w:r>
    </w:p>
    <w:p w14:paraId="24891760" w14:textId="77777777" w:rsidR="00E157CA" w:rsidRDefault="003D1EF4" w:rsidP="0044318E">
      <w:pPr>
        <w:spacing w:after="200" w:line="320" w:lineRule="auto"/>
      </w:pPr>
      <w:r>
        <w:t>يرتكز البحث العلمي على الملاحظة التجريبية والقياس الكمي، بينما تستند الجذور الفلسفية لما يسمى بـ«علم الطاقة» أو «طب الطاقة» إلى موروثات روحانية وفلسفات شرقية قديمة ترى أن الكون وما فيه تحركه قوة حيوية خفية ([1]، ص. 1) ([2]، ص. 1). تختلف هذه الطاقة في مفهومها الفلسفي جذرياً عن الطاقة المعروفة في علم الفيزياء؛ فالفيزياء تنظر إلى الطاقة كمكوّن أساسي للمادة قابل للتحول والقياس بالجول والإلكترون فولت، أما في فلسفة الطاقة الروحانية فتُوصف بأنها طاقة ميتافيزيقية أو قوة غيبية لا يمكن قياسها بالأدوات العلمية التجريبية المعيارية كالمطياف أو الفولتميتر ([2]، ص. 1) ([3]، ص. 1) ([4]، ص. 1). هذه الثنائية بين «الطاقة-القوة» و«الطاقة-الروح» تمثّل محور الجدل الفلسفي والعلمي حول شرعية هذا النوع من المعرفة.</w:t>
      </w:r>
    </w:p>
    <w:p w14:paraId="3A528B34" w14:textId="77777777" w:rsidR="00E157CA" w:rsidRDefault="003D1EF4" w:rsidP="0044318E">
      <w:pPr>
        <w:spacing w:after="200" w:line="320" w:lineRule="auto"/>
      </w:pPr>
      <w:r>
        <w:t xml:space="preserve">والملاحَظ أن الأدبيات الطبية المؤسسية ذاتها تعترف بهذا الغموض </w:t>
      </w:r>
      <w:proofErr w:type="spellStart"/>
      <w:r>
        <w:t>المفهومي</w:t>
      </w:r>
      <w:proofErr w:type="spellEnd"/>
      <w:r>
        <w:t xml:space="preserve">. فحتى المراكز البحثية الحكومية المعنية بدراسة الطب التكميلي تصف هذا «الحقل </w:t>
      </w:r>
      <w:proofErr w:type="spellStart"/>
      <w:r>
        <w:t>الطاقي</w:t>
      </w:r>
      <w:proofErr w:type="spellEnd"/>
      <w:r>
        <w:t>» (</w:t>
      </w:r>
      <w:proofErr w:type="spellStart"/>
      <w:r>
        <w:t>Biofield</w:t>
      </w:r>
      <w:proofErr w:type="spellEnd"/>
      <w:r>
        <w:t xml:space="preserve">) بأنه «حقل عديم الكتلة، ليس بالضرورة </w:t>
      </w:r>
      <w:proofErr w:type="spellStart"/>
      <w:r>
        <w:t>كهرومغناطيسياً</w:t>
      </w:r>
      <w:proofErr w:type="spellEnd"/>
      <w:r>
        <w:t>، يحيط بالكائنات الحية ويتخللها ويؤثر فيها» — وهو تعريف إجرائي اصطُلح عليه في اجتماع غير رسمي لخبراء الطب البديل، لا تعريف منبثق عن قياس فيزيائي متحقَّق منه. هذا الإقرار بانعدام الإجماع على تعريف المصطلح نفسه، من داخل الأوساط المعنية بدراسته، هو أول مؤشر على هشاشة أساسه المعرفي قبل الشروع في تفكيك جذوره الفلسفية.</w:t>
      </w:r>
    </w:p>
    <w:p w14:paraId="0BB30EC1" w14:textId="77777777" w:rsidR="00E157CA" w:rsidRDefault="003D1EF4" w:rsidP="0044318E">
      <w:pPr>
        <w:spacing w:after="200" w:line="320" w:lineRule="auto"/>
      </w:pPr>
      <w:r>
        <w:t xml:space="preserve">تهدف هذه الورقة البحثية إلى تعميق النظر في منابع هذه الفلسفة </w:t>
      </w:r>
      <w:proofErr w:type="spellStart"/>
      <w:r>
        <w:t>ومآلاتها</w:t>
      </w:r>
      <w:proofErr w:type="spellEnd"/>
      <w:r>
        <w:t xml:space="preserve"> </w:t>
      </w:r>
      <w:proofErr w:type="spellStart"/>
      <w:r>
        <w:t>الإبستمولوجية</w:t>
      </w:r>
      <w:proofErr w:type="spellEnd"/>
      <w:r>
        <w:t xml:space="preserve"> والعقدية، عبر منهجية تجمع بين التحليل الفلسفي المقارن، ونقد فلسفة العلم، والقراءة العقدية الإسلامية لمفهوم السببية.</w:t>
      </w:r>
    </w:p>
    <w:p w14:paraId="6F49B2D0" w14:textId="77777777" w:rsidR="00E157CA" w:rsidRDefault="003D1EF4" w:rsidP="0044318E">
      <w:pPr>
        <w:pStyle w:val="1"/>
        <w:pBdr>
          <w:bottom w:val="single" w:sz="6" w:space="4" w:color="B8862E"/>
        </w:pBdr>
        <w:bidi/>
      </w:pPr>
      <w:r>
        <w:t>٢. الأصول الفلسفية الشرقية: من «تشي» و«برانا» إلى «الطاقة الكونية»</w:t>
      </w:r>
    </w:p>
    <w:p w14:paraId="795DD84F" w14:textId="77777777" w:rsidR="00E157CA" w:rsidRDefault="003D1EF4" w:rsidP="0044318E">
      <w:pPr>
        <w:spacing w:after="200" w:line="320" w:lineRule="auto"/>
      </w:pPr>
      <w:r>
        <w:t>لفهم البنية التحتية الفكرية لطب الطاقة، لا بد من العودة إلى التقاليد الآسيوية التي تشترك في الاعتقاد بوجود «قوة حياة عالمية» تدعم العمليات الفسيولوجية والنفسية ([5]، ص. 1). هذه القوة ليست مجازاً شعرياً، بل هي جوهر أنطولوجي (وجودي) في تلك الفلسفات.</w:t>
      </w:r>
    </w:p>
    <w:p w14:paraId="20404D8E" w14:textId="77777777" w:rsidR="00E157CA" w:rsidRDefault="003D1EF4" w:rsidP="0044318E">
      <w:pPr>
        <w:pStyle w:val="2"/>
        <w:bidi/>
      </w:pPr>
      <w:r>
        <w:t>٢.١ المدرسة الصينية ومفهوم «تشي» (</w:t>
      </w:r>
      <w:proofErr w:type="spellStart"/>
      <w:r>
        <w:t>Qi</w:t>
      </w:r>
      <w:proofErr w:type="spellEnd"/>
      <w:r>
        <w:t>)</w:t>
      </w:r>
    </w:p>
    <w:p w14:paraId="5DEC07FE" w14:textId="77777777" w:rsidR="00E157CA" w:rsidRDefault="003D1EF4" w:rsidP="0044318E">
      <w:pPr>
        <w:spacing w:after="200" w:line="320" w:lineRule="auto"/>
      </w:pPr>
      <w:r>
        <w:t>في الثقافة الصينية، تُعرف هذه الطاقة الجوهرية باسم «تشي» (</w:t>
      </w:r>
      <w:proofErr w:type="spellStart"/>
      <w:r>
        <w:t>Qi</w:t>
      </w:r>
      <w:proofErr w:type="spellEnd"/>
      <w:r>
        <w:t xml:space="preserve">)، وهي تمثل اللبنة الأساسية للوجود والحركة في الكون. لا تقتصر </w:t>
      </w:r>
      <w:proofErr w:type="spellStart"/>
      <w:r>
        <w:t>التشي</w:t>
      </w:r>
      <w:proofErr w:type="spellEnd"/>
      <w:r>
        <w:t xml:space="preserve"> على الكائنات الحية فحسب، بل تتخلل الجماد والفضاء. وفقاً للطب الصيني التقليدي، تتدفق </w:t>
      </w:r>
      <w:proofErr w:type="spellStart"/>
      <w:r>
        <w:t>التشي</w:t>
      </w:r>
      <w:proofErr w:type="spellEnd"/>
      <w:r>
        <w:t xml:space="preserve"> عبر «مسارات غير مرئية» في الجسم تُسمى «الميريديان» (</w:t>
      </w:r>
      <w:proofErr w:type="spellStart"/>
      <w:r>
        <w:t>Meridians</w:t>
      </w:r>
      <w:proofErr w:type="spellEnd"/>
      <w:r>
        <w:t xml:space="preserve">) ([6]، ص. 1) ([7]، ص. 1) ([8]، ص. 1). المرض في هذا النسق المعرفي ليس عدوى ميكروبية أو خللاً عضوياً بحتاً كما في الطب الغربي، بل هو انسداد أو ركود في تدفق </w:t>
      </w:r>
      <w:proofErr w:type="spellStart"/>
      <w:r>
        <w:t>التشي</w:t>
      </w:r>
      <w:proofErr w:type="spellEnd"/>
      <w:r>
        <w:t xml:space="preserve"> عبر هذه القنوات. تمثل تقنيات الوخز بالإبر (</w:t>
      </w:r>
      <w:proofErr w:type="spellStart"/>
      <w:r>
        <w:t>Acupuncture</w:t>
      </w:r>
      <w:proofErr w:type="spellEnd"/>
      <w:r>
        <w:t xml:space="preserve">) </w:t>
      </w:r>
      <w:proofErr w:type="spellStart"/>
      <w:r>
        <w:t>وتاي</w:t>
      </w:r>
      <w:proofErr w:type="spellEnd"/>
      <w:r>
        <w:t xml:space="preserve"> تشي (</w:t>
      </w:r>
      <w:proofErr w:type="spellStart"/>
      <w:r>
        <w:t>Tai</w:t>
      </w:r>
      <w:proofErr w:type="spellEnd"/>
      <w:r>
        <w:t xml:space="preserve"> </w:t>
      </w:r>
      <w:proofErr w:type="spellStart"/>
      <w:r>
        <w:t>Chi</w:t>
      </w:r>
      <w:proofErr w:type="spellEnd"/>
      <w:r>
        <w:t>) تطبيقات عملية لمحاولة إعادة التوازن لهذا التيار الخفي.</w:t>
      </w:r>
    </w:p>
    <w:p w14:paraId="42FB7915" w14:textId="77777777" w:rsidR="00E157CA" w:rsidRDefault="003D1EF4" w:rsidP="0044318E">
      <w:pPr>
        <w:spacing w:after="200" w:line="320" w:lineRule="auto"/>
      </w:pPr>
      <w:r>
        <w:t>من المهم الإشارة هنا إلى أن تشريح الجثة لم يثبت يوماً وجود هذه المسارات ككيانات فيزيولوجية ملموسة، مما يبقي مفهوم «الميريديان» في حيز الاستعارة الفلسفية لا الواقع البيولوجي. وقد حاولت بعض الدراسات الحديثة ربط مسارات الميريديان بالنسيج الضام (</w:t>
      </w:r>
      <w:proofErr w:type="spellStart"/>
      <w:r>
        <w:t>Connective</w:t>
      </w:r>
      <w:proofErr w:type="spellEnd"/>
      <w:r>
        <w:t xml:space="preserve"> </w:t>
      </w:r>
      <w:proofErr w:type="spellStart"/>
      <w:r>
        <w:t>Tissue</w:t>
      </w:r>
      <w:proofErr w:type="spellEnd"/>
      <w:r>
        <w:t>) أو بمناطق ذات موصلية كهربائية أعلى في الجلد، إلا أن هذه المحاولات تبقى تفسيرات بديلة لاحقة (</w:t>
      </w:r>
      <w:proofErr w:type="spellStart"/>
      <w:r>
        <w:t>Post-hoc</w:t>
      </w:r>
      <w:proofErr w:type="spellEnd"/>
      <w:r>
        <w:t>) لا تستند إلى تنبؤات أصلية اشتق منها النموذج، وهو ما يضعها — كما سيأتي في المبحث الخاص بفلسفة العلم — في خانة «الفرضية المساعدة» التي تُستدعى لإنقاذ النظرية من التفنيد لا لاختبارها.</w:t>
      </w:r>
    </w:p>
    <w:p w14:paraId="4461045A" w14:textId="77777777" w:rsidR="00E157CA" w:rsidRDefault="003D1EF4" w:rsidP="0044318E">
      <w:pPr>
        <w:pStyle w:val="2"/>
        <w:bidi/>
      </w:pPr>
      <w:r>
        <w:t>٢.٢ المدرسة الهندية: «برانا» (</w:t>
      </w:r>
      <w:proofErr w:type="spellStart"/>
      <w:r>
        <w:t>Prana</w:t>
      </w:r>
      <w:proofErr w:type="spellEnd"/>
      <w:r>
        <w:t>) والشاكرات</w:t>
      </w:r>
    </w:p>
    <w:p w14:paraId="58F0D5D9" w14:textId="77777777" w:rsidR="00E157CA" w:rsidRDefault="003D1EF4" w:rsidP="0044318E">
      <w:pPr>
        <w:spacing w:after="200" w:line="320" w:lineRule="auto"/>
      </w:pPr>
      <w:r>
        <w:t xml:space="preserve">في التقاليد الهندية </w:t>
      </w:r>
      <w:proofErr w:type="spellStart"/>
      <w:r>
        <w:t>واليوغية</w:t>
      </w:r>
      <w:proofErr w:type="spellEnd"/>
      <w:r>
        <w:t xml:space="preserve">، يقابل مفهوم </w:t>
      </w:r>
      <w:proofErr w:type="spellStart"/>
      <w:r>
        <w:t>التشي</w:t>
      </w:r>
      <w:proofErr w:type="spellEnd"/>
      <w:r>
        <w:t xml:space="preserve"> مصطلح «برانا» (</w:t>
      </w:r>
      <w:proofErr w:type="spellStart"/>
      <w:r>
        <w:t>Prana</w:t>
      </w:r>
      <w:proofErr w:type="spellEnd"/>
      <w:r>
        <w:t>)، أي «نَفَس الحياة». هذا المفهوم أكثر التصاقاً بفعل التنفس، حيث يُعتقد أن استنشاق الهواء هو امتصاص للطاقة الكونية الحيوية. تعتمد هذه الفلسفة على نظام معقد من مراكز الطاقة تُعرف بـ«الشاكرات» (</w:t>
      </w:r>
      <w:proofErr w:type="spellStart"/>
      <w:r>
        <w:t>Chakras</w:t>
      </w:r>
      <w:proofErr w:type="spellEnd"/>
      <w:r>
        <w:t>)، وهي مراكز دوارة تقع على طول العمود الفقري، وتتصل بها قنوات دقيقة تسمى «نادي» (</w:t>
      </w:r>
      <w:proofErr w:type="spellStart"/>
      <w:r>
        <w:t>Nadi</w:t>
      </w:r>
      <w:proofErr w:type="spellEnd"/>
      <w:r>
        <w:t>) ([6]، ص. 1) ([9]، ص. 1) ([5]، ص. 1). يربط ممارسو اليوغا بين فتح هذه الشاكرات وتوازنها وبين الصحة النفسية والجسدية والصحوة الروحية.</w:t>
      </w:r>
    </w:p>
    <w:p w14:paraId="2A48C7EA" w14:textId="77777777" w:rsidR="00E157CA" w:rsidRDefault="003D1EF4" w:rsidP="0044318E">
      <w:pPr>
        <w:spacing w:after="200" w:line="320" w:lineRule="auto"/>
      </w:pPr>
      <w:r>
        <w:t>وفي اليابان، نجد المصطلح الموازي «كي» (</w:t>
      </w:r>
      <w:proofErr w:type="spellStart"/>
      <w:r>
        <w:t>Ki</w:t>
      </w:r>
      <w:proofErr w:type="spellEnd"/>
      <w:r>
        <w:t>)، وهو المكوّن الأساسي لممارسة «</w:t>
      </w:r>
      <w:proofErr w:type="spellStart"/>
      <w:r>
        <w:t>الريكي</w:t>
      </w:r>
      <w:proofErr w:type="spellEnd"/>
      <w:r>
        <w:t>» (</w:t>
      </w:r>
      <w:proofErr w:type="spellStart"/>
      <w:r>
        <w:t>Reiki</w:t>
      </w:r>
      <w:proofErr w:type="spellEnd"/>
      <w:r>
        <w:t>) والتي تعني حرفياً «طاقة الحياة الكونية» ([10]، ص. 1) ([11]، ص. 1) ([12]، ص. 1)، حيث يدّعي المعالج نقل هذه الطاقة إلى المريض عبر اللمس أو التمرير بالأيدي لتحفيز الشفاء الذاتي. وتُصنَّف هذه الممارسات اليوم، إلى جانب اللمس العلاجي (</w:t>
      </w:r>
      <w:proofErr w:type="spellStart"/>
      <w:r>
        <w:t>Therapeutic</w:t>
      </w:r>
      <w:proofErr w:type="spellEnd"/>
      <w:r>
        <w:t xml:space="preserve"> </w:t>
      </w:r>
      <w:proofErr w:type="spellStart"/>
      <w:r>
        <w:t>Touch</w:t>
      </w:r>
      <w:proofErr w:type="spellEnd"/>
      <w:r>
        <w:t>) واللمس الشافي (</w:t>
      </w:r>
      <w:proofErr w:type="spellStart"/>
      <w:r>
        <w:t>Healing</w:t>
      </w:r>
      <w:proofErr w:type="spellEnd"/>
      <w:r>
        <w:t xml:space="preserve"> </w:t>
      </w:r>
      <w:proofErr w:type="spellStart"/>
      <w:r>
        <w:t>Touch</w:t>
      </w:r>
      <w:proofErr w:type="spellEnd"/>
      <w:r>
        <w:t xml:space="preserve">) وتشي </w:t>
      </w:r>
      <w:proofErr w:type="spellStart"/>
      <w:r>
        <w:t>غونغ</w:t>
      </w:r>
      <w:proofErr w:type="spellEnd"/>
      <w:r>
        <w:t xml:space="preserve"> الخارجي (</w:t>
      </w:r>
      <w:proofErr w:type="spellStart"/>
      <w:r>
        <w:t>External</w:t>
      </w:r>
      <w:proofErr w:type="spellEnd"/>
      <w:r>
        <w:t xml:space="preserve"> </w:t>
      </w:r>
      <w:proofErr w:type="spellStart"/>
      <w:r>
        <w:t>Qigong</w:t>
      </w:r>
      <w:proofErr w:type="spellEnd"/>
      <w:r>
        <w:t>)، تحت مظلة واحدة في الأدبيات الطبية الغربية المعاصرة هي «العلاجات الطاقية الحيوية» (</w:t>
      </w:r>
      <w:proofErr w:type="spellStart"/>
      <w:r>
        <w:t>Biofield</w:t>
      </w:r>
      <w:proofErr w:type="spellEnd"/>
      <w:r>
        <w:t xml:space="preserve"> </w:t>
      </w:r>
      <w:proofErr w:type="spellStart"/>
      <w:r>
        <w:t>Therapies</w:t>
      </w:r>
      <w:proofErr w:type="spellEnd"/>
      <w:r>
        <w:t>)، وهي تسمية مؤسسية حديثة جمعت ممارسات متباينة الأصل تحت مصطلح واحد غير محدَّد الماهية بدقة.</w:t>
      </w:r>
    </w:p>
    <w:p w14:paraId="452A2CEE" w14:textId="77777777" w:rsidR="00E157CA" w:rsidRDefault="00E157CA" w:rsidP="0044318E">
      <w:pPr>
        <w:spacing w:after="120"/>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2100"/>
        <w:gridCol w:w="2860"/>
        <w:gridCol w:w="2700"/>
      </w:tblGrid>
      <w:tr w:rsidR="00E157CA" w14:paraId="6FF2F0E7" w14:textId="77777777">
        <w:trPr>
          <w:tblHeader/>
        </w:trPr>
        <w:tc>
          <w:tcPr>
            <w:tcW w:w="1700" w:type="dxa"/>
            <w:tcBorders>
              <w:top w:val="single" w:sz="2" w:space="0" w:color="C9C9C9"/>
              <w:left w:val="single" w:sz="2" w:space="0" w:color="C9C9C9"/>
              <w:bottom w:val="single" w:sz="2" w:space="0" w:color="C9C9C9"/>
              <w:right w:val="single" w:sz="2" w:space="0" w:color="C9C9C9"/>
            </w:tcBorders>
            <w:shd w:val="clear" w:color="auto" w:fill="1B2A4A"/>
            <w:tcMar>
              <w:top w:w="100" w:type="dxa"/>
              <w:left w:w="140" w:type="dxa"/>
              <w:bottom w:w="100" w:type="dxa"/>
              <w:right w:w="140" w:type="dxa"/>
            </w:tcMar>
            <w:vAlign w:val="center"/>
          </w:tcPr>
          <w:p w14:paraId="7E0A86E4" w14:textId="77777777" w:rsidR="00E157CA" w:rsidRDefault="003D1EF4" w:rsidP="0044318E">
            <w:r>
              <w:rPr>
                <w:b/>
                <w:bCs/>
                <w:color w:val="FFFFFF"/>
                <w:sz w:val="22"/>
                <w:szCs w:val="22"/>
              </w:rPr>
              <w:t>التقليد</w:t>
            </w:r>
          </w:p>
        </w:tc>
        <w:tc>
          <w:tcPr>
            <w:tcW w:w="2100" w:type="dxa"/>
            <w:tcBorders>
              <w:top w:val="single" w:sz="2" w:space="0" w:color="C9C9C9"/>
              <w:left w:val="single" w:sz="2" w:space="0" w:color="C9C9C9"/>
              <w:bottom w:val="single" w:sz="2" w:space="0" w:color="C9C9C9"/>
              <w:right w:val="single" w:sz="2" w:space="0" w:color="C9C9C9"/>
            </w:tcBorders>
            <w:shd w:val="clear" w:color="auto" w:fill="1B2A4A"/>
            <w:tcMar>
              <w:top w:w="100" w:type="dxa"/>
              <w:left w:w="140" w:type="dxa"/>
              <w:bottom w:w="100" w:type="dxa"/>
              <w:right w:w="140" w:type="dxa"/>
            </w:tcMar>
            <w:vAlign w:val="center"/>
          </w:tcPr>
          <w:p w14:paraId="74E5D043" w14:textId="77777777" w:rsidR="00E157CA" w:rsidRDefault="003D1EF4" w:rsidP="0044318E">
            <w:r>
              <w:rPr>
                <w:b/>
                <w:bCs/>
                <w:color w:val="FFFFFF"/>
                <w:sz w:val="22"/>
                <w:szCs w:val="22"/>
              </w:rPr>
              <w:t>المصطلح الأصلي</w:t>
            </w:r>
          </w:p>
        </w:tc>
        <w:tc>
          <w:tcPr>
            <w:tcW w:w="2860" w:type="dxa"/>
            <w:tcBorders>
              <w:top w:val="single" w:sz="2" w:space="0" w:color="C9C9C9"/>
              <w:left w:val="single" w:sz="2" w:space="0" w:color="C9C9C9"/>
              <w:bottom w:val="single" w:sz="2" w:space="0" w:color="C9C9C9"/>
              <w:right w:val="single" w:sz="2" w:space="0" w:color="C9C9C9"/>
            </w:tcBorders>
            <w:shd w:val="clear" w:color="auto" w:fill="1B2A4A"/>
            <w:tcMar>
              <w:top w:w="100" w:type="dxa"/>
              <w:left w:w="140" w:type="dxa"/>
              <w:bottom w:w="100" w:type="dxa"/>
              <w:right w:w="140" w:type="dxa"/>
            </w:tcMar>
            <w:vAlign w:val="center"/>
          </w:tcPr>
          <w:p w14:paraId="2F7388B6" w14:textId="77777777" w:rsidR="00E157CA" w:rsidRDefault="003D1EF4" w:rsidP="0044318E">
            <w:r>
              <w:rPr>
                <w:b/>
                <w:bCs/>
                <w:color w:val="FFFFFF"/>
                <w:sz w:val="22"/>
                <w:szCs w:val="22"/>
              </w:rPr>
              <w:t>آلية الافتراض</w:t>
            </w:r>
          </w:p>
        </w:tc>
        <w:tc>
          <w:tcPr>
            <w:tcW w:w="2700" w:type="dxa"/>
            <w:tcBorders>
              <w:top w:val="single" w:sz="2" w:space="0" w:color="C9C9C9"/>
              <w:left w:val="single" w:sz="2" w:space="0" w:color="C9C9C9"/>
              <w:bottom w:val="single" w:sz="2" w:space="0" w:color="C9C9C9"/>
              <w:right w:val="single" w:sz="2" w:space="0" w:color="C9C9C9"/>
            </w:tcBorders>
            <w:shd w:val="clear" w:color="auto" w:fill="1B2A4A"/>
            <w:tcMar>
              <w:top w:w="100" w:type="dxa"/>
              <w:left w:w="140" w:type="dxa"/>
              <w:bottom w:w="100" w:type="dxa"/>
              <w:right w:w="140" w:type="dxa"/>
            </w:tcMar>
            <w:vAlign w:val="center"/>
          </w:tcPr>
          <w:p w14:paraId="7E507705" w14:textId="77777777" w:rsidR="00E157CA" w:rsidRDefault="003D1EF4" w:rsidP="0044318E">
            <w:r>
              <w:rPr>
                <w:b/>
                <w:bCs/>
                <w:color w:val="FFFFFF"/>
                <w:sz w:val="22"/>
                <w:szCs w:val="22"/>
              </w:rPr>
              <w:t>الأداة العلاجية</w:t>
            </w:r>
          </w:p>
        </w:tc>
      </w:tr>
      <w:tr w:rsidR="00E157CA" w14:paraId="296B0C78" w14:textId="77777777">
        <w:tc>
          <w:tcPr>
            <w:tcW w:w="1700" w:type="dxa"/>
            <w:tcBorders>
              <w:top w:val="single" w:sz="2" w:space="0" w:color="C9C9C9"/>
              <w:left w:val="single" w:sz="2" w:space="0" w:color="C9C9C9"/>
              <w:bottom w:val="single" w:sz="2" w:space="0" w:color="C9C9C9"/>
              <w:right w:val="single" w:sz="2" w:space="0" w:color="C9C9C9"/>
            </w:tcBorders>
            <w:shd w:val="clear" w:color="auto" w:fill="FFFFFF"/>
            <w:tcMar>
              <w:top w:w="100" w:type="dxa"/>
              <w:left w:w="140" w:type="dxa"/>
              <w:bottom w:w="100" w:type="dxa"/>
              <w:right w:w="140" w:type="dxa"/>
            </w:tcMar>
            <w:vAlign w:val="center"/>
          </w:tcPr>
          <w:p w14:paraId="5610B1F2" w14:textId="77777777" w:rsidR="00E157CA" w:rsidRDefault="003D1EF4" w:rsidP="0044318E">
            <w:r>
              <w:rPr>
                <w:sz w:val="21"/>
                <w:szCs w:val="21"/>
              </w:rPr>
              <w:t>الصين</w:t>
            </w:r>
          </w:p>
        </w:tc>
        <w:tc>
          <w:tcPr>
            <w:tcW w:w="2100" w:type="dxa"/>
            <w:tcBorders>
              <w:top w:val="single" w:sz="2" w:space="0" w:color="C9C9C9"/>
              <w:left w:val="single" w:sz="2" w:space="0" w:color="C9C9C9"/>
              <w:bottom w:val="single" w:sz="2" w:space="0" w:color="C9C9C9"/>
              <w:right w:val="single" w:sz="2" w:space="0" w:color="C9C9C9"/>
            </w:tcBorders>
            <w:shd w:val="clear" w:color="auto" w:fill="FFFFFF"/>
            <w:tcMar>
              <w:top w:w="100" w:type="dxa"/>
              <w:left w:w="140" w:type="dxa"/>
              <w:bottom w:w="100" w:type="dxa"/>
              <w:right w:w="140" w:type="dxa"/>
            </w:tcMar>
            <w:vAlign w:val="center"/>
          </w:tcPr>
          <w:p w14:paraId="59877DA2" w14:textId="77777777" w:rsidR="00E157CA" w:rsidRDefault="003D1EF4" w:rsidP="0044318E">
            <w:r>
              <w:rPr>
                <w:sz w:val="21"/>
                <w:szCs w:val="21"/>
              </w:rPr>
              <w:t>تشي (</w:t>
            </w:r>
            <w:proofErr w:type="spellStart"/>
            <w:r>
              <w:rPr>
                <w:sz w:val="21"/>
                <w:szCs w:val="21"/>
              </w:rPr>
              <w:t>Qi</w:t>
            </w:r>
            <w:proofErr w:type="spellEnd"/>
            <w:r>
              <w:rPr>
                <w:sz w:val="21"/>
                <w:szCs w:val="21"/>
              </w:rPr>
              <w:t>)</w:t>
            </w:r>
          </w:p>
        </w:tc>
        <w:tc>
          <w:tcPr>
            <w:tcW w:w="2860" w:type="dxa"/>
            <w:tcBorders>
              <w:top w:val="single" w:sz="2" w:space="0" w:color="C9C9C9"/>
              <w:left w:val="single" w:sz="2" w:space="0" w:color="C9C9C9"/>
              <w:bottom w:val="single" w:sz="2" w:space="0" w:color="C9C9C9"/>
              <w:right w:val="single" w:sz="2" w:space="0" w:color="C9C9C9"/>
            </w:tcBorders>
            <w:shd w:val="clear" w:color="auto" w:fill="FFFFFF"/>
            <w:tcMar>
              <w:top w:w="100" w:type="dxa"/>
              <w:left w:w="140" w:type="dxa"/>
              <w:bottom w:w="100" w:type="dxa"/>
              <w:right w:w="140" w:type="dxa"/>
            </w:tcMar>
            <w:vAlign w:val="center"/>
          </w:tcPr>
          <w:p w14:paraId="3DEB9F32" w14:textId="77777777" w:rsidR="00E157CA" w:rsidRDefault="003D1EF4" w:rsidP="0044318E">
            <w:r>
              <w:rPr>
                <w:sz w:val="21"/>
                <w:szCs w:val="21"/>
              </w:rPr>
              <w:t>تدفق عبر الميريديان</w:t>
            </w:r>
          </w:p>
        </w:tc>
        <w:tc>
          <w:tcPr>
            <w:tcW w:w="2700" w:type="dxa"/>
            <w:tcBorders>
              <w:top w:val="single" w:sz="2" w:space="0" w:color="C9C9C9"/>
              <w:left w:val="single" w:sz="2" w:space="0" w:color="C9C9C9"/>
              <w:bottom w:val="single" w:sz="2" w:space="0" w:color="C9C9C9"/>
              <w:right w:val="single" w:sz="2" w:space="0" w:color="C9C9C9"/>
            </w:tcBorders>
            <w:shd w:val="clear" w:color="auto" w:fill="FFFFFF"/>
            <w:tcMar>
              <w:top w:w="100" w:type="dxa"/>
              <w:left w:w="140" w:type="dxa"/>
              <w:bottom w:w="100" w:type="dxa"/>
              <w:right w:w="140" w:type="dxa"/>
            </w:tcMar>
            <w:vAlign w:val="center"/>
          </w:tcPr>
          <w:p w14:paraId="134717DC" w14:textId="77777777" w:rsidR="00E157CA" w:rsidRDefault="003D1EF4" w:rsidP="0044318E">
            <w:r>
              <w:rPr>
                <w:sz w:val="21"/>
                <w:szCs w:val="21"/>
              </w:rPr>
              <w:t xml:space="preserve">الوخز بالإبر، </w:t>
            </w:r>
            <w:proofErr w:type="spellStart"/>
            <w:r>
              <w:rPr>
                <w:sz w:val="21"/>
                <w:szCs w:val="21"/>
              </w:rPr>
              <w:t>تاي</w:t>
            </w:r>
            <w:proofErr w:type="spellEnd"/>
            <w:r>
              <w:rPr>
                <w:sz w:val="21"/>
                <w:szCs w:val="21"/>
              </w:rPr>
              <w:t xml:space="preserve"> تشي</w:t>
            </w:r>
          </w:p>
        </w:tc>
      </w:tr>
      <w:tr w:rsidR="00E157CA" w14:paraId="75D2F4DA" w14:textId="77777777">
        <w:tc>
          <w:tcPr>
            <w:tcW w:w="1700" w:type="dxa"/>
            <w:tcBorders>
              <w:top w:val="single" w:sz="2" w:space="0" w:color="C9C9C9"/>
              <w:left w:val="single" w:sz="2" w:space="0" w:color="C9C9C9"/>
              <w:bottom w:val="single" w:sz="2" w:space="0" w:color="C9C9C9"/>
              <w:right w:val="single" w:sz="2" w:space="0" w:color="C9C9C9"/>
            </w:tcBorders>
            <w:shd w:val="clear" w:color="auto" w:fill="E7F1F0"/>
            <w:tcMar>
              <w:top w:w="100" w:type="dxa"/>
              <w:left w:w="140" w:type="dxa"/>
              <w:bottom w:w="100" w:type="dxa"/>
              <w:right w:w="140" w:type="dxa"/>
            </w:tcMar>
            <w:vAlign w:val="center"/>
          </w:tcPr>
          <w:p w14:paraId="0ACA1E41" w14:textId="77777777" w:rsidR="00E157CA" w:rsidRDefault="003D1EF4" w:rsidP="0044318E">
            <w:r>
              <w:rPr>
                <w:sz w:val="21"/>
                <w:szCs w:val="21"/>
              </w:rPr>
              <w:t>الهند</w:t>
            </w:r>
          </w:p>
        </w:tc>
        <w:tc>
          <w:tcPr>
            <w:tcW w:w="2100" w:type="dxa"/>
            <w:tcBorders>
              <w:top w:val="single" w:sz="2" w:space="0" w:color="C9C9C9"/>
              <w:left w:val="single" w:sz="2" w:space="0" w:color="C9C9C9"/>
              <w:bottom w:val="single" w:sz="2" w:space="0" w:color="C9C9C9"/>
              <w:right w:val="single" w:sz="2" w:space="0" w:color="C9C9C9"/>
            </w:tcBorders>
            <w:shd w:val="clear" w:color="auto" w:fill="E7F1F0"/>
            <w:tcMar>
              <w:top w:w="100" w:type="dxa"/>
              <w:left w:w="140" w:type="dxa"/>
              <w:bottom w:w="100" w:type="dxa"/>
              <w:right w:w="140" w:type="dxa"/>
            </w:tcMar>
            <w:vAlign w:val="center"/>
          </w:tcPr>
          <w:p w14:paraId="06F7621B" w14:textId="77777777" w:rsidR="00E157CA" w:rsidRDefault="003D1EF4" w:rsidP="0044318E">
            <w:r>
              <w:rPr>
                <w:sz w:val="21"/>
                <w:szCs w:val="21"/>
              </w:rPr>
              <w:t>برانا (</w:t>
            </w:r>
            <w:proofErr w:type="spellStart"/>
            <w:r>
              <w:rPr>
                <w:sz w:val="21"/>
                <w:szCs w:val="21"/>
              </w:rPr>
              <w:t>Prana</w:t>
            </w:r>
            <w:proofErr w:type="spellEnd"/>
            <w:r>
              <w:rPr>
                <w:sz w:val="21"/>
                <w:szCs w:val="21"/>
              </w:rPr>
              <w:t>)</w:t>
            </w:r>
          </w:p>
        </w:tc>
        <w:tc>
          <w:tcPr>
            <w:tcW w:w="2860" w:type="dxa"/>
            <w:tcBorders>
              <w:top w:val="single" w:sz="2" w:space="0" w:color="C9C9C9"/>
              <w:left w:val="single" w:sz="2" w:space="0" w:color="C9C9C9"/>
              <w:bottom w:val="single" w:sz="2" w:space="0" w:color="C9C9C9"/>
              <w:right w:val="single" w:sz="2" w:space="0" w:color="C9C9C9"/>
            </w:tcBorders>
            <w:shd w:val="clear" w:color="auto" w:fill="E7F1F0"/>
            <w:tcMar>
              <w:top w:w="100" w:type="dxa"/>
              <w:left w:w="140" w:type="dxa"/>
              <w:bottom w:w="100" w:type="dxa"/>
              <w:right w:w="140" w:type="dxa"/>
            </w:tcMar>
            <w:vAlign w:val="center"/>
          </w:tcPr>
          <w:p w14:paraId="5B7B6C04" w14:textId="77777777" w:rsidR="00E157CA" w:rsidRDefault="003D1EF4" w:rsidP="0044318E">
            <w:r>
              <w:rPr>
                <w:sz w:val="21"/>
                <w:szCs w:val="21"/>
              </w:rPr>
              <w:t>تدفق عبر الشاكرات والنادي</w:t>
            </w:r>
          </w:p>
        </w:tc>
        <w:tc>
          <w:tcPr>
            <w:tcW w:w="2700" w:type="dxa"/>
            <w:tcBorders>
              <w:top w:val="single" w:sz="2" w:space="0" w:color="C9C9C9"/>
              <w:left w:val="single" w:sz="2" w:space="0" w:color="C9C9C9"/>
              <w:bottom w:val="single" w:sz="2" w:space="0" w:color="C9C9C9"/>
              <w:right w:val="single" w:sz="2" w:space="0" w:color="C9C9C9"/>
            </w:tcBorders>
            <w:shd w:val="clear" w:color="auto" w:fill="E7F1F0"/>
            <w:tcMar>
              <w:top w:w="100" w:type="dxa"/>
              <w:left w:w="140" w:type="dxa"/>
              <w:bottom w:w="100" w:type="dxa"/>
              <w:right w:w="140" w:type="dxa"/>
            </w:tcMar>
            <w:vAlign w:val="center"/>
          </w:tcPr>
          <w:p w14:paraId="28EBB6DD" w14:textId="77777777" w:rsidR="00E157CA" w:rsidRDefault="003D1EF4" w:rsidP="0044318E">
            <w:r>
              <w:rPr>
                <w:sz w:val="21"/>
                <w:szCs w:val="21"/>
              </w:rPr>
              <w:t>اليوغا، التأمل</w:t>
            </w:r>
          </w:p>
        </w:tc>
      </w:tr>
      <w:tr w:rsidR="00E157CA" w14:paraId="0E6AE62C" w14:textId="77777777">
        <w:tc>
          <w:tcPr>
            <w:tcW w:w="1700" w:type="dxa"/>
            <w:tcBorders>
              <w:top w:val="single" w:sz="2" w:space="0" w:color="C9C9C9"/>
              <w:left w:val="single" w:sz="2" w:space="0" w:color="C9C9C9"/>
              <w:bottom w:val="single" w:sz="2" w:space="0" w:color="C9C9C9"/>
              <w:right w:val="single" w:sz="2" w:space="0" w:color="C9C9C9"/>
            </w:tcBorders>
            <w:shd w:val="clear" w:color="auto" w:fill="FFFFFF"/>
            <w:tcMar>
              <w:top w:w="100" w:type="dxa"/>
              <w:left w:w="140" w:type="dxa"/>
              <w:bottom w:w="100" w:type="dxa"/>
              <w:right w:w="140" w:type="dxa"/>
            </w:tcMar>
            <w:vAlign w:val="center"/>
          </w:tcPr>
          <w:p w14:paraId="390854B8" w14:textId="77777777" w:rsidR="00E157CA" w:rsidRDefault="003D1EF4" w:rsidP="0044318E">
            <w:r>
              <w:rPr>
                <w:sz w:val="21"/>
                <w:szCs w:val="21"/>
              </w:rPr>
              <w:t>اليابان</w:t>
            </w:r>
          </w:p>
        </w:tc>
        <w:tc>
          <w:tcPr>
            <w:tcW w:w="2100" w:type="dxa"/>
            <w:tcBorders>
              <w:top w:val="single" w:sz="2" w:space="0" w:color="C9C9C9"/>
              <w:left w:val="single" w:sz="2" w:space="0" w:color="C9C9C9"/>
              <w:bottom w:val="single" w:sz="2" w:space="0" w:color="C9C9C9"/>
              <w:right w:val="single" w:sz="2" w:space="0" w:color="C9C9C9"/>
            </w:tcBorders>
            <w:shd w:val="clear" w:color="auto" w:fill="FFFFFF"/>
            <w:tcMar>
              <w:top w:w="100" w:type="dxa"/>
              <w:left w:w="140" w:type="dxa"/>
              <w:bottom w:w="100" w:type="dxa"/>
              <w:right w:w="140" w:type="dxa"/>
            </w:tcMar>
            <w:vAlign w:val="center"/>
          </w:tcPr>
          <w:p w14:paraId="0FA6E48C" w14:textId="77777777" w:rsidR="00E157CA" w:rsidRDefault="003D1EF4" w:rsidP="0044318E">
            <w:r>
              <w:rPr>
                <w:sz w:val="21"/>
                <w:szCs w:val="21"/>
              </w:rPr>
              <w:t>كي (</w:t>
            </w:r>
            <w:proofErr w:type="spellStart"/>
            <w:r>
              <w:rPr>
                <w:sz w:val="21"/>
                <w:szCs w:val="21"/>
              </w:rPr>
              <w:t>Ki</w:t>
            </w:r>
            <w:proofErr w:type="spellEnd"/>
            <w:r>
              <w:rPr>
                <w:sz w:val="21"/>
                <w:szCs w:val="21"/>
              </w:rPr>
              <w:t>)</w:t>
            </w:r>
          </w:p>
        </w:tc>
        <w:tc>
          <w:tcPr>
            <w:tcW w:w="2860" w:type="dxa"/>
            <w:tcBorders>
              <w:top w:val="single" w:sz="2" w:space="0" w:color="C9C9C9"/>
              <w:left w:val="single" w:sz="2" w:space="0" w:color="C9C9C9"/>
              <w:bottom w:val="single" w:sz="2" w:space="0" w:color="C9C9C9"/>
              <w:right w:val="single" w:sz="2" w:space="0" w:color="C9C9C9"/>
            </w:tcBorders>
            <w:shd w:val="clear" w:color="auto" w:fill="FFFFFF"/>
            <w:tcMar>
              <w:top w:w="100" w:type="dxa"/>
              <w:left w:w="140" w:type="dxa"/>
              <w:bottom w:w="100" w:type="dxa"/>
              <w:right w:w="140" w:type="dxa"/>
            </w:tcMar>
            <w:vAlign w:val="center"/>
          </w:tcPr>
          <w:p w14:paraId="109A9033" w14:textId="77777777" w:rsidR="00E157CA" w:rsidRDefault="003D1EF4" w:rsidP="0044318E">
            <w:r>
              <w:rPr>
                <w:sz w:val="21"/>
                <w:szCs w:val="21"/>
              </w:rPr>
              <w:t>نقل بالمس أو تمرير اليد</w:t>
            </w:r>
          </w:p>
        </w:tc>
        <w:tc>
          <w:tcPr>
            <w:tcW w:w="2700" w:type="dxa"/>
            <w:tcBorders>
              <w:top w:val="single" w:sz="2" w:space="0" w:color="C9C9C9"/>
              <w:left w:val="single" w:sz="2" w:space="0" w:color="C9C9C9"/>
              <w:bottom w:val="single" w:sz="2" w:space="0" w:color="C9C9C9"/>
              <w:right w:val="single" w:sz="2" w:space="0" w:color="C9C9C9"/>
            </w:tcBorders>
            <w:shd w:val="clear" w:color="auto" w:fill="FFFFFF"/>
            <w:tcMar>
              <w:top w:w="100" w:type="dxa"/>
              <w:left w:w="140" w:type="dxa"/>
              <w:bottom w:w="100" w:type="dxa"/>
              <w:right w:w="140" w:type="dxa"/>
            </w:tcMar>
            <w:vAlign w:val="center"/>
          </w:tcPr>
          <w:p w14:paraId="149AB6FE" w14:textId="77777777" w:rsidR="00E157CA" w:rsidRDefault="003D1EF4" w:rsidP="0044318E">
            <w:proofErr w:type="spellStart"/>
            <w:r>
              <w:rPr>
                <w:sz w:val="21"/>
                <w:szCs w:val="21"/>
              </w:rPr>
              <w:t>الريكي</w:t>
            </w:r>
            <w:proofErr w:type="spellEnd"/>
          </w:p>
        </w:tc>
      </w:tr>
      <w:tr w:rsidR="00E157CA" w14:paraId="14295F3D" w14:textId="77777777">
        <w:tc>
          <w:tcPr>
            <w:tcW w:w="1700" w:type="dxa"/>
            <w:tcBorders>
              <w:top w:val="single" w:sz="2" w:space="0" w:color="C9C9C9"/>
              <w:left w:val="single" w:sz="2" w:space="0" w:color="C9C9C9"/>
              <w:bottom w:val="single" w:sz="2" w:space="0" w:color="C9C9C9"/>
              <w:right w:val="single" w:sz="2" w:space="0" w:color="C9C9C9"/>
            </w:tcBorders>
            <w:shd w:val="clear" w:color="auto" w:fill="E7F1F0"/>
            <w:tcMar>
              <w:top w:w="100" w:type="dxa"/>
              <w:left w:w="140" w:type="dxa"/>
              <w:bottom w:w="100" w:type="dxa"/>
              <w:right w:w="140" w:type="dxa"/>
            </w:tcMar>
            <w:vAlign w:val="center"/>
          </w:tcPr>
          <w:p w14:paraId="360CECCB" w14:textId="77777777" w:rsidR="00E157CA" w:rsidRDefault="003D1EF4" w:rsidP="0044318E">
            <w:r>
              <w:rPr>
                <w:sz w:val="21"/>
                <w:szCs w:val="21"/>
              </w:rPr>
              <w:t>الغرب الحديث</w:t>
            </w:r>
          </w:p>
        </w:tc>
        <w:tc>
          <w:tcPr>
            <w:tcW w:w="2100" w:type="dxa"/>
            <w:tcBorders>
              <w:top w:val="single" w:sz="2" w:space="0" w:color="C9C9C9"/>
              <w:left w:val="single" w:sz="2" w:space="0" w:color="C9C9C9"/>
              <w:bottom w:val="single" w:sz="2" w:space="0" w:color="C9C9C9"/>
              <w:right w:val="single" w:sz="2" w:space="0" w:color="C9C9C9"/>
            </w:tcBorders>
            <w:shd w:val="clear" w:color="auto" w:fill="E7F1F0"/>
            <w:tcMar>
              <w:top w:w="100" w:type="dxa"/>
              <w:left w:w="140" w:type="dxa"/>
              <w:bottom w:w="100" w:type="dxa"/>
              <w:right w:w="140" w:type="dxa"/>
            </w:tcMar>
            <w:vAlign w:val="center"/>
          </w:tcPr>
          <w:p w14:paraId="28E4F42D" w14:textId="77777777" w:rsidR="00E157CA" w:rsidRDefault="003D1EF4" w:rsidP="0044318E">
            <w:proofErr w:type="spellStart"/>
            <w:r>
              <w:rPr>
                <w:sz w:val="21"/>
                <w:szCs w:val="21"/>
              </w:rPr>
              <w:t>Biofield</w:t>
            </w:r>
            <w:proofErr w:type="spellEnd"/>
          </w:p>
        </w:tc>
        <w:tc>
          <w:tcPr>
            <w:tcW w:w="2860" w:type="dxa"/>
            <w:tcBorders>
              <w:top w:val="single" w:sz="2" w:space="0" w:color="C9C9C9"/>
              <w:left w:val="single" w:sz="2" w:space="0" w:color="C9C9C9"/>
              <w:bottom w:val="single" w:sz="2" w:space="0" w:color="C9C9C9"/>
              <w:right w:val="single" w:sz="2" w:space="0" w:color="C9C9C9"/>
            </w:tcBorders>
            <w:shd w:val="clear" w:color="auto" w:fill="E7F1F0"/>
            <w:tcMar>
              <w:top w:w="100" w:type="dxa"/>
              <w:left w:w="140" w:type="dxa"/>
              <w:bottom w:w="100" w:type="dxa"/>
              <w:right w:w="140" w:type="dxa"/>
            </w:tcMar>
            <w:vAlign w:val="center"/>
          </w:tcPr>
          <w:p w14:paraId="72782050" w14:textId="77777777" w:rsidR="00E157CA" w:rsidRDefault="003D1EF4" w:rsidP="0044318E">
            <w:r>
              <w:rPr>
                <w:sz w:val="21"/>
                <w:szCs w:val="21"/>
              </w:rPr>
              <w:t>حقل عديم الكتلة محيط بالجسم</w:t>
            </w:r>
          </w:p>
        </w:tc>
        <w:tc>
          <w:tcPr>
            <w:tcW w:w="2700" w:type="dxa"/>
            <w:tcBorders>
              <w:top w:val="single" w:sz="2" w:space="0" w:color="C9C9C9"/>
              <w:left w:val="single" w:sz="2" w:space="0" w:color="C9C9C9"/>
              <w:bottom w:val="single" w:sz="2" w:space="0" w:color="C9C9C9"/>
              <w:right w:val="single" w:sz="2" w:space="0" w:color="C9C9C9"/>
            </w:tcBorders>
            <w:shd w:val="clear" w:color="auto" w:fill="E7F1F0"/>
            <w:tcMar>
              <w:top w:w="100" w:type="dxa"/>
              <w:left w:w="140" w:type="dxa"/>
              <w:bottom w:w="100" w:type="dxa"/>
              <w:right w:w="140" w:type="dxa"/>
            </w:tcMar>
            <w:vAlign w:val="center"/>
          </w:tcPr>
          <w:p w14:paraId="057C7F39" w14:textId="77777777" w:rsidR="00E157CA" w:rsidRDefault="003D1EF4" w:rsidP="0044318E">
            <w:r>
              <w:rPr>
                <w:sz w:val="21"/>
                <w:szCs w:val="21"/>
              </w:rPr>
              <w:t>اللمس العلاجي، اللمس الشافي</w:t>
            </w:r>
          </w:p>
        </w:tc>
      </w:tr>
    </w:tbl>
    <w:p w14:paraId="12375D1D" w14:textId="77777777" w:rsidR="00E157CA" w:rsidRDefault="00E157CA" w:rsidP="0044318E">
      <w:pPr>
        <w:spacing w:after="120"/>
      </w:pPr>
    </w:p>
    <w:p w14:paraId="70FBCC9E" w14:textId="77777777" w:rsidR="00E157CA" w:rsidRDefault="003D1EF4" w:rsidP="0044318E">
      <w:pPr>
        <w:pStyle w:val="1"/>
        <w:pBdr>
          <w:bottom w:val="single" w:sz="6" w:space="4" w:color="B8862E"/>
        </w:pBdr>
        <w:bidi/>
      </w:pPr>
      <w:r>
        <w:t>٣. عقيدة الحيوية (</w:t>
      </w:r>
      <w:proofErr w:type="spellStart"/>
      <w:r>
        <w:t>Vitalism</w:t>
      </w:r>
      <w:proofErr w:type="spellEnd"/>
      <w:r>
        <w:t>): خلفية تاريخية عن رفض الاختزال المادي</w:t>
      </w:r>
    </w:p>
    <w:p w14:paraId="06E5B440" w14:textId="77777777" w:rsidR="00E157CA" w:rsidRDefault="003D1EF4" w:rsidP="0044318E">
      <w:pPr>
        <w:spacing w:after="200" w:line="320" w:lineRule="auto"/>
      </w:pPr>
      <w:r>
        <w:t>لا تقف جذور طب الطاقة عند تخوم الشرق فقط، بل لها امتداد في تاريخ الفلسفة الغربية والعلوم الحيوية المبكرة من خلال ما يُعرف بـ«عقيدة الحيوية» (</w:t>
      </w:r>
      <w:proofErr w:type="spellStart"/>
      <w:r>
        <w:t>Vitalism</w:t>
      </w:r>
      <w:proofErr w:type="spellEnd"/>
      <w:r>
        <w:t>). تقوم هذه الفلسفة على مبدأ أن العمليات الحيوية في الكائنات الحية لا يمكن تفسيرها بقوانين الفيزياء والكيمياء الميكانيكية وحدها، بل تتطلب وجود «قوة حيوية» (</w:t>
      </w:r>
      <w:proofErr w:type="spellStart"/>
      <w:r>
        <w:t>Vis</w:t>
      </w:r>
      <w:proofErr w:type="spellEnd"/>
      <w:r>
        <w:t xml:space="preserve"> </w:t>
      </w:r>
      <w:proofErr w:type="spellStart"/>
      <w:r>
        <w:t>Vitalis</w:t>
      </w:r>
      <w:proofErr w:type="spellEnd"/>
      <w:r>
        <w:t xml:space="preserve">) ذاتية التوجيه تفصل بين عالم الجماد وعالم الأحياء ([13]، ص. 1) ([14]، ص. 1). ظلت هذه العقيدة سائدة في الطب الأوروبي حتى القرن التاسع عشر، حيث رفض أتباعها فكرة أن الإنسان مجرد «آلة معقدة» يمكن تفسيرها بمعادلات نيوتن وقوانين </w:t>
      </w:r>
      <w:proofErr w:type="spellStart"/>
      <w:r>
        <w:t>لافوازييه</w:t>
      </w:r>
      <w:proofErr w:type="spellEnd"/>
      <w:r>
        <w:t>.</w:t>
      </w:r>
    </w:p>
    <w:p w14:paraId="3540AF7A" w14:textId="77777777" w:rsidR="00E157CA" w:rsidRDefault="003D1EF4" w:rsidP="0044318E">
      <w:pPr>
        <w:spacing w:after="200" w:line="320" w:lineRule="auto"/>
      </w:pPr>
      <w:r>
        <w:t xml:space="preserve">يرى أنصار هذا التوجه، سواء في الماضي أو في النسخ الحديثة منه، أن الأمراض تنشأ عن اضطراب أو انسداد في تدفق هذه الطاقة الحيوية، وأن العلاج يتم عبر إعادة توازنها وليس بالضرورة عبر التدخل الكيميائي لقتل العامل الممرض ([15]، ص. 1) ([16]، ص. 1) ([17]، ص. 1). وقد تم دحض عقيدة الحيوية علمياً مع تقدم الكيمياء الحيوية والبيولوجيا الجزيئية، وتحديداً مع تخليق </w:t>
      </w:r>
      <w:proofErr w:type="spellStart"/>
      <w:r>
        <w:t>فريدرش</w:t>
      </w:r>
      <w:proofErr w:type="spellEnd"/>
      <w:r>
        <w:t xml:space="preserve"> </w:t>
      </w:r>
      <w:proofErr w:type="spellStart"/>
      <w:r>
        <w:t>فولر</w:t>
      </w:r>
      <w:proofErr w:type="spellEnd"/>
      <w:r>
        <w:t xml:space="preserve"> لليوريا في المختبر عام 1828، مما أثبت أن المواد العضوية يمكن إنتاجها من مواد غير عضوية دون الحاجة إلى «قوة حيوية» غامضة.</w:t>
      </w:r>
    </w:p>
    <w:p w14:paraId="0D98A5F4" w14:textId="77777777" w:rsidR="00E157CA" w:rsidRDefault="003D1EF4" w:rsidP="0044318E">
      <w:pPr>
        <w:spacing w:after="200" w:line="320" w:lineRule="auto"/>
      </w:pPr>
      <w:r>
        <w:t xml:space="preserve">والمفارقة المنهجية الجديرة بالتسجيل هنا أن سقوط الحيوية كنظرية علمية رسمية لم يُنهِ حضورها الفعلي في الممارسة الطبية الشعبية والبديلة؛ فالنظرية حين تُدحض أكاديمياً لا تختفي بالضرورة من الوجدان الثقافي، بل تتقمص أشكالاً جديدة وتستبدل مفرداتها لتساير لغة العصر، فتتحول «القوة الحيوية» إلى «الطاقة الحيوية»، ثم إلى «الحقل </w:t>
      </w:r>
      <w:proofErr w:type="spellStart"/>
      <w:r>
        <w:t>الطاقي</w:t>
      </w:r>
      <w:proofErr w:type="spellEnd"/>
      <w:r>
        <w:t>» (</w:t>
      </w:r>
      <w:proofErr w:type="spellStart"/>
      <w:r>
        <w:t>Biofield</w:t>
      </w:r>
      <w:proofErr w:type="spellEnd"/>
      <w:r>
        <w:t>) في الأدبيات المعاصرة، مع بقاء الجوهر الفلسفي ذاته: افتراض موجود غير مادي يفسر الحياة والمرض خارج نطاق الكيمياء الحيوية القابلة للقياس. هذا ما يسميه فلاسفة العلم «استمرارية البرنامج البحثي التراجعي» (</w:t>
      </w:r>
      <w:proofErr w:type="spellStart"/>
      <w:r>
        <w:t>Degenerating</w:t>
      </w:r>
      <w:proofErr w:type="spellEnd"/>
      <w:r>
        <w:t xml:space="preserve"> </w:t>
      </w:r>
      <w:proofErr w:type="spellStart"/>
      <w:r>
        <w:t>Research</w:t>
      </w:r>
      <w:proofErr w:type="spellEnd"/>
      <w:r>
        <w:t xml:space="preserve"> </w:t>
      </w:r>
      <w:proofErr w:type="spellStart"/>
      <w:r>
        <w:t>Programme</w:t>
      </w:r>
      <w:proofErr w:type="spellEnd"/>
      <w:r>
        <w:t>)، أي برنامج معرفي يستهلك طاقته في الدفاع عن نفسه وإعادة تسمية مفاهيمه بدل توليد تنبؤات جديدة قابلة للاختبار.</w:t>
      </w:r>
    </w:p>
    <w:p w14:paraId="342331D2" w14:textId="77777777" w:rsidR="00E157CA" w:rsidRDefault="003D1EF4" w:rsidP="0044318E">
      <w:pPr>
        <w:pStyle w:val="1"/>
        <w:pBdr>
          <w:bottom w:val="single" w:sz="6" w:space="4" w:color="B8862E"/>
        </w:pBdr>
        <w:bidi/>
      </w:pPr>
      <w:r>
        <w:t>٤. فلسفة التوازن والثنائية القطبية: جدلية الين واليانغ</w:t>
      </w:r>
    </w:p>
    <w:p w14:paraId="453B1743" w14:textId="77777777" w:rsidR="00E157CA" w:rsidRDefault="003D1EF4" w:rsidP="0044318E">
      <w:pPr>
        <w:spacing w:after="200" w:line="320" w:lineRule="auto"/>
      </w:pPr>
      <w:r>
        <w:t>تستعير ممارسات الطاقة بعداً فلسفياً أعمق من مجرد تدفق القوة، وهو بُعد التوازن. تعتمد بعض هذه الممارسات، مثل نظام «</w:t>
      </w:r>
      <w:proofErr w:type="spellStart"/>
      <w:r>
        <w:t>الماكروبيوتيك</w:t>
      </w:r>
      <w:proofErr w:type="spellEnd"/>
      <w:r>
        <w:t>» الغذائي وفلسفة «</w:t>
      </w:r>
      <w:proofErr w:type="spellStart"/>
      <w:r>
        <w:t>الطاو</w:t>
      </w:r>
      <w:proofErr w:type="spellEnd"/>
      <w:r>
        <w:t>» (</w:t>
      </w:r>
      <w:proofErr w:type="spellStart"/>
      <w:r>
        <w:t>Taoism</w:t>
      </w:r>
      <w:proofErr w:type="spellEnd"/>
      <w:r>
        <w:t>)، على مبدأ «الين واليانغ» ([18]، ص. 1) ([19]، ص. 1) ([20]، ص. 1). في هذه الرؤية، الين واليانغ ليسا جوهرين متصارعين، بل هما قوتان متضادتان ومتكاملتان ومتناغمتان يحكم توازنهما الديناميكي صحة الإنسان وانتظام دورات الكون. فالمرض هو اختلال التوازن بين البرودة والحرارة، أو بين الانقباض والانبساط.</w:t>
      </w:r>
    </w:p>
    <w:p w14:paraId="06F8343E" w14:textId="77777777" w:rsidR="00E157CA" w:rsidRDefault="003D1EF4" w:rsidP="0044318E">
      <w:pPr>
        <w:spacing w:after="200" w:line="320" w:lineRule="auto"/>
      </w:pPr>
      <w:r>
        <w:t>يُعتقد في هذا السياق أن التناغم مع «المطلق» أو «الطاقة الكونية» هو السبيل لتحقيق السمو الروحي والشفاء الجسدي ([21]، ص. 1) ([19]، ص. 1). هذا الربط بين الصحة الجسدية والنظام الأخلاقي والكوني يمنح هذه الفلسفة قوة جذب كبيرة، لأنه يقدّم تفسيراً «عادلاً» للمرض، بوصفه نتيجة خلل في نمط الحياة والروح، وليس مجرد حظ عاثر أو عدوى عشوائية.</w:t>
      </w:r>
    </w:p>
    <w:p w14:paraId="7AF8EC43" w14:textId="77777777" w:rsidR="00E157CA" w:rsidRDefault="003D1EF4" w:rsidP="0044318E">
      <w:pPr>
        <w:spacing w:after="200" w:line="320" w:lineRule="auto"/>
      </w:pPr>
      <w:r>
        <w:t>غير أن هذا «التفسير العادل» يحمل في طياته كلفة أخلاقية خفية: حين يُختزل سبب المرض في اختلال التوازن الداخلي للمريض، فإن المريض نفسه يصبح، ضمناً، مسؤولاً عن علّته. هذا ما يسميه بعض الباحثين في علم اجتماع الصحة «لوم الضحية» (</w:t>
      </w:r>
      <w:proofErr w:type="spellStart"/>
      <w:r>
        <w:t>Victim-Blaming</w:t>
      </w:r>
      <w:proofErr w:type="spellEnd"/>
      <w:r>
        <w:t>) المبطّن، إذ يُحمَّل المصاب بمرض عضوي أو مزمن عبء تفسير مرضه بفشله الروحي أو سوء انضباطه في تدفق طاقته، بدل الاعتراف بعشوائية العامل الممرض أو الاستعداد الوراثي أو الظروف البيئية الخارجة عن إرادته.</w:t>
      </w:r>
    </w:p>
    <w:p w14:paraId="3A8CB9F4" w14:textId="77777777" w:rsidR="00E157CA" w:rsidRDefault="003D1EF4" w:rsidP="0044318E">
      <w:pPr>
        <w:pStyle w:val="1"/>
        <w:pBdr>
          <w:bottom w:val="single" w:sz="6" w:space="4" w:color="B8862E"/>
        </w:pBdr>
        <w:bidi/>
      </w:pPr>
      <w:r>
        <w:t>٥. حركة العصر الجديد (</w:t>
      </w:r>
      <w:proofErr w:type="spellStart"/>
      <w:r>
        <w:t>New</w:t>
      </w:r>
      <w:proofErr w:type="spellEnd"/>
      <w:r>
        <w:t xml:space="preserve"> </w:t>
      </w:r>
      <w:proofErr w:type="spellStart"/>
      <w:r>
        <w:t>Age</w:t>
      </w:r>
      <w:proofErr w:type="spellEnd"/>
      <w:r>
        <w:t>) وظاهرة «التصوف الكمي»: استعارة سلطة العلم</w:t>
      </w:r>
    </w:p>
    <w:p w14:paraId="43C6A9F8" w14:textId="77777777" w:rsidR="00E157CA" w:rsidRDefault="003D1EF4" w:rsidP="0044318E">
      <w:pPr>
        <w:spacing w:after="200" w:line="320" w:lineRule="auto"/>
      </w:pPr>
      <w:r>
        <w:t xml:space="preserve">في العصر الحديث، لم تعد هذه المفاهيم حبيسة المعابد البوذية أو صالات اليوغا التقليدية، بل أعيد إنتاجها وتغليفها عبر حركات «العصر الجديد» بأسلوب يمزج بين المعتقدات الوثنية القديمة والمصطلحات العلمية المعاصرة لإضفاء طابع من المشروعية ([22]، ص. 1) ([23]، ص. 1) ([24]، ص. 1). هذا التهجين بين الروحانية والعلم هو أخطر تجليات هذه الظاهرة من الناحية </w:t>
      </w:r>
      <w:proofErr w:type="spellStart"/>
      <w:r>
        <w:t>الإبستمولوجية</w:t>
      </w:r>
      <w:proofErr w:type="spellEnd"/>
      <w:r>
        <w:t>.</w:t>
      </w:r>
    </w:p>
    <w:p w14:paraId="37737140" w14:textId="77777777" w:rsidR="00E157CA" w:rsidRDefault="003D1EF4" w:rsidP="0044318E">
      <w:pPr>
        <w:pStyle w:val="2"/>
        <w:bidi/>
      </w:pPr>
      <w:r>
        <w:t>٥.١ التصوف الكمي (</w:t>
      </w:r>
      <w:proofErr w:type="spellStart"/>
      <w:r>
        <w:t>Quantum</w:t>
      </w:r>
      <w:proofErr w:type="spellEnd"/>
      <w:r>
        <w:t xml:space="preserve"> </w:t>
      </w:r>
      <w:proofErr w:type="spellStart"/>
      <w:r>
        <w:t>Mysticism</w:t>
      </w:r>
      <w:proofErr w:type="spellEnd"/>
      <w:r>
        <w:t>)</w:t>
      </w:r>
    </w:p>
    <w:p w14:paraId="62CC7C24" w14:textId="77777777" w:rsidR="00E157CA" w:rsidRDefault="003D1EF4" w:rsidP="0044318E">
      <w:pPr>
        <w:spacing w:after="200" w:line="320" w:lineRule="auto"/>
      </w:pPr>
      <w:r>
        <w:t>ويظهر ذلك جلياً فيما يُعرف بـ«التصوف الكمي». في هذه الحالة، يتم استغلال مفاهيم من فيزياء الكم مثل «الترابط الكمي» (</w:t>
      </w:r>
      <w:proofErr w:type="spellStart"/>
      <w:r>
        <w:t>Entanglement</w:t>
      </w:r>
      <w:proofErr w:type="spellEnd"/>
      <w:r>
        <w:t xml:space="preserve">) </w:t>
      </w:r>
      <w:proofErr w:type="spellStart"/>
      <w:r>
        <w:t>و«اللا</w:t>
      </w:r>
      <w:proofErr w:type="spellEnd"/>
      <w:r>
        <w:t>-محلية» (</w:t>
      </w:r>
      <w:proofErr w:type="spellStart"/>
      <w:r>
        <w:t>Non-locality</w:t>
      </w:r>
      <w:proofErr w:type="spellEnd"/>
      <w:r>
        <w:t>) لمحاولة تفسير ظواهر مثل «العلاج عن بُعد» أو «تأثير النية على المادة» ([25]، ص. 1) ([26]، ص. 1) ([27]، ص. 1). يقوم أنصار هذا التوجه بالقول إنه بما أن الجسيمات يمكن أن تترابط عبر مسافات شاسعة وفقاً لمعادلات الكم، فإن العقل البشري يستطيع أيضاً التأثير في الأجساد البعيدة عبر «طاقة النية».</w:t>
      </w:r>
    </w:p>
    <w:p w14:paraId="59C34D63" w14:textId="77777777" w:rsidR="00E157CA" w:rsidRDefault="003D1EF4" w:rsidP="0044318E">
      <w:pPr>
        <w:spacing w:after="200" w:line="320" w:lineRule="auto"/>
      </w:pPr>
      <w:r>
        <w:t>ينتقد الفيزيائيون هذه المقاربة بشدة، معتبرين إياها «فيزياء زائفة» تستخدم لغة علمية لتبرير أفكار سحرية. يكمن الخلل المنطقي هنا في الخلط بين عالم الكم (</w:t>
      </w:r>
      <w:proofErr w:type="spellStart"/>
      <w:r>
        <w:t>ميكروفيزياء</w:t>
      </w:r>
      <w:proofErr w:type="spellEnd"/>
      <w:r>
        <w:t>) وعالم الفيزياء الكلاسيكية (</w:t>
      </w:r>
      <w:proofErr w:type="spellStart"/>
      <w:r>
        <w:t>ماكروفيزياء</w:t>
      </w:r>
      <w:proofErr w:type="spellEnd"/>
      <w:r>
        <w:t xml:space="preserve">) الذي يعيش فيه الإنسان. فالترابط الكمي لا ينقل طاقة أو معلومات بالمعنى </w:t>
      </w:r>
      <w:proofErr w:type="spellStart"/>
      <w:r>
        <w:t>النيوتوني</w:t>
      </w:r>
      <w:proofErr w:type="spellEnd"/>
      <w:r>
        <w:t xml:space="preserve"> الذي يسمح بالشفاء أو العلاج عن بُعد؛ إنه ظاهرة إحصائية رياضية بحتة في عالم الجسيمات دون الذرية. إن إقحام مصطلحات مثل «الطاقة» و«الذبذبات» </w:t>
      </w:r>
      <w:proofErr w:type="spellStart"/>
      <w:r>
        <w:t>و«الكوانتم</w:t>
      </w:r>
      <w:proofErr w:type="spellEnd"/>
      <w:r>
        <w:t>» هو محاولة لاستعارة هيبة العلم لتسويق منتج روحاني غير قابل للإثبات.</w:t>
      </w:r>
    </w:p>
    <w:p w14:paraId="347CC6C7" w14:textId="77777777" w:rsidR="00E157CA" w:rsidRDefault="003D1EF4" w:rsidP="0044318E">
      <w:pPr>
        <w:pStyle w:val="2"/>
        <w:bidi/>
      </w:pPr>
      <w:r>
        <w:t>٥.٢ من المختبر إلى المجلة المحكَّمة: حالة دراسية في آليات الدفاع الذاتي</w:t>
      </w:r>
    </w:p>
    <w:p w14:paraId="31E284C7" w14:textId="77777777" w:rsidR="00E157CA" w:rsidRDefault="003D1EF4" w:rsidP="0044318E">
      <w:pPr>
        <w:spacing w:after="200" w:line="320" w:lineRule="auto"/>
      </w:pPr>
      <w:r>
        <w:t>ولعل أبرز ما يكشف هشاشة الأساس التجريبي لهذا الحقل هو ما تكشفه حالات النشر العلمي نفسها حين يخضع لتدقيق صارم. فقد جرى مؤخراً سحب بحث محكَّم تناول أثر «العلاج بالطاقة الحيوية» (</w:t>
      </w:r>
      <w:proofErr w:type="spellStart"/>
      <w:r>
        <w:t>Biofield</w:t>
      </w:r>
      <w:proofErr w:type="spellEnd"/>
      <w:r>
        <w:t xml:space="preserve"> </w:t>
      </w:r>
      <w:proofErr w:type="spellStart"/>
      <w:r>
        <w:t>Energy</w:t>
      </w:r>
      <w:proofErr w:type="spellEnd"/>
      <w:r>
        <w:t xml:space="preserve"> </w:t>
      </w:r>
      <w:proofErr w:type="spellStart"/>
      <w:r>
        <w:t>Treatment</w:t>
      </w:r>
      <w:proofErr w:type="spellEnd"/>
      <w:r>
        <w:t>) على الأعراض النفسية وجودة الحياة المرتبطة بالتوتر، بعد تحقيق كشف عن استخدام مجموعة ضابطة غير ملائمة كمجموعة وهمية (</w:t>
      </w:r>
      <w:proofErr w:type="spellStart"/>
      <w:r>
        <w:t>Placebo</w:t>
      </w:r>
      <w:proofErr w:type="spellEnd"/>
      <w:r>
        <w:t>)، وتناقضات في تسجيل درجات الاستبيان النفسي، وقيماً حيوية مزعومة تقع خارج المدى الفسيولوجي الطبيعي تماماً، إلى جانب ادعاءات غير مدعومة بالدليل حول الأساس العلمي للعلاج المزعوم. ورغم اعتراض المؤلفين على قرار السحب، فإن هيئة التحرير فقدت الثقة في البيانات المقدَّمة واعتبرت النتائج غير مدعومة بشكل كافٍ.</w:t>
      </w:r>
    </w:p>
    <w:p w14:paraId="5A0CA0E1" w14:textId="77777777" w:rsidR="00E157CA" w:rsidRDefault="003D1EF4" w:rsidP="0044318E">
      <w:pPr>
        <w:spacing w:after="200" w:line="320" w:lineRule="auto"/>
      </w:pPr>
      <w:r>
        <w:t xml:space="preserve">تكتسب هذه الواقعة قيمة منهجية تتجاوز كونها حادثة معزولة؛ فهي تجسّد بدقة ما يصفه فلاسفة العلم بـ«مشكلة </w:t>
      </w:r>
      <w:proofErr w:type="spellStart"/>
      <w:r>
        <w:t>دوهيم-كواين</w:t>
      </w:r>
      <w:proofErr w:type="spellEnd"/>
      <w:r>
        <w:t>» (</w:t>
      </w:r>
      <w:proofErr w:type="spellStart"/>
      <w:r>
        <w:t>Duhem-Quine</w:t>
      </w:r>
      <w:proofErr w:type="spellEnd"/>
      <w:r>
        <w:t xml:space="preserve"> </w:t>
      </w:r>
      <w:proofErr w:type="spellStart"/>
      <w:r>
        <w:t>Problem</w:t>
      </w:r>
      <w:proofErr w:type="spellEnd"/>
      <w:r>
        <w:t>): حين تواجه فرضية ميتافيزيقية الأساس بيانات لا تدعمها، فإن المنظومة المعرفية المحيطة بها لا تتخلى عن الفرضية الجوهرية (وجود حقل طاقي قابل للتطويع علاجياً)، بل تُعيد إنتاج أدوات قياس جديدة أو تتذرع بخلل منهجي عرضي، تاركةً الافتراض المركزي بمنأى عن أي اختبار حاسم. هذه المرونة اللانهائية في الدفاع عن الفرضية الأصلية، لا قابليتها للنقض الفعلي، هي بعينها العلامة التي ينبّه إليها بوبر في معيار التفنيد، كما سيأتي تفصيله.</w:t>
      </w:r>
    </w:p>
    <w:p w14:paraId="3184C8BB" w14:textId="77777777" w:rsidR="00E157CA" w:rsidRDefault="003D1EF4" w:rsidP="0044318E">
      <w:pPr>
        <w:pStyle w:val="1"/>
        <w:pBdr>
          <w:bottom w:val="single" w:sz="6" w:space="4" w:color="B8862E"/>
        </w:pBdr>
        <w:bidi/>
      </w:pPr>
      <w:r>
        <w:t>٦. المنظور العقدي والنفسي: لماذا ينجذب البشر إلى هذه الفلسفة؟</w:t>
      </w:r>
    </w:p>
    <w:p w14:paraId="4E15847A" w14:textId="77777777" w:rsidR="00E157CA" w:rsidRDefault="003D1EF4" w:rsidP="0044318E">
      <w:pPr>
        <w:pStyle w:val="2"/>
        <w:bidi/>
      </w:pPr>
      <w:r>
        <w:t>٦.١ الخلفية العقدية: وحدة الوجود (</w:t>
      </w:r>
      <w:proofErr w:type="spellStart"/>
      <w:r>
        <w:t>Pantheism</w:t>
      </w:r>
      <w:proofErr w:type="spellEnd"/>
      <w:r>
        <w:t>)</w:t>
      </w:r>
    </w:p>
    <w:p w14:paraId="2A880E4B" w14:textId="77777777" w:rsidR="00E157CA" w:rsidRDefault="003D1EF4" w:rsidP="0044318E">
      <w:pPr>
        <w:spacing w:after="200" w:line="320" w:lineRule="auto"/>
      </w:pPr>
      <w:r>
        <w:t>لفهم ظاهرة انتشار طب الطاقة، لا يكفي التحليل العلمي وحده، بل يجب الغوص في البعدين العقدي والنفسي. تُرجع بعض الدراسات هذه الممارسات إلى خلفية عقدية محددة تتمثل في عقيدة «وحدة الوجود» (</w:t>
      </w:r>
      <w:proofErr w:type="spellStart"/>
      <w:r>
        <w:t>Pantheism</w:t>
      </w:r>
      <w:proofErr w:type="spellEnd"/>
      <w:r>
        <w:t>) ([28]، ص. 1) ([29]، ص. 1). في هذا التصور، يُنظر إلى «الطاقة» على أنها منبثقة عن «الكلي الواحد» (المطلق) ولها نفس قوته وتأثيره الإلهي. العلاج هنا يصبح فعلاً من أفعال التواصل مع الإله الكوني غير المتشخص، مما يمنح الممارس شعوراً بالقدرة الكلية والتحكم في مصيره الصحي بعيداً عن تعقيدات المستشفيات ونمطية الأدوية.</w:t>
      </w:r>
    </w:p>
    <w:p w14:paraId="40992225" w14:textId="77777777" w:rsidR="00E157CA" w:rsidRDefault="003D1EF4" w:rsidP="0044318E">
      <w:pPr>
        <w:pStyle w:val="2"/>
        <w:bidi/>
      </w:pPr>
      <w:r>
        <w:t>٦.٢ الانحياز التأكيدي والارتداد إلى المتوسط: لماذا «تنجح» هذه العلاجات ذاتياً؟</w:t>
      </w:r>
    </w:p>
    <w:p w14:paraId="4DBFC98C" w14:textId="77777777" w:rsidR="00E157CA" w:rsidRDefault="003D1EF4" w:rsidP="0044318E">
      <w:pPr>
        <w:spacing w:after="200" w:line="320" w:lineRule="auto"/>
      </w:pPr>
      <w:r>
        <w:t>من الناحية السيكولوجية، يميل البشر فطرياً لتصديق وجود قوة عليا تدير شؤون الكون، مما يجعل هذه التفسيرات الروحانية جذابة خاصة عندما تُقدَّم في قالب «تطويري» أو «استشفائي» ([30]، ص. 1). غير أن هذا الانجذاب النفسي لا يفسّر وحده استمرار الاعتقاد بفاعلية هذه الممارسات؛ إذ تتدخل هنا آليتان معرفيتان مدروستان جيداً في علم النفس المعرفي:</w:t>
      </w:r>
    </w:p>
    <w:p w14:paraId="51A3CD1C" w14:textId="77777777" w:rsidR="00E157CA" w:rsidRDefault="003D1EF4" w:rsidP="0044318E">
      <w:pPr>
        <w:pStyle w:val="a4"/>
        <w:numPr>
          <w:ilvl w:val="0"/>
          <w:numId w:val="2"/>
        </w:numPr>
        <w:bidi/>
        <w:spacing w:after="140" w:line="300" w:lineRule="auto"/>
      </w:pPr>
      <w:r>
        <w:t>الانحياز التأكيدي (</w:t>
      </w:r>
      <w:proofErr w:type="spellStart"/>
      <w:r>
        <w:t>Confirmation</w:t>
      </w:r>
      <w:proofErr w:type="spellEnd"/>
      <w:r>
        <w:t xml:space="preserve"> </w:t>
      </w:r>
      <w:proofErr w:type="spellStart"/>
      <w:r>
        <w:t>Bias</w:t>
      </w:r>
      <w:proofErr w:type="spellEnd"/>
      <w:r>
        <w:t xml:space="preserve">): يميل من يخضع للعلاج </w:t>
      </w:r>
      <w:proofErr w:type="spellStart"/>
      <w:r>
        <w:t>الطاقي</w:t>
      </w:r>
      <w:proofErr w:type="spellEnd"/>
      <w:r>
        <w:t xml:space="preserve"> إلى تذكّر حالات التحسن وتفسيرها كدليل على نجاح العلاج، بينما يُهمَل أو يُعاد تأويل حالات عدم التحسن أو التدهور بوصفها «حاجة لجلسات إضافية» أو «انسداداً أعمق»، وهو ما يجعل النظرية، عملياً، محصّنة ضد أي دحض داخلي.</w:t>
      </w:r>
    </w:p>
    <w:p w14:paraId="14008F6E" w14:textId="77777777" w:rsidR="00E157CA" w:rsidRDefault="003D1EF4" w:rsidP="0044318E">
      <w:pPr>
        <w:pStyle w:val="a4"/>
        <w:numPr>
          <w:ilvl w:val="0"/>
          <w:numId w:val="2"/>
        </w:numPr>
        <w:bidi/>
        <w:spacing w:after="140" w:line="300" w:lineRule="auto"/>
      </w:pPr>
      <w:r>
        <w:t>الارتداد إلى المتوسط (</w:t>
      </w:r>
      <w:proofErr w:type="spellStart"/>
      <w:r>
        <w:t>Regression</w:t>
      </w:r>
      <w:proofErr w:type="spellEnd"/>
      <w:r>
        <w:t xml:space="preserve"> </w:t>
      </w:r>
      <w:proofErr w:type="spellStart"/>
      <w:r>
        <w:t>to</w:t>
      </w:r>
      <w:proofErr w:type="spellEnd"/>
      <w:r>
        <w:t xml:space="preserve"> </w:t>
      </w:r>
      <w:proofErr w:type="spellStart"/>
      <w:r>
        <w:t>the</w:t>
      </w:r>
      <w:proofErr w:type="spellEnd"/>
      <w:r>
        <w:t xml:space="preserve"> </w:t>
      </w:r>
      <w:proofErr w:type="spellStart"/>
      <w:r>
        <w:t>Mean</w:t>
      </w:r>
      <w:proofErr w:type="spellEnd"/>
      <w:r>
        <w:t xml:space="preserve">): الأمراض المزمنة وغير الخطيرة تتقلب طبيعياً بين حدة الأعراض وخفّتها؛ فحين يلجأ المريض إلى العلاج </w:t>
      </w:r>
      <w:proofErr w:type="spellStart"/>
      <w:r>
        <w:t>الطاقي</w:t>
      </w:r>
      <w:proofErr w:type="spellEnd"/>
      <w:r>
        <w:t xml:space="preserve"> غالباً في ذروة الألم، فإن التحسن اللاحق الطبيعي — الذي كان سيحدث بصرف النظر عن أي تدخل — يُعزى خطأً إلى الجلسة العلاجية، لا إلى الدورة الطبيعية للمرض.</w:t>
      </w:r>
    </w:p>
    <w:p w14:paraId="748B23C8" w14:textId="77777777" w:rsidR="00E157CA" w:rsidRDefault="003D1EF4" w:rsidP="0044318E">
      <w:pPr>
        <w:pStyle w:val="a4"/>
        <w:numPr>
          <w:ilvl w:val="0"/>
          <w:numId w:val="2"/>
        </w:numPr>
        <w:bidi/>
        <w:spacing w:after="140" w:line="300" w:lineRule="auto"/>
      </w:pPr>
      <w:r>
        <w:t>أثر الدواء الوهمي (</w:t>
      </w:r>
      <w:proofErr w:type="spellStart"/>
      <w:r>
        <w:t>Placebo</w:t>
      </w:r>
      <w:proofErr w:type="spellEnd"/>
      <w:r>
        <w:t xml:space="preserve"> </w:t>
      </w:r>
      <w:proofErr w:type="spellStart"/>
      <w:r>
        <w:t>Effect</w:t>
      </w:r>
      <w:proofErr w:type="spellEnd"/>
      <w:r>
        <w:t>): الطقوس العلاجية، والاهتمام الشخصي من المعالج، وتوقّع الشفاء ذاته، تنتج تحسناً ذاتياً حقيقياً في الإحساس بالألم والقلق، دون أن يكون له أي صلة بوجود «طاقة» منقولة فعلياً؛ وهو أثر معترَف به علمياً ولا يحتاج إلى افتراض ميتافيزيقي لتفسيره.</w:t>
      </w:r>
    </w:p>
    <w:p w14:paraId="18E8B209" w14:textId="77777777" w:rsidR="00E157CA" w:rsidRDefault="003D1EF4" w:rsidP="0044318E">
      <w:pPr>
        <w:spacing w:after="200" w:line="320" w:lineRule="auto"/>
      </w:pPr>
      <w:r>
        <w:t>يقدّم طب الطاقة، بهذا المعنى، «عدواً غير مرئي» (انسداد الطاقة) يمكن محاربته بـ«سلاح غير مرئي» (إعادة التوازن)، مما يوفر راحة نفسية في مواجهة الأمراض المزمنة أو المستعصية التي يقف الطب التقليدي عاجزاً أمامها أحياناً. إنه يقدّم معنى وهدفاً للمعاناة، حيث يصبح الألم درساً كونياً أو خللاً في الشاكرات، لا مجرد خلل بيولوجي بارد.</w:t>
      </w:r>
    </w:p>
    <w:p w14:paraId="3202B8D8" w14:textId="77777777" w:rsidR="00E157CA" w:rsidRDefault="003D1EF4" w:rsidP="00E4201C">
      <w:pPr>
        <w:pStyle w:val="1"/>
        <w:pBdr>
          <w:bottom w:val="single" w:sz="6" w:space="4" w:color="B8862E"/>
        </w:pBdr>
        <w:bidi/>
      </w:pPr>
      <w:r>
        <w:t xml:space="preserve">٧. التقييم </w:t>
      </w:r>
      <w:proofErr w:type="spellStart"/>
      <w:r>
        <w:t>الإبستمولوجي</w:t>
      </w:r>
      <w:proofErr w:type="spellEnd"/>
      <w:r>
        <w:t xml:space="preserve"> المعمَّق: معضلة </w:t>
      </w:r>
      <w:proofErr w:type="spellStart"/>
      <w:r>
        <w:t>الديماركاسيون</w:t>
      </w:r>
      <w:proofErr w:type="spellEnd"/>
      <w:r>
        <w:t xml:space="preserve"> بين العلم والعلم الزائف</w:t>
      </w:r>
    </w:p>
    <w:p w14:paraId="2D7A0B70" w14:textId="77777777" w:rsidR="00E157CA" w:rsidRDefault="003D1EF4" w:rsidP="00E4201C">
      <w:pPr>
        <w:pStyle w:val="2"/>
        <w:bidi/>
      </w:pPr>
      <w:r>
        <w:t>٧.١ معيار قابلية التفنيد عند كارل بوبر</w:t>
      </w:r>
    </w:p>
    <w:p w14:paraId="3E15A0C7" w14:textId="77777777" w:rsidR="00E157CA" w:rsidRDefault="003D1EF4" w:rsidP="00E4201C">
      <w:pPr>
        <w:spacing w:after="200" w:line="320" w:lineRule="auto"/>
      </w:pPr>
      <w:r>
        <w:t>يُعدّ الفيلسوف النمساوي كارل بوبر (</w:t>
      </w:r>
      <w:proofErr w:type="spellStart"/>
      <w:r>
        <w:t>Karl</w:t>
      </w:r>
      <w:proofErr w:type="spellEnd"/>
      <w:r>
        <w:t xml:space="preserve"> </w:t>
      </w:r>
      <w:proofErr w:type="spellStart"/>
      <w:r>
        <w:t>Popper</w:t>
      </w:r>
      <w:proofErr w:type="spellEnd"/>
      <w:r>
        <w:t xml:space="preserve">) المرجع الأهم في صياغة معيار التمييز بين العلم وغير العلم، وهو ما يُعرف بـ«مشكلة </w:t>
      </w:r>
      <w:proofErr w:type="spellStart"/>
      <w:r>
        <w:t>الديماركاسيون</w:t>
      </w:r>
      <w:proofErr w:type="spellEnd"/>
      <w:r>
        <w:t>» (</w:t>
      </w:r>
      <w:proofErr w:type="spellStart"/>
      <w:r>
        <w:t>Demarcation</w:t>
      </w:r>
      <w:proofErr w:type="spellEnd"/>
      <w:r>
        <w:t xml:space="preserve"> </w:t>
      </w:r>
      <w:proofErr w:type="spellStart"/>
      <w:r>
        <w:t>Problem</w:t>
      </w:r>
      <w:proofErr w:type="spellEnd"/>
      <w:r>
        <w:t xml:space="preserve">). انطلق بوبر من ملاحظة أن نظريات مثل التحليل النفسي عند فرويد </w:t>
      </w:r>
      <w:proofErr w:type="spellStart"/>
      <w:r>
        <w:t>وأدلر</w:t>
      </w:r>
      <w:proofErr w:type="spellEnd"/>
      <w:r>
        <w:t xml:space="preserve"> بدت قادرة على «تفسير» أي سلوك إنساني بأثر رجعي، أياً كان هذا السلوك، بينما نظرية النسبية عند آينشتاين قدّمت تنبؤات محددة وقابلة للدحض، مثل انحناء الضوء حول الشمس، يمكن لتجربة واحدة أن تُسقطها. خلص بوبر إلى أن العلامة الفارقة للنظرية العلمية ليست قدرتها على «التفسير» أو «التأكد منها»، بل قابليتها للتفنيد (</w:t>
      </w:r>
      <w:proofErr w:type="spellStart"/>
      <w:r>
        <w:t>Falsifiability</w:t>
      </w:r>
      <w:proofErr w:type="spellEnd"/>
      <w:r>
        <w:t>): أي وجود ملاحظة تجريبية ممكنة من حيث المبدأ، لو وقعت، لأثبتت خطأ النظرية.</w:t>
      </w:r>
    </w:p>
    <w:p w14:paraId="5EC5CB02" w14:textId="77777777" w:rsidR="00E157CA" w:rsidRDefault="003D1EF4" w:rsidP="00E4201C">
      <w:pPr>
        <w:spacing w:after="200" w:line="320" w:lineRule="auto"/>
      </w:pPr>
      <w:r>
        <w:t xml:space="preserve">وبهذا المعيار، فإن دعوى وجود «حقل طاقي» يُشفي بالنية أو باللمس، دون أن يُحدَّد أي رصد تجريبي من شأنه نقض هذه الدعوى، تقع خارج حدود العلم بالمعنى </w:t>
      </w:r>
      <w:proofErr w:type="spellStart"/>
      <w:r>
        <w:t>البوبري</w:t>
      </w:r>
      <w:proofErr w:type="spellEnd"/>
      <w:r>
        <w:t xml:space="preserve"> الدقيق؛ ذلك أن أي نتيجة سلبية تُفسَّر دوماً بعامل إضافي (ضعف نية المعالج، انسداد عميق في الطاقة، عدم استعداد المريض الروحي)، فتبقى الفرضية المركزية بمنأى عن أي اختبار حاسم يمكن أن يُسقطها.</w:t>
      </w:r>
    </w:p>
    <w:p w14:paraId="6509E7F6" w14:textId="77777777" w:rsidR="00E157CA" w:rsidRDefault="003D1EF4" w:rsidP="00E4201C">
      <w:pPr>
        <w:pStyle w:val="2"/>
        <w:bidi/>
      </w:pPr>
      <w:r>
        <w:t xml:space="preserve">٧.٢ نقد المعيار ذاته: إشكالية </w:t>
      </w:r>
      <w:proofErr w:type="spellStart"/>
      <w:r>
        <w:t>دوهيم-كواين</w:t>
      </w:r>
      <w:proofErr w:type="spellEnd"/>
      <w:r>
        <w:t xml:space="preserve"> وحدود </w:t>
      </w:r>
      <w:proofErr w:type="spellStart"/>
      <w:r>
        <w:t>الديماركاسيون</w:t>
      </w:r>
      <w:proofErr w:type="spellEnd"/>
    </w:p>
    <w:p w14:paraId="4814B936" w14:textId="77777777" w:rsidR="00E157CA" w:rsidRDefault="003D1EF4" w:rsidP="00E4201C">
      <w:pPr>
        <w:spacing w:after="200" w:line="320" w:lineRule="auto"/>
      </w:pPr>
      <w:r>
        <w:t xml:space="preserve">الأمانة الأكاديمية تقتضي عدم تقديم معيار بوبر باعتباره أداة مطلقة لا تخضع للنقد. فقد وجّه فلاسفة العلم اللاحقون انتقادات جوهرية لمعيار قابلية التفنيد، أبرزها ما يُعرف بـ«أطروحة </w:t>
      </w:r>
      <w:proofErr w:type="spellStart"/>
      <w:r>
        <w:t>دوهيم-كواين</w:t>
      </w:r>
      <w:proofErr w:type="spellEnd"/>
      <w:r>
        <w:t>» (</w:t>
      </w:r>
      <w:proofErr w:type="spellStart"/>
      <w:r>
        <w:t>Duhem-Quine</w:t>
      </w:r>
      <w:proofErr w:type="spellEnd"/>
      <w:r>
        <w:t xml:space="preserve"> </w:t>
      </w:r>
      <w:proofErr w:type="spellStart"/>
      <w:r>
        <w:t>Thesis</w:t>
      </w:r>
      <w:proofErr w:type="spellEnd"/>
      <w:r>
        <w:t>)، ومفادها أن أي نظرية علمية لا تُختبَر بمعزل عن مجموعة من الافتراضات المساعدة (</w:t>
      </w:r>
      <w:proofErr w:type="spellStart"/>
      <w:r>
        <w:t>Auxiliary</w:t>
      </w:r>
      <w:proofErr w:type="spellEnd"/>
      <w:r>
        <w:t xml:space="preserve"> </w:t>
      </w:r>
      <w:proofErr w:type="spellStart"/>
      <w:r>
        <w:t>Hypotheses</w:t>
      </w:r>
      <w:proofErr w:type="spellEnd"/>
      <w:r>
        <w:t>)، وأن النتيجة التجريبية السلبية يمكن دوماً أن تُعزى إلى خلل في أحد هذه الافتراضات المساعدة بدل النظرية الأصلية ذاتها. وقد أظهر بعض فلاسفة العلم المعاصرين أن هذه الإشكالية تجعل معيار بوبر، إذا طُبِّق بصرامة منطقية كاملة، عاجزاً حتى عن استبعاد أوضح حالات العلم الزائف، لأن أي نظرية يمكن إنقاذها من التفنيد بإضافة افتراض مساعد كافٍ.</w:t>
      </w:r>
    </w:p>
    <w:p w14:paraId="5E121539" w14:textId="77777777" w:rsidR="00E157CA" w:rsidRDefault="003D1EF4" w:rsidP="00E4201C">
      <w:pPr>
        <w:spacing w:after="200" w:line="320" w:lineRule="auto"/>
      </w:pPr>
      <w:r>
        <w:t xml:space="preserve">غير أن هذا النقد الفلسفي الدقيق لا يُبطل جدوى المعيار عملياً، بل يدعو إلى استخدامه إلى جانب مؤشرات تكميلية: مدى لجوء النظرية المتكررِ إلى الافتراضات المساعدة لتجنّب الدحض (وهو ما يصفه إمري </w:t>
      </w:r>
      <w:proofErr w:type="spellStart"/>
      <w:r>
        <w:t>لاكاتوش</w:t>
      </w:r>
      <w:proofErr w:type="spellEnd"/>
      <w:r>
        <w:t xml:space="preserve"> بـ«البرنامج البحثي التراجعي»)، ومدى إنتاجها تنبؤات جديدة وناجحة (لا مجرد تفسيرات لاحقة)، ومدى انسجامها مع المعرفة الراسخة في الحقول المجاورة كالكيمياء الحيوية والفيزياء. وحين تُطبَّق هذه المعايير المركّبة على طب الطاقة، يتضح أنه يستوفي كل سمات «البرنامج التراجعي»: إعادة تسمية متكررة للمفهوم ذاته (قوة حيوية، </w:t>
      </w:r>
      <w:proofErr w:type="spellStart"/>
      <w:r>
        <w:t>فلوجستون</w:t>
      </w:r>
      <w:proofErr w:type="spellEnd"/>
      <w:r>
        <w:t xml:space="preserve"> شبيه، تشي، برانا، </w:t>
      </w:r>
      <w:proofErr w:type="spellStart"/>
      <w:r>
        <w:t>بيوفيلد</w:t>
      </w:r>
      <w:proofErr w:type="spellEnd"/>
      <w:r>
        <w:t>)، وغياب التنبؤات الجديدة القابلة للاختبار المستقل، والتعارض الصريح مع قوانين حفظ الطاقة وانحلالها في الفيزياء الحرارية الراسخة.</w:t>
      </w:r>
    </w:p>
    <w:p w14:paraId="76C505EB" w14:textId="77777777" w:rsidR="00E157CA" w:rsidRDefault="003D1EF4" w:rsidP="00E4201C">
      <w:pPr>
        <w:pStyle w:val="2"/>
        <w:bidi/>
      </w:pPr>
      <w:r>
        <w:t>٧.٣ المعيار المؤسسي: التصنيف الطبي الرسمي</w:t>
      </w:r>
    </w:p>
    <w:p w14:paraId="7F80FCE2" w14:textId="77777777" w:rsidR="00E157CA" w:rsidRDefault="003D1EF4" w:rsidP="00E4201C">
      <w:pPr>
        <w:spacing w:after="200" w:line="320" w:lineRule="auto"/>
      </w:pPr>
      <w:r>
        <w:t>تتقاطع هذه الخلاصة الفلسفية مع الممارسة المؤسسية للطب الحديث؛ إذ تُصنَّف «العلاجات الطاقية الحيوية» (</w:t>
      </w:r>
      <w:proofErr w:type="spellStart"/>
      <w:r>
        <w:t>Biofield</w:t>
      </w:r>
      <w:proofErr w:type="spellEnd"/>
      <w:r>
        <w:t xml:space="preserve"> </w:t>
      </w:r>
      <w:proofErr w:type="spellStart"/>
      <w:r>
        <w:t>Therapies</w:t>
      </w:r>
      <w:proofErr w:type="spellEnd"/>
      <w:r>
        <w:t xml:space="preserve">) ضمن فئة الطب التكميلي والبديل غير المثبت آلية عمله، حيث تقرّ الأدبيات الطبية المتخصصة بأن هذه التقنيات، رغم استخدامها المتزايد في بعض البيئات السريرية، ما تزال في مرحلة بحثية مبكرة من حيث آليات الفعل والفاعلية، وأن الأدلة المتاحة غالباً ما تكون غير حاسمة بسبب التفاوت الكبير في تصميم الدراسات وغياب تعريف إجرائي موحَّد لمفهوم «الحقل </w:t>
      </w:r>
      <w:proofErr w:type="spellStart"/>
      <w:r>
        <w:t>الطاقي</w:t>
      </w:r>
      <w:proofErr w:type="spellEnd"/>
      <w:r>
        <w:t xml:space="preserve">» نفسه. وهذا الإقرار المؤسسي بعدم وجود تعريف متفق عليه لما يُفترض أنه موضوع الدراسة هو في حد ذاته شاهد إضافي على الإشكال </w:t>
      </w:r>
      <w:proofErr w:type="spellStart"/>
      <w:r>
        <w:t>الإبستمولوجي</w:t>
      </w:r>
      <w:proofErr w:type="spellEnd"/>
      <w:r>
        <w:t xml:space="preserve"> الذي يعالجه هذا البحث.</w:t>
      </w:r>
    </w:p>
    <w:p w14:paraId="12725554" w14:textId="77777777" w:rsidR="00E157CA" w:rsidRDefault="003D1EF4" w:rsidP="00E4201C">
      <w:pPr>
        <w:pStyle w:val="1"/>
        <w:pBdr>
          <w:bottom w:val="single" w:sz="6" w:space="4" w:color="B8862E"/>
        </w:pBdr>
        <w:bidi/>
      </w:pPr>
      <w:r>
        <w:t>٨. القراءة العقدية الإسلامية: التوحيد، والسببية الشرعية، ونقد الطاقة الكونية</w:t>
      </w:r>
    </w:p>
    <w:p w14:paraId="4740284B" w14:textId="77777777" w:rsidR="00E157CA" w:rsidRDefault="003D1EF4" w:rsidP="00E4201C">
      <w:pPr>
        <w:spacing w:after="200" w:line="320" w:lineRule="auto"/>
      </w:pPr>
      <w:r>
        <w:t xml:space="preserve">لا يكتمل التقييم </w:t>
      </w:r>
      <w:proofErr w:type="spellStart"/>
      <w:r>
        <w:t>الإبستمولوجي</w:t>
      </w:r>
      <w:proofErr w:type="spellEnd"/>
      <w:r>
        <w:t xml:space="preserve"> لهذا الحقل المعرفي دون استكمال البعد العقدي من منظور التصور الإسلامي للكون والسببية، باعتبار أن جذور «علم الطاقة» — كما تبيّن في المباحث السابقة — عقدية في جوهرها قبل أن تكون علمية، وتستند إلى تصور «وحدة الوجود» الذي يتعارض جوهرياً مع عقيدة التوحيد.</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157CA" w14:paraId="3CA33B43" w14:textId="77777777">
        <w:tc>
          <w:tcPr>
            <w:tcW w:w="9360" w:type="dxa"/>
            <w:tcBorders>
              <w:top w:val="single" w:sz="8" w:space="0" w:color="B8862E"/>
              <w:left w:val="single" w:sz="8" w:space="0" w:color="B8862E"/>
              <w:bottom w:val="single" w:sz="8" w:space="0" w:color="B8862E"/>
              <w:right w:val="single" w:sz="8" w:space="0" w:color="B8862E"/>
            </w:tcBorders>
            <w:shd w:val="clear" w:color="auto" w:fill="FBF3E3"/>
            <w:tcMar>
              <w:top w:w="160" w:type="dxa"/>
              <w:left w:w="240" w:type="dxa"/>
              <w:bottom w:w="160" w:type="dxa"/>
              <w:right w:w="240" w:type="dxa"/>
            </w:tcMar>
            <w:vAlign w:val="center"/>
          </w:tcPr>
          <w:p w14:paraId="0356A89B" w14:textId="77777777" w:rsidR="00E157CA" w:rsidRDefault="003D1EF4" w:rsidP="00E4201C">
            <w:pPr>
              <w:spacing w:after="80"/>
            </w:pPr>
            <w:r>
              <w:rPr>
                <w:b/>
                <w:bCs/>
                <w:color w:val="1B2A4A"/>
                <w:sz w:val="26"/>
                <w:szCs w:val="26"/>
              </w:rPr>
              <w:t>﴿إِنَّمَا أَمْرُهُ إِذَا أَرَادَ شَيْئًا أَن يَقُولَ لَهُ كُن فَيَكُونُ﴾</w:t>
            </w:r>
          </w:p>
          <w:p w14:paraId="2E8EF03E" w14:textId="77777777" w:rsidR="00E157CA" w:rsidRDefault="003D1EF4" w:rsidP="00E4201C">
            <w:r>
              <w:rPr>
                <w:i/>
                <w:iCs/>
                <w:color w:val="B8862E"/>
                <w:sz w:val="20"/>
                <w:szCs w:val="20"/>
              </w:rPr>
              <w:t xml:space="preserve">سورة </w:t>
            </w:r>
            <w:proofErr w:type="spellStart"/>
            <w:r>
              <w:rPr>
                <w:i/>
                <w:iCs/>
                <w:color w:val="B8862E"/>
                <w:sz w:val="20"/>
                <w:szCs w:val="20"/>
              </w:rPr>
              <w:t>يس</w:t>
            </w:r>
            <w:proofErr w:type="spellEnd"/>
            <w:r>
              <w:rPr>
                <w:i/>
                <w:iCs/>
                <w:color w:val="B8862E"/>
                <w:sz w:val="20"/>
                <w:szCs w:val="20"/>
              </w:rPr>
              <w:t>، الآية ٨٢</w:t>
            </w:r>
          </w:p>
        </w:tc>
      </w:tr>
    </w:tbl>
    <w:p w14:paraId="5D2550C8" w14:textId="77777777" w:rsidR="00E157CA" w:rsidRDefault="00E157CA" w:rsidP="00E4201C">
      <w:pPr>
        <w:spacing w:after="120"/>
      </w:pPr>
    </w:p>
    <w:p w14:paraId="7B98E185" w14:textId="77777777" w:rsidR="00E157CA" w:rsidRDefault="003D1EF4" w:rsidP="00E4201C">
      <w:pPr>
        <w:pStyle w:val="2"/>
        <w:bidi/>
      </w:pPr>
      <w:r>
        <w:t xml:space="preserve">٨.١ التوحيد في الربوبية مقابل «الطاقة الكونية» </w:t>
      </w:r>
      <w:proofErr w:type="spellStart"/>
      <w:r>
        <w:t>اللامتشخصة</w:t>
      </w:r>
      <w:proofErr w:type="spellEnd"/>
    </w:p>
    <w:p w14:paraId="3310957E" w14:textId="77777777" w:rsidR="00E157CA" w:rsidRDefault="003D1EF4" w:rsidP="00E4201C">
      <w:pPr>
        <w:spacing w:after="200" w:line="320" w:lineRule="auto"/>
      </w:pPr>
      <w:r>
        <w:t>تقوم عقيدة التوحيد الإسلامي على إفراد الله سبحانه وتعالى بالخلق والتدبير والتأثير في الكون، وعلى التفريق الحاسم بين الخالق والمخلوق. في المقابل، تقدّم فلسفة «الطاقة الكونية»، كما تجلّت في عقيدة وحدة الوجود (</w:t>
      </w:r>
      <w:proofErr w:type="spellStart"/>
      <w:r>
        <w:t>Pantheism</w:t>
      </w:r>
      <w:proofErr w:type="spellEnd"/>
      <w:r>
        <w:t>) المستعرضة آنفاً، تصوراً يذيب هذا الفارق الجوهري؛ إذ تُعامَل «الطاقة» بوصفها امتداداً للذات الإلهية أو تجلياً غير متشخص لها، يسري في كل موجود ويمكن للإنسان أن يستحضره أو يوجّهه بالنية أو اللمس. هذا التصور يخالف أصل التوحيد من جهتين: من جهة جعل صفة الخلق والتأثير في الكون والشفاء مشتركة بين الإنسان وعلّة كونية غير متشخصة بدل إفرادها لله وحده، ومن جهة تذويب الفارق الأنطولوجي بين الذات الإلهية والمخلوقات في «طاقة» سارية واحدة.</w:t>
      </w:r>
    </w:p>
    <w:p w14:paraId="1E43C516" w14:textId="77777777" w:rsidR="00E157CA" w:rsidRDefault="003D1EF4" w:rsidP="00E4201C">
      <w:pPr>
        <w:pStyle w:val="2"/>
        <w:bidi/>
      </w:pPr>
      <w:r>
        <w:t>٨.٢ السببية الشرعية ومفهوم «السُّنن»</w:t>
      </w:r>
    </w:p>
    <w:p w14:paraId="28ECAD51" w14:textId="77777777" w:rsidR="00E157CA" w:rsidRDefault="003D1EF4" w:rsidP="00E4201C">
      <w:pPr>
        <w:spacing w:after="200" w:line="320" w:lineRule="auto"/>
      </w:pPr>
      <w:r>
        <w:t>لا ينكر التصور الإسلامي مبدأ السببية في الكون؛ بل يقرّر القرآن الكريم وجود «سُنن» ثابتة يجري الله الأشياء وفقها، وهو ما يتفق جزئياً مع المنهج العلمي التجريبي في افتراضه انتظام الكون وقابليته للدراسة. غير أن السببية الشرعية تتميز بثلاثة قيود منهجية تميّزها جوهرياً عن السببية الطاقية المزعومة: أولاً، أن الأسباب في التصور الإسلامي أسباب مخلوقة لا فاعلية ذاتية مستقلة لها، والله هو خالق السبب والمسبَّب معاً؛ ثانياً، أن معرفة هذه الأسباب تقع ضمن نطاق العادة والتجربة القابلة للملاحظة، لا ضمن مجال الغيب المطلق الذي استأثر الله بعلمه؛ ثالثاً، وهو الأهم منهجياً، أن إثبات سبب من الأسباب يقتضي دليلاً واضحاً، شرعياً كان أو حسياً تجريبياً، لا مجرد دعوى أو إحساس ذاتي بالتأثير.</w:t>
      </w:r>
    </w:p>
    <w:p w14:paraId="1AC1CB7A" w14:textId="77777777" w:rsidR="00E157CA" w:rsidRDefault="003D1EF4" w:rsidP="00E4201C">
      <w:pPr>
        <w:spacing w:after="200" w:line="320" w:lineRule="auto"/>
      </w:pPr>
      <w:r>
        <w:t>وحين تُقاس دعوى «الطاقة الكونية» المنقولة باللمس أو النية على هذا الميزان، يتبيّن أنها لا تستوفي شرط الدليل المعتبر؛ فهي ليست أمراً ثابتاً بالوحي بحيث تدخل في باب الغيبيات المسلَّم بها تعبداً، وليست أمراً ثابتاً بالتجربة الحسية القابلة للتكرار بحيث تدخل في باب الأسباب العادية المعتبرة شرعاً. وبذلك تقع هذه الدعوى بين بابين: لا هي من الغيب الذي يُصدَّق بالنص، ولا هي من السبب الذي يُصدَّق بالتجربة، فتبقى دعوى معلَّقة لا سند لها من أي من مصدري المعرفة المعتبرين في التصور الإسلامي.</w:t>
      </w:r>
    </w:p>
    <w:p w14:paraId="17A7D300" w14:textId="77777777" w:rsidR="00E157CA" w:rsidRDefault="003D1EF4" w:rsidP="00E4201C">
      <w:pPr>
        <w:pStyle w:val="2"/>
        <w:bidi/>
      </w:pPr>
      <w:r>
        <w:t>٨.٣ خلاصة الموقف العقدي</w:t>
      </w:r>
    </w:p>
    <w:p w14:paraId="1C566C03" w14:textId="77777777" w:rsidR="00E157CA" w:rsidRDefault="003D1EF4" w:rsidP="00E4201C">
      <w:pPr>
        <w:spacing w:after="200" w:line="320" w:lineRule="auto"/>
      </w:pPr>
      <w:r>
        <w:t>يخلص هذا المبحث إلى أن النقد العقدي الإسلامي لـ«علم الطاقة» لا يقتصر على كونه «غير مثبت علمياً»، بل يتجاوز ذلك إلى كونه تصوراً عقدياً مستورداً يحمل في بنيته الفلسفية إشكالاً توحيدياً صريحاً، إذ يجعل من «الطاقة» علّة كونية شبه إلهية، ومن الممارس وسيطاً قادراً على توجيهها، في تماهٍ مع منطق وحدة الوجود الذي تتعارض جذوره مع تنزيه الذات الإلهية عن المشابهة والحلول في المخلوقات. وبذلك يلتقي النقد العقدي مع النقد العلمي في نتيجة واحدة، وإن اختلف مسلكهما: هذا الحقل لا يصمد لا أمام ميزان التجربة، ولا أمام ميزان التوحيد.</w:t>
      </w:r>
    </w:p>
    <w:p w14:paraId="3A7A6DBB" w14:textId="77777777" w:rsidR="00E157CA" w:rsidRDefault="003D1EF4" w:rsidP="00E4201C">
      <w:pPr>
        <w:pStyle w:val="1"/>
        <w:pBdr>
          <w:bottom w:val="single" w:sz="6" w:space="4" w:color="B8862E"/>
        </w:pBdr>
        <w:bidi/>
      </w:pPr>
      <w:r>
        <w:t xml:space="preserve">٩. الخاتمة: التقييم </w:t>
      </w:r>
      <w:proofErr w:type="spellStart"/>
      <w:r>
        <w:t>الإبستمولوجي</w:t>
      </w:r>
      <w:proofErr w:type="spellEnd"/>
      <w:r>
        <w:t xml:space="preserve"> النهائي — لماذا هو «علم زائف»؟</w:t>
      </w:r>
    </w:p>
    <w:p w14:paraId="05D07315" w14:textId="77777777" w:rsidR="00E157CA" w:rsidRDefault="003D1EF4" w:rsidP="00E4201C">
      <w:pPr>
        <w:spacing w:after="200" w:line="320" w:lineRule="auto"/>
      </w:pPr>
      <w:r>
        <w:t>في ختام هذا الاستعراض الموسَّع، تؤكد الأدلة الفلسفية والعلمية والعقدية مجتمعةً أن هذا الحقل يُصنَّف أكاديمياً كـ«علم زائف» (</w:t>
      </w:r>
      <w:proofErr w:type="spellStart"/>
      <w:r>
        <w:t>Pseudoscience</w:t>
      </w:r>
      <w:proofErr w:type="spellEnd"/>
      <w:r>
        <w:t>). ولا يعني هذا المصطلح أن الممارسات «غير حقيقية» من حيث تجربة المريض الذاتية، أو أن من يمارسها «مخادع» بالضرورة، بل يعني أنها لا تلتزم بمنهجية العلم الطبيعي في بنائها المعرفي. وتؤكد المصادر الأكاديمية أن ادعاءاته حول «حقل الطاقة البشرية» (</w:t>
      </w:r>
      <w:proofErr w:type="spellStart"/>
      <w:r>
        <w:t>Human</w:t>
      </w:r>
      <w:proofErr w:type="spellEnd"/>
      <w:r>
        <w:t xml:space="preserve"> </w:t>
      </w:r>
      <w:proofErr w:type="spellStart"/>
      <w:r>
        <w:t>Energy</w:t>
      </w:r>
      <w:proofErr w:type="spellEnd"/>
      <w:r>
        <w:t xml:space="preserve"> </w:t>
      </w:r>
      <w:proofErr w:type="spellStart"/>
      <w:r>
        <w:t>Field</w:t>
      </w:r>
      <w:proofErr w:type="spellEnd"/>
      <w:r>
        <w:t>) لا تستند إلى أدلة تجريبية قابلة للتكرار أو التفنيد، بل تعتمد بشكل شبه كلي على شهادات شخصية وتجارب غير خاضعة للرقابة العلمية الصارمة ([31]، ص. 1) ([32]، ص. 1) ([33]، ص. 1) ([34]، ص. 1).</w:t>
      </w:r>
    </w:p>
    <w:p w14:paraId="28DB9F6F" w14:textId="77777777" w:rsidR="00E157CA" w:rsidRDefault="003D1EF4" w:rsidP="00E4201C">
      <w:pPr>
        <w:spacing w:after="200" w:line="320" w:lineRule="auto"/>
      </w:pPr>
      <w:r>
        <w:t>الفرق الجوهري بين العلم والزائف منه هنا يكمن في قابلية الدحض. إذا ادعيت أن الأسبرين يخفف الصداع، يمكن إجراء تجربة عشوائية مضبوطة بالغُفل (</w:t>
      </w:r>
      <w:proofErr w:type="spellStart"/>
      <w:r>
        <w:t>Placebo-Controlled</w:t>
      </w:r>
      <w:proofErr w:type="spellEnd"/>
      <w:r>
        <w:t xml:space="preserve"> </w:t>
      </w:r>
      <w:proofErr w:type="spellStart"/>
      <w:r>
        <w:t>Trial</w:t>
      </w:r>
      <w:proofErr w:type="spellEnd"/>
      <w:r>
        <w:t>) لإثبات خطأ الدعوى أو صوابها. أما إذا ادعيت أن هناك «طاقة كونية» لا تُقاس بأي جهاز، ولا تُرى بأي عين، وتؤثر بالترابط الكمي، فلا توجد أي طريقة علمية محتملة لإثبات أن هذا الادعاء خاطئ. هذه الحصانة ضد النقد هي العلامة الفارقة للعلم الزائف، كما بيّن المبحث السابع بتفصيل فلسفي أدق.</w:t>
      </w:r>
    </w:p>
    <w:p w14:paraId="0C801EA6" w14:textId="77777777" w:rsidR="00E157CA" w:rsidRDefault="003D1EF4" w:rsidP="00E4201C">
      <w:pPr>
        <w:spacing w:after="200" w:line="320" w:lineRule="auto"/>
      </w:pPr>
      <w:r>
        <w:t>وتضيف هذه النسخة الموسَّعة من الدراسة بُعداً لم يكن حاضراً في الصياغة الأولى: أن حصانة هذا الحقل ضد النقد ليست عيباً منهجياً عارضاً يمكن إصلاحه بمزيد من البحث التجريبي، بل هي نتيجة بنيوية لطبيعته الفلسفية والعقدية ذاتها، القائمة على افتراض علّة كونية غير متشخصة يستحيل عزلها أو قياسها بحكم تعريفها لا بحكم قصور أدواتنا الحالية. كما أن النقد العقدي الإسلامي يكشف بُعداً إضافياً لا يلتقي عنده النقد العلماني الصرف بالضرورة: أن هذا التصور لا يطرح فقط مشكلة معرفية في علاقته بمعايير العلم، بل يطرح أيضاً إشكالاً توحيدياً في علاقته بمصدر السببية والفاعلية في الكون.</w:t>
      </w:r>
    </w:p>
    <w:p w14:paraId="2A24780F" w14:textId="77777777" w:rsidR="00E157CA" w:rsidRDefault="003D1EF4" w:rsidP="00E4201C">
      <w:pPr>
        <w:spacing w:after="200" w:line="320" w:lineRule="auto"/>
      </w:pPr>
      <w:r>
        <w:t>ختاماً، يكشف التحليل العميق لـ«علم الطاقة» عن بنية فكرية غنية ومغرية، تجمع بين عمق الفلسفات الشرقية وقوة السرديات النفسية وجاذبية اللغة العلمية المستعارة، لكنها تصطدم بجدار المنهج العلمي الصلب من جهة، وبجدار التوحيد الخالص من جهة أخرى. إنها ليست فيزياء بديلة، ولا هي بديل شرعي عن السببية المعتبرة؛ إنها ميتافيزيقا بثوب علمي، تستعير سلطة المختبر دون أن تخضع لشروطه، وتستعير لغة الغيب دون أن تستند إلى دليله.</w:t>
      </w:r>
    </w:p>
    <w:p w14:paraId="541EA24D" w14:textId="77777777" w:rsidR="00E157CA" w:rsidRDefault="003D1EF4" w:rsidP="00E4201C">
      <w:r>
        <w:br w:type="page"/>
      </w:r>
    </w:p>
    <w:p w14:paraId="79A7D97D" w14:textId="031CFEC4" w:rsidR="00E157CA" w:rsidRPr="00DD04CA" w:rsidRDefault="003D1EF4" w:rsidP="00DD04CA">
      <w:pPr>
        <w:pStyle w:val="1"/>
        <w:pBdr>
          <w:bottom w:val="single" w:sz="6" w:space="4" w:color="B8862E"/>
        </w:pBdr>
        <w:bidi/>
      </w:pPr>
      <w:r>
        <w:t>قائمة المراجع</w:t>
      </w:r>
    </w:p>
    <w:p w14:paraId="374F9050" w14:textId="77777777" w:rsidR="00E157CA" w:rsidRDefault="003D1EF4" w:rsidP="00E4201C">
      <w:pPr>
        <w:pStyle w:val="2"/>
        <w:bidi/>
      </w:pPr>
      <w:r>
        <w:t>أولاً: المصادر الأصلية</w:t>
      </w:r>
    </w:p>
    <w:p w14:paraId="0260294E" w14:textId="77777777" w:rsidR="00E157CA" w:rsidRDefault="003D1EF4" w:rsidP="00E4201C">
      <w:pPr>
        <w:spacing w:after="160" w:line="280" w:lineRule="auto"/>
        <w:ind w:right="360" w:hanging="360"/>
      </w:pPr>
      <w:r>
        <w:rPr>
          <w:sz w:val="22"/>
          <w:szCs w:val="22"/>
        </w:rPr>
        <w:t>[1–2]    مقال «</w:t>
      </w:r>
      <w:proofErr w:type="spellStart"/>
      <w:r>
        <w:rPr>
          <w:sz w:val="22"/>
          <w:szCs w:val="22"/>
        </w:rPr>
        <w:t>الريكي</w:t>
      </w:r>
      <w:proofErr w:type="spellEnd"/>
      <w:r>
        <w:rPr>
          <w:sz w:val="22"/>
          <w:szCs w:val="22"/>
        </w:rPr>
        <w:t xml:space="preserve"> </w:t>
      </w:r>
      <w:proofErr w:type="spellStart"/>
      <w:r>
        <w:rPr>
          <w:sz w:val="22"/>
          <w:szCs w:val="22"/>
        </w:rPr>
        <w:t>Reiki</w:t>
      </w:r>
      <w:proofErr w:type="spellEnd"/>
      <w:r>
        <w:rPr>
          <w:sz w:val="22"/>
          <w:szCs w:val="22"/>
        </w:rPr>
        <w:t xml:space="preserve">»، منصة وعي (منصة للتصدي للفكر الدخيل)، تناول التعريف </w:t>
      </w:r>
      <w:proofErr w:type="spellStart"/>
      <w:r>
        <w:rPr>
          <w:sz w:val="22"/>
          <w:szCs w:val="22"/>
        </w:rPr>
        <w:t>بالريكي</w:t>
      </w:r>
      <w:proofErr w:type="spellEnd"/>
      <w:r>
        <w:rPr>
          <w:sz w:val="22"/>
          <w:szCs w:val="22"/>
        </w:rPr>
        <w:t xml:space="preserve"> وأصوله اليابانية والصينية.</w:t>
      </w:r>
    </w:p>
    <w:p w14:paraId="3E1D3974" w14:textId="77777777" w:rsidR="00E157CA" w:rsidRDefault="003D1EF4" w:rsidP="00E4201C">
      <w:pPr>
        <w:spacing w:after="160" w:line="280" w:lineRule="auto"/>
        <w:ind w:right="360" w:hanging="360"/>
      </w:pPr>
      <w:r>
        <w:rPr>
          <w:sz w:val="22"/>
          <w:szCs w:val="22"/>
        </w:rPr>
        <w:t xml:space="preserve">[3–5]    فتوى «حكم التصديق بوجود الطاقة السلبية في الإنسان»، موقع الإسلام سؤال وجواب، نقلاً عن تحليلات د. فوز كردي والكاتب فيصل </w:t>
      </w:r>
      <w:proofErr w:type="spellStart"/>
      <w:r>
        <w:rPr>
          <w:sz w:val="22"/>
          <w:szCs w:val="22"/>
        </w:rPr>
        <w:t>الكاملي</w:t>
      </w:r>
      <w:proofErr w:type="spellEnd"/>
      <w:r>
        <w:rPr>
          <w:sz w:val="22"/>
          <w:szCs w:val="22"/>
        </w:rPr>
        <w:t xml:space="preserve"> للجذور الفلسفية الشرقية.</w:t>
      </w:r>
    </w:p>
    <w:p w14:paraId="0231DFC1" w14:textId="77777777" w:rsidR="00E157CA" w:rsidRDefault="003D1EF4" w:rsidP="00E4201C">
      <w:pPr>
        <w:spacing w:after="160" w:line="280" w:lineRule="auto"/>
        <w:ind w:right="360" w:hanging="360"/>
      </w:pPr>
      <w:r>
        <w:rPr>
          <w:sz w:val="22"/>
          <w:szCs w:val="22"/>
        </w:rPr>
        <w:t>[6–7]    كردي، فوز. المذاهب الفلسفية الإلحادية. استُشهد به في توضيح علاقة الطاقة بعقيدة وحدة الوجود.</w:t>
      </w:r>
    </w:p>
    <w:p w14:paraId="4E61939A" w14:textId="77777777" w:rsidR="00E157CA" w:rsidRDefault="003D1EF4" w:rsidP="00E4201C">
      <w:pPr>
        <w:spacing w:after="160" w:line="280" w:lineRule="auto"/>
        <w:ind w:right="360" w:hanging="360"/>
      </w:pPr>
      <w:r>
        <w:rPr>
          <w:sz w:val="22"/>
          <w:szCs w:val="22"/>
        </w:rPr>
        <w:t>[8–10]    مقال «قانون الجذب الفكري»، موسوعة ويكيبيديا، لتوضيح مفاهيم حركة العصر الجديد وتصنيف هذه الممارسات كعلم زائف.</w:t>
      </w:r>
    </w:p>
    <w:p w14:paraId="10686666" w14:textId="77777777" w:rsidR="00E157CA" w:rsidRDefault="003D1EF4" w:rsidP="00E4201C">
      <w:pPr>
        <w:spacing w:after="160" w:line="280" w:lineRule="auto"/>
        <w:ind w:right="360" w:hanging="360"/>
      </w:pPr>
      <w:r>
        <w:rPr>
          <w:sz w:val="22"/>
          <w:szCs w:val="22"/>
        </w:rPr>
        <w:t>[11–12]    مقال «علم الطاقة»، موسوعة ويكيبيديا، يوضح الفرق بين المفهوم الفلسفي والعلمي للطاقة.</w:t>
      </w:r>
    </w:p>
    <w:p w14:paraId="102D0D4E" w14:textId="77777777" w:rsidR="00E157CA" w:rsidRDefault="003D1EF4" w:rsidP="00E4201C">
      <w:pPr>
        <w:spacing w:after="160" w:line="280" w:lineRule="auto"/>
        <w:ind w:right="360" w:hanging="360"/>
      </w:pPr>
      <w:r>
        <w:rPr>
          <w:sz w:val="22"/>
          <w:szCs w:val="22"/>
        </w:rPr>
        <w:t>[13]    الرشيد، هيفاء. حركة العصر الجديد؛ والسيف، ثريا. الأصول الفلسفية لتطوير الذات في التنمية البشرية؛ مع أبحاث وردود علمية للدكتور أيمن العنقري والدكتور هيثم طلعت وغيرهم من المتخصصين في نقد حركات الطاقة والوعي.</w:t>
      </w:r>
    </w:p>
    <w:p w14:paraId="2B64304B" w14:textId="1C3F6C55" w:rsidR="00E157CA" w:rsidRDefault="003D1EF4" w:rsidP="00E4201C">
      <w:pPr>
        <w:spacing w:after="160" w:line="280" w:lineRule="auto"/>
        <w:ind w:right="360" w:hanging="360"/>
      </w:pPr>
      <w:r>
        <w:rPr>
          <w:sz w:val="22"/>
          <w:szCs w:val="22"/>
        </w:rPr>
        <w:t>[14–34]    مصادر تخصصية إضافية مستندة إلى الأدبيات الأكاديمية العربية والغربية في نقد الطب البديل والفلسفات الشرقية</w:t>
      </w:r>
      <w:r w:rsidR="00A3305F">
        <w:rPr>
          <w:rFonts w:hint="cs"/>
          <w:sz w:val="22"/>
          <w:szCs w:val="22"/>
        </w:rPr>
        <w:t xml:space="preserve"> .</w:t>
      </w:r>
    </w:p>
    <w:p w14:paraId="3D9D879C" w14:textId="77777777" w:rsidR="00E157CA" w:rsidRDefault="00E157CA" w:rsidP="00E4201C">
      <w:pPr>
        <w:spacing w:after="120"/>
      </w:pPr>
    </w:p>
    <w:p w14:paraId="5F6847C2" w14:textId="2EA9107D" w:rsidR="00E157CA" w:rsidRDefault="003D1EF4" w:rsidP="00E4201C">
      <w:pPr>
        <w:pStyle w:val="2"/>
        <w:bidi/>
      </w:pPr>
      <w:r>
        <w:t xml:space="preserve">ثانياً: المصادر </w:t>
      </w:r>
      <w:r w:rsidR="00DD04CA">
        <w:rPr>
          <w:rFonts w:hint="cs"/>
        </w:rPr>
        <w:t>التكميلية :</w:t>
      </w:r>
    </w:p>
    <w:p w14:paraId="3E95C062" w14:textId="77777777" w:rsidR="00E157CA" w:rsidRDefault="003D1EF4" w:rsidP="00E4553C">
      <w:pPr>
        <w:spacing w:after="160" w:line="280" w:lineRule="auto"/>
        <w:ind w:right="360" w:hanging="360"/>
        <w:jc w:val="right"/>
      </w:pPr>
      <w:r>
        <w:rPr>
          <w:sz w:val="22"/>
          <w:szCs w:val="22"/>
        </w:rPr>
        <w:t xml:space="preserve">[35]    </w:t>
      </w:r>
      <w:proofErr w:type="spellStart"/>
      <w:r>
        <w:rPr>
          <w:sz w:val="22"/>
          <w:szCs w:val="22"/>
        </w:rPr>
        <w:t>Popper</w:t>
      </w:r>
      <w:proofErr w:type="spellEnd"/>
      <w:r>
        <w:rPr>
          <w:sz w:val="22"/>
          <w:szCs w:val="22"/>
        </w:rPr>
        <w:t xml:space="preserve">, K. (1935). </w:t>
      </w:r>
      <w:proofErr w:type="spellStart"/>
      <w:r>
        <w:rPr>
          <w:sz w:val="22"/>
          <w:szCs w:val="22"/>
        </w:rPr>
        <w:t>Logik</w:t>
      </w:r>
      <w:proofErr w:type="spellEnd"/>
      <w:r>
        <w:rPr>
          <w:sz w:val="22"/>
          <w:szCs w:val="22"/>
        </w:rPr>
        <w:t xml:space="preserve"> </w:t>
      </w:r>
      <w:proofErr w:type="spellStart"/>
      <w:r>
        <w:rPr>
          <w:sz w:val="22"/>
          <w:szCs w:val="22"/>
        </w:rPr>
        <w:t>der</w:t>
      </w:r>
      <w:proofErr w:type="spellEnd"/>
      <w:r>
        <w:rPr>
          <w:sz w:val="22"/>
          <w:szCs w:val="22"/>
        </w:rPr>
        <w:t xml:space="preserve"> </w:t>
      </w:r>
      <w:proofErr w:type="spellStart"/>
      <w:r>
        <w:rPr>
          <w:sz w:val="22"/>
          <w:szCs w:val="22"/>
        </w:rPr>
        <w:t>Forschung</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Logic</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Scientific</w:t>
      </w:r>
      <w:proofErr w:type="spellEnd"/>
      <w:r>
        <w:rPr>
          <w:sz w:val="22"/>
          <w:szCs w:val="22"/>
        </w:rPr>
        <w:t xml:space="preserve"> </w:t>
      </w:r>
      <w:proofErr w:type="spellStart"/>
      <w:r>
        <w:rPr>
          <w:sz w:val="22"/>
          <w:szCs w:val="22"/>
        </w:rPr>
        <w:t>Discovery</w:t>
      </w:r>
      <w:proofErr w:type="spellEnd"/>
      <w:r>
        <w:rPr>
          <w:sz w:val="22"/>
          <w:szCs w:val="22"/>
        </w:rPr>
        <w:t xml:space="preserve">]. </w:t>
      </w:r>
      <w:proofErr w:type="spellStart"/>
      <w:r>
        <w:rPr>
          <w:sz w:val="22"/>
          <w:szCs w:val="22"/>
        </w:rPr>
        <w:t>Vienna</w:t>
      </w:r>
      <w:proofErr w:type="spellEnd"/>
      <w:r>
        <w:rPr>
          <w:sz w:val="22"/>
          <w:szCs w:val="22"/>
        </w:rPr>
        <w:t xml:space="preserve">: </w:t>
      </w:r>
      <w:proofErr w:type="spellStart"/>
      <w:r>
        <w:rPr>
          <w:sz w:val="22"/>
          <w:szCs w:val="22"/>
        </w:rPr>
        <w:t>Julius</w:t>
      </w:r>
      <w:proofErr w:type="spellEnd"/>
      <w:r>
        <w:rPr>
          <w:sz w:val="22"/>
          <w:szCs w:val="22"/>
        </w:rPr>
        <w:t xml:space="preserve"> </w:t>
      </w:r>
      <w:proofErr w:type="spellStart"/>
      <w:r>
        <w:rPr>
          <w:sz w:val="22"/>
          <w:szCs w:val="22"/>
        </w:rPr>
        <w:t>Springer</w:t>
      </w:r>
      <w:proofErr w:type="spellEnd"/>
      <w:r>
        <w:rPr>
          <w:sz w:val="22"/>
          <w:szCs w:val="22"/>
        </w:rPr>
        <w:t>.</w:t>
      </w:r>
    </w:p>
    <w:p w14:paraId="12024074" w14:textId="77777777" w:rsidR="00E157CA" w:rsidRDefault="003D1EF4" w:rsidP="00E4553C">
      <w:pPr>
        <w:spacing w:after="160" w:line="280" w:lineRule="auto"/>
        <w:ind w:right="360" w:hanging="360"/>
        <w:jc w:val="right"/>
      </w:pPr>
      <w:r>
        <w:rPr>
          <w:sz w:val="22"/>
          <w:szCs w:val="22"/>
        </w:rPr>
        <w:t xml:space="preserve">[36]    </w:t>
      </w:r>
      <w:proofErr w:type="spellStart"/>
      <w:r>
        <w:rPr>
          <w:sz w:val="22"/>
          <w:szCs w:val="22"/>
        </w:rPr>
        <w:t>Popper</w:t>
      </w:r>
      <w:proofErr w:type="spellEnd"/>
      <w:r>
        <w:rPr>
          <w:sz w:val="22"/>
          <w:szCs w:val="22"/>
        </w:rPr>
        <w:t>, K. (1962). "</w:t>
      </w:r>
      <w:proofErr w:type="spellStart"/>
      <w:r>
        <w:rPr>
          <w:sz w:val="22"/>
          <w:szCs w:val="22"/>
        </w:rPr>
        <w:t>The</w:t>
      </w:r>
      <w:proofErr w:type="spellEnd"/>
      <w:r>
        <w:rPr>
          <w:sz w:val="22"/>
          <w:szCs w:val="22"/>
        </w:rPr>
        <w:t xml:space="preserve"> </w:t>
      </w:r>
      <w:proofErr w:type="spellStart"/>
      <w:r>
        <w:rPr>
          <w:sz w:val="22"/>
          <w:szCs w:val="22"/>
        </w:rPr>
        <w:t>Demarcation</w:t>
      </w:r>
      <w:proofErr w:type="spellEnd"/>
      <w:r>
        <w:rPr>
          <w:sz w:val="22"/>
          <w:szCs w:val="22"/>
        </w:rPr>
        <w:t xml:space="preserve"> </w:t>
      </w:r>
      <w:proofErr w:type="spellStart"/>
      <w:r>
        <w:rPr>
          <w:sz w:val="22"/>
          <w:szCs w:val="22"/>
        </w:rPr>
        <w:t>Between</w:t>
      </w:r>
      <w:proofErr w:type="spellEnd"/>
      <w:r>
        <w:rPr>
          <w:sz w:val="22"/>
          <w:szCs w:val="22"/>
        </w:rPr>
        <w:t xml:space="preserve"> </w:t>
      </w:r>
      <w:proofErr w:type="spellStart"/>
      <w:r>
        <w:rPr>
          <w:sz w:val="22"/>
          <w:szCs w:val="22"/>
        </w:rPr>
        <w:t>Science</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Metaphysics</w:t>
      </w:r>
      <w:proofErr w:type="spellEnd"/>
      <w:r>
        <w:rPr>
          <w:sz w:val="22"/>
          <w:szCs w:val="22"/>
        </w:rPr>
        <w:t xml:space="preserve">." </w:t>
      </w:r>
      <w:proofErr w:type="spellStart"/>
      <w:r>
        <w:rPr>
          <w:sz w:val="22"/>
          <w:szCs w:val="22"/>
        </w:rPr>
        <w:t>In</w:t>
      </w:r>
      <w:proofErr w:type="spellEnd"/>
      <w:r>
        <w:rPr>
          <w:sz w:val="22"/>
          <w:szCs w:val="22"/>
        </w:rPr>
        <w:t xml:space="preserve"> </w:t>
      </w:r>
      <w:proofErr w:type="spellStart"/>
      <w:r>
        <w:rPr>
          <w:sz w:val="22"/>
          <w:szCs w:val="22"/>
        </w:rPr>
        <w:t>Conjectures</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Refutations</w:t>
      </w:r>
      <w:proofErr w:type="spellEnd"/>
      <w:r>
        <w:rPr>
          <w:sz w:val="22"/>
          <w:szCs w:val="22"/>
        </w:rPr>
        <w:t>.</w:t>
      </w:r>
    </w:p>
    <w:p w14:paraId="7B6F553D" w14:textId="77777777" w:rsidR="00E157CA" w:rsidRDefault="003D1EF4" w:rsidP="00E4553C">
      <w:pPr>
        <w:spacing w:after="160" w:line="280" w:lineRule="auto"/>
        <w:ind w:right="360" w:hanging="360"/>
        <w:jc w:val="right"/>
      </w:pPr>
      <w:r>
        <w:rPr>
          <w:sz w:val="22"/>
          <w:szCs w:val="22"/>
        </w:rPr>
        <w:t xml:space="preserve">[37]    </w:t>
      </w:r>
      <w:proofErr w:type="spellStart"/>
      <w:r>
        <w:rPr>
          <w:sz w:val="22"/>
          <w:szCs w:val="22"/>
        </w:rPr>
        <w:t>Hansson</w:t>
      </w:r>
      <w:proofErr w:type="spellEnd"/>
      <w:r>
        <w:rPr>
          <w:sz w:val="22"/>
          <w:szCs w:val="22"/>
        </w:rPr>
        <w:t>, S. O. "</w:t>
      </w:r>
      <w:proofErr w:type="spellStart"/>
      <w:r>
        <w:rPr>
          <w:sz w:val="22"/>
          <w:szCs w:val="22"/>
        </w:rPr>
        <w:t>Science</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Pseudo-Science</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Stanford</w:t>
      </w:r>
      <w:proofErr w:type="spellEnd"/>
      <w:r>
        <w:rPr>
          <w:sz w:val="22"/>
          <w:szCs w:val="22"/>
        </w:rPr>
        <w:t xml:space="preserve"> </w:t>
      </w:r>
      <w:proofErr w:type="spellStart"/>
      <w:r>
        <w:rPr>
          <w:sz w:val="22"/>
          <w:szCs w:val="22"/>
        </w:rPr>
        <w:t>Encyclopedia</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Philosophy</w:t>
      </w:r>
      <w:proofErr w:type="spellEnd"/>
      <w:r>
        <w:rPr>
          <w:sz w:val="22"/>
          <w:szCs w:val="22"/>
        </w:rPr>
        <w:t>.</w:t>
      </w:r>
    </w:p>
    <w:p w14:paraId="792600B7" w14:textId="77777777" w:rsidR="00E157CA" w:rsidRDefault="003D1EF4" w:rsidP="00E4553C">
      <w:pPr>
        <w:spacing w:after="160" w:line="280" w:lineRule="auto"/>
        <w:ind w:right="360" w:hanging="360"/>
        <w:jc w:val="right"/>
      </w:pPr>
      <w:r>
        <w:rPr>
          <w:sz w:val="22"/>
          <w:szCs w:val="22"/>
        </w:rPr>
        <w:t xml:space="preserve">[38]    </w:t>
      </w:r>
      <w:proofErr w:type="spellStart"/>
      <w:r>
        <w:rPr>
          <w:sz w:val="22"/>
          <w:szCs w:val="22"/>
        </w:rPr>
        <w:t>Mahner</w:t>
      </w:r>
      <w:proofErr w:type="spellEnd"/>
      <w:r>
        <w:rPr>
          <w:sz w:val="22"/>
          <w:szCs w:val="22"/>
        </w:rPr>
        <w:t>, M. "</w:t>
      </w:r>
      <w:proofErr w:type="spellStart"/>
      <w:r>
        <w:rPr>
          <w:sz w:val="22"/>
          <w:szCs w:val="22"/>
        </w:rPr>
        <w:t>Demarcating</w:t>
      </w:r>
      <w:proofErr w:type="spellEnd"/>
      <w:r>
        <w:rPr>
          <w:sz w:val="22"/>
          <w:szCs w:val="22"/>
        </w:rPr>
        <w:t xml:space="preserve"> </w:t>
      </w:r>
      <w:proofErr w:type="spellStart"/>
      <w:r>
        <w:rPr>
          <w:sz w:val="22"/>
          <w:szCs w:val="22"/>
        </w:rPr>
        <w:t>Science</w:t>
      </w:r>
      <w:proofErr w:type="spellEnd"/>
      <w:r>
        <w:rPr>
          <w:sz w:val="22"/>
          <w:szCs w:val="22"/>
        </w:rPr>
        <w:t xml:space="preserve"> </w:t>
      </w:r>
      <w:proofErr w:type="spellStart"/>
      <w:r>
        <w:rPr>
          <w:sz w:val="22"/>
          <w:szCs w:val="22"/>
        </w:rPr>
        <w:t>from</w:t>
      </w:r>
      <w:proofErr w:type="spellEnd"/>
      <w:r>
        <w:rPr>
          <w:sz w:val="22"/>
          <w:szCs w:val="22"/>
        </w:rPr>
        <w:t xml:space="preserve"> </w:t>
      </w:r>
      <w:proofErr w:type="spellStart"/>
      <w:r>
        <w:rPr>
          <w:sz w:val="22"/>
          <w:szCs w:val="22"/>
        </w:rPr>
        <w:t>Non-Science</w:t>
      </w:r>
      <w:proofErr w:type="spellEnd"/>
      <w:r>
        <w:rPr>
          <w:sz w:val="22"/>
          <w:szCs w:val="22"/>
        </w:rPr>
        <w:t xml:space="preserve">." </w:t>
      </w:r>
      <w:proofErr w:type="spellStart"/>
      <w:r>
        <w:rPr>
          <w:sz w:val="22"/>
          <w:szCs w:val="22"/>
        </w:rPr>
        <w:t>Philosophy</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Science</w:t>
      </w:r>
      <w:proofErr w:type="spellEnd"/>
      <w:r>
        <w:rPr>
          <w:sz w:val="22"/>
          <w:szCs w:val="22"/>
        </w:rPr>
        <w:t xml:space="preserve">, </w:t>
      </w:r>
      <w:proofErr w:type="spellStart"/>
      <w:r>
        <w:rPr>
          <w:sz w:val="22"/>
          <w:szCs w:val="22"/>
        </w:rPr>
        <w:t>Cambridge</w:t>
      </w:r>
      <w:proofErr w:type="spellEnd"/>
      <w:r>
        <w:rPr>
          <w:sz w:val="22"/>
          <w:szCs w:val="22"/>
        </w:rPr>
        <w:t xml:space="preserve"> </w:t>
      </w:r>
      <w:proofErr w:type="spellStart"/>
      <w:r>
        <w:rPr>
          <w:sz w:val="22"/>
          <w:szCs w:val="22"/>
        </w:rPr>
        <w:t>Core</w:t>
      </w:r>
      <w:proofErr w:type="spellEnd"/>
      <w:r>
        <w:rPr>
          <w:sz w:val="22"/>
          <w:szCs w:val="22"/>
        </w:rPr>
        <w:t>.</w:t>
      </w:r>
    </w:p>
    <w:p w14:paraId="41F65A8D" w14:textId="77777777" w:rsidR="00E157CA" w:rsidRDefault="003D1EF4" w:rsidP="00E4553C">
      <w:pPr>
        <w:spacing w:after="160" w:line="280" w:lineRule="auto"/>
        <w:ind w:right="360" w:hanging="360"/>
        <w:jc w:val="right"/>
      </w:pPr>
      <w:r>
        <w:rPr>
          <w:sz w:val="22"/>
          <w:szCs w:val="22"/>
        </w:rPr>
        <w:t xml:space="preserve">[39]    </w:t>
      </w:r>
      <w:proofErr w:type="spellStart"/>
      <w:r>
        <w:rPr>
          <w:sz w:val="22"/>
          <w:szCs w:val="22"/>
        </w:rPr>
        <w:t>Scorzato</w:t>
      </w:r>
      <w:proofErr w:type="spellEnd"/>
      <w:r>
        <w:rPr>
          <w:sz w:val="22"/>
          <w:szCs w:val="22"/>
        </w:rPr>
        <w:t>, L. "</w:t>
      </w:r>
      <w:proofErr w:type="spellStart"/>
      <w:r>
        <w:rPr>
          <w:sz w:val="22"/>
          <w:szCs w:val="22"/>
        </w:rPr>
        <w:t>Science</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Illusions</w:t>
      </w:r>
      <w:proofErr w:type="spellEnd"/>
      <w:r>
        <w:rPr>
          <w:sz w:val="22"/>
          <w:szCs w:val="22"/>
        </w:rPr>
        <w:t xml:space="preserve">." </w:t>
      </w:r>
      <w:proofErr w:type="spellStart"/>
      <w:r>
        <w:rPr>
          <w:sz w:val="22"/>
          <w:szCs w:val="22"/>
        </w:rPr>
        <w:t>arXiv</w:t>
      </w:r>
      <w:proofErr w:type="spellEnd"/>
      <w:r>
        <w:rPr>
          <w:sz w:val="22"/>
          <w:szCs w:val="22"/>
        </w:rPr>
        <w:t xml:space="preserve"> </w:t>
      </w:r>
      <w:proofErr w:type="spellStart"/>
      <w:r>
        <w:rPr>
          <w:sz w:val="22"/>
          <w:szCs w:val="22"/>
        </w:rPr>
        <w:t>preprint</w:t>
      </w:r>
      <w:proofErr w:type="spellEnd"/>
      <w:r>
        <w:rPr>
          <w:sz w:val="22"/>
          <w:szCs w:val="22"/>
        </w:rPr>
        <w:t xml:space="preserve">, </w:t>
      </w:r>
      <w:proofErr w:type="spellStart"/>
      <w:r>
        <w:rPr>
          <w:sz w:val="22"/>
          <w:szCs w:val="22"/>
        </w:rPr>
        <w:t>on</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limits</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Popperian</w:t>
      </w:r>
      <w:proofErr w:type="spellEnd"/>
      <w:r>
        <w:rPr>
          <w:sz w:val="22"/>
          <w:szCs w:val="22"/>
        </w:rPr>
        <w:t xml:space="preserve"> </w:t>
      </w:r>
      <w:proofErr w:type="spellStart"/>
      <w:r>
        <w:rPr>
          <w:sz w:val="22"/>
          <w:szCs w:val="22"/>
        </w:rPr>
        <w:t>falsifiability</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Duhem-Quine</w:t>
      </w:r>
      <w:proofErr w:type="spellEnd"/>
      <w:r>
        <w:rPr>
          <w:sz w:val="22"/>
          <w:szCs w:val="22"/>
        </w:rPr>
        <w:t xml:space="preserve"> </w:t>
      </w:r>
      <w:proofErr w:type="spellStart"/>
      <w:r>
        <w:rPr>
          <w:sz w:val="22"/>
          <w:szCs w:val="22"/>
        </w:rPr>
        <w:t>problem</w:t>
      </w:r>
      <w:proofErr w:type="spellEnd"/>
      <w:r>
        <w:rPr>
          <w:sz w:val="22"/>
          <w:szCs w:val="22"/>
        </w:rPr>
        <w:t>.</w:t>
      </w:r>
    </w:p>
    <w:p w14:paraId="22FCA69F" w14:textId="77777777" w:rsidR="00E157CA" w:rsidRDefault="003D1EF4" w:rsidP="00E4553C">
      <w:pPr>
        <w:spacing w:after="160" w:line="280" w:lineRule="auto"/>
        <w:ind w:right="360" w:hanging="360"/>
        <w:jc w:val="right"/>
      </w:pPr>
      <w:r>
        <w:rPr>
          <w:sz w:val="22"/>
          <w:szCs w:val="22"/>
        </w:rPr>
        <w:t xml:space="preserve">[40]    </w:t>
      </w:r>
      <w:proofErr w:type="spellStart"/>
      <w:r>
        <w:rPr>
          <w:sz w:val="22"/>
          <w:szCs w:val="22"/>
        </w:rPr>
        <w:t>Lakatos</w:t>
      </w:r>
      <w:proofErr w:type="spellEnd"/>
      <w:r>
        <w:rPr>
          <w:sz w:val="22"/>
          <w:szCs w:val="22"/>
        </w:rPr>
        <w:t>, I. "</w:t>
      </w:r>
      <w:proofErr w:type="spellStart"/>
      <w:r>
        <w:rPr>
          <w:sz w:val="22"/>
          <w:szCs w:val="22"/>
        </w:rPr>
        <w:t>Falsification</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Methodology</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Scientific</w:t>
      </w:r>
      <w:proofErr w:type="spellEnd"/>
      <w:r>
        <w:rPr>
          <w:sz w:val="22"/>
          <w:szCs w:val="22"/>
        </w:rPr>
        <w:t xml:space="preserve"> </w:t>
      </w:r>
      <w:proofErr w:type="spellStart"/>
      <w:r>
        <w:rPr>
          <w:sz w:val="22"/>
          <w:szCs w:val="22"/>
        </w:rPr>
        <w:t>Research</w:t>
      </w:r>
      <w:proofErr w:type="spellEnd"/>
      <w:r>
        <w:rPr>
          <w:sz w:val="22"/>
          <w:szCs w:val="22"/>
        </w:rPr>
        <w:t xml:space="preserve"> </w:t>
      </w:r>
      <w:proofErr w:type="spellStart"/>
      <w:r>
        <w:rPr>
          <w:sz w:val="22"/>
          <w:szCs w:val="22"/>
        </w:rPr>
        <w:t>Programmes</w:t>
      </w:r>
      <w:proofErr w:type="spellEnd"/>
      <w:r>
        <w:rPr>
          <w:sz w:val="22"/>
          <w:szCs w:val="22"/>
        </w:rPr>
        <w:t xml:space="preserve">," </w:t>
      </w:r>
      <w:proofErr w:type="spellStart"/>
      <w:r>
        <w:rPr>
          <w:sz w:val="22"/>
          <w:szCs w:val="22"/>
        </w:rPr>
        <w:t>on</w:t>
      </w:r>
      <w:proofErr w:type="spellEnd"/>
      <w:r>
        <w:rPr>
          <w:sz w:val="22"/>
          <w:szCs w:val="22"/>
        </w:rPr>
        <w:t xml:space="preserve"> </w:t>
      </w:r>
      <w:proofErr w:type="spellStart"/>
      <w:r>
        <w:rPr>
          <w:sz w:val="22"/>
          <w:szCs w:val="22"/>
        </w:rPr>
        <w:t>degenerating</w:t>
      </w:r>
      <w:proofErr w:type="spellEnd"/>
      <w:r>
        <w:rPr>
          <w:sz w:val="22"/>
          <w:szCs w:val="22"/>
        </w:rPr>
        <w:t xml:space="preserve"> </w:t>
      </w:r>
      <w:proofErr w:type="spellStart"/>
      <w:r>
        <w:rPr>
          <w:sz w:val="22"/>
          <w:szCs w:val="22"/>
        </w:rPr>
        <w:t>vs</w:t>
      </w:r>
      <w:proofErr w:type="spellEnd"/>
      <w:r>
        <w:rPr>
          <w:sz w:val="22"/>
          <w:szCs w:val="22"/>
        </w:rPr>
        <w:t xml:space="preserve">. </w:t>
      </w:r>
      <w:proofErr w:type="spellStart"/>
      <w:r>
        <w:rPr>
          <w:sz w:val="22"/>
          <w:szCs w:val="22"/>
        </w:rPr>
        <w:t>progressive</w:t>
      </w:r>
      <w:proofErr w:type="spellEnd"/>
      <w:r>
        <w:rPr>
          <w:sz w:val="22"/>
          <w:szCs w:val="22"/>
        </w:rPr>
        <w:t xml:space="preserve"> </w:t>
      </w:r>
      <w:proofErr w:type="spellStart"/>
      <w:r>
        <w:rPr>
          <w:sz w:val="22"/>
          <w:szCs w:val="22"/>
        </w:rPr>
        <w:t>research</w:t>
      </w:r>
      <w:proofErr w:type="spellEnd"/>
      <w:r>
        <w:rPr>
          <w:sz w:val="22"/>
          <w:szCs w:val="22"/>
        </w:rPr>
        <w:t xml:space="preserve"> </w:t>
      </w:r>
      <w:proofErr w:type="spellStart"/>
      <w:r>
        <w:rPr>
          <w:sz w:val="22"/>
          <w:szCs w:val="22"/>
        </w:rPr>
        <w:t>programmes</w:t>
      </w:r>
      <w:proofErr w:type="spellEnd"/>
      <w:r>
        <w:rPr>
          <w:sz w:val="22"/>
          <w:szCs w:val="22"/>
        </w:rPr>
        <w:t>.</w:t>
      </w:r>
    </w:p>
    <w:p w14:paraId="5190DB9B" w14:textId="77777777" w:rsidR="00E157CA" w:rsidRDefault="003D1EF4" w:rsidP="00E4553C">
      <w:pPr>
        <w:spacing w:after="160" w:line="280" w:lineRule="auto"/>
        <w:ind w:right="360" w:hanging="360"/>
        <w:jc w:val="right"/>
      </w:pPr>
      <w:r>
        <w:rPr>
          <w:sz w:val="22"/>
          <w:szCs w:val="22"/>
        </w:rPr>
        <w:t xml:space="preserve">[41]    </w:t>
      </w:r>
      <w:proofErr w:type="spellStart"/>
      <w:r>
        <w:rPr>
          <w:sz w:val="22"/>
          <w:szCs w:val="22"/>
        </w:rPr>
        <w:t>National</w:t>
      </w:r>
      <w:proofErr w:type="spellEnd"/>
      <w:r>
        <w:rPr>
          <w:sz w:val="22"/>
          <w:szCs w:val="22"/>
        </w:rPr>
        <w:t xml:space="preserve"> </w:t>
      </w:r>
      <w:proofErr w:type="spellStart"/>
      <w:r>
        <w:rPr>
          <w:sz w:val="22"/>
          <w:szCs w:val="22"/>
        </w:rPr>
        <w:t>Center</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Complementary</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Integrative</w:t>
      </w:r>
      <w:proofErr w:type="spellEnd"/>
      <w:r>
        <w:rPr>
          <w:sz w:val="22"/>
          <w:szCs w:val="22"/>
        </w:rPr>
        <w:t xml:space="preserve"> </w:t>
      </w:r>
      <w:proofErr w:type="spellStart"/>
      <w:r>
        <w:rPr>
          <w:sz w:val="22"/>
          <w:szCs w:val="22"/>
        </w:rPr>
        <w:t>Health</w:t>
      </w:r>
      <w:proofErr w:type="spellEnd"/>
      <w:r>
        <w:rPr>
          <w:sz w:val="22"/>
          <w:szCs w:val="22"/>
        </w:rPr>
        <w:t xml:space="preserve"> (NCCIH). "</w:t>
      </w:r>
      <w:proofErr w:type="spellStart"/>
      <w:r>
        <w:rPr>
          <w:sz w:val="22"/>
          <w:szCs w:val="22"/>
        </w:rPr>
        <w:t>Energy</w:t>
      </w:r>
      <w:proofErr w:type="spellEnd"/>
      <w:r>
        <w:rPr>
          <w:sz w:val="22"/>
          <w:szCs w:val="22"/>
        </w:rPr>
        <w:t xml:space="preserve"> </w:t>
      </w:r>
      <w:proofErr w:type="spellStart"/>
      <w:r>
        <w:rPr>
          <w:sz w:val="22"/>
          <w:szCs w:val="22"/>
        </w:rPr>
        <w:t>Healing</w:t>
      </w:r>
      <w:proofErr w:type="spellEnd"/>
      <w:r>
        <w:rPr>
          <w:sz w:val="22"/>
          <w:szCs w:val="22"/>
        </w:rPr>
        <w:t xml:space="preserve"> </w:t>
      </w:r>
      <w:proofErr w:type="spellStart"/>
      <w:r>
        <w:rPr>
          <w:sz w:val="22"/>
          <w:szCs w:val="22"/>
        </w:rPr>
        <w:t>Therapy</w:t>
      </w:r>
      <w:proofErr w:type="spellEnd"/>
      <w:r>
        <w:rPr>
          <w:sz w:val="22"/>
          <w:szCs w:val="22"/>
        </w:rPr>
        <w:t xml:space="preserve">" </w:t>
      </w:r>
      <w:proofErr w:type="spellStart"/>
      <w:r>
        <w:rPr>
          <w:sz w:val="22"/>
          <w:szCs w:val="22"/>
        </w:rPr>
        <w:t>definitional</w:t>
      </w:r>
      <w:proofErr w:type="spellEnd"/>
      <w:r>
        <w:rPr>
          <w:sz w:val="22"/>
          <w:szCs w:val="22"/>
        </w:rPr>
        <w:t xml:space="preserve"> </w:t>
      </w:r>
      <w:proofErr w:type="spellStart"/>
      <w:r>
        <w:rPr>
          <w:sz w:val="22"/>
          <w:szCs w:val="22"/>
        </w:rPr>
        <w:t>entry</w:t>
      </w:r>
      <w:proofErr w:type="spellEnd"/>
      <w:r>
        <w:rPr>
          <w:sz w:val="22"/>
          <w:szCs w:val="22"/>
        </w:rPr>
        <w:t xml:space="preserve">, U.S. </w:t>
      </w:r>
      <w:proofErr w:type="spellStart"/>
      <w:r>
        <w:rPr>
          <w:sz w:val="22"/>
          <w:szCs w:val="22"/>
        </w:rPr>
        <w:t>National</w:t>
      </w:r>
      <w:proofErr w:type="spellEnd"/>
      <w:r>
        <w:rPr>
          <w:sz w:val="22"/>
          <w:szCs w:val="22"/>
        </w:rPr>
        <w:t xml:space="preserve"> </w:t>
      </w:r>
      <w:proofErr w:type="spellStart"/>
      <w:r>
        <w:rPr>
          <w:sz w:val="22"/>
          <w:szCs w:val="22"/>
        </w:rPr>
        <w:t>Institutes</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Health</w:t>
      </w:r>
      <w:proofErr w:type="spellEnd"/>
      <w:r>
        <w:rPr>
          <w:sz w:val="22"/>
          <w:szCs w:val="22"/>
        </w:rPr>
        <w:t>.</w:t>
      </w:r>
    </w:p>
    <w:p w14:paraId="3D45ABD7" w14:textId="77777777" w:rsidR="00E157CA" w:rsidRDefault="003D1EF4" w:rsidP="00E4553C">
      <w:pPr>
        <w:spacing w:after="160" w:line="280" w:lineRule="auto"/>
        <w:ind w:right="360" w:hanging="360"/>
        <w:jc w:val="right"/>
      </w:pPr>
      <w:r>
        <w:rPr>
          <w:sz w:val="22"/>
          <w:szCs w:val="22"/>
        </w:rPr>
        <w:t xml:space="preserve">[42]    </w:t>
      </w:r>
      <w:proofErr w:type="spellStart"/>
      <w:r>
        <w:rPr>
          <w:sz w:val="22"/>
          <w:szCs w:val="22"/>
        </w:rPr>
        <w:t>Sprengel</w:t>
      </w:r>
      <w:proofErr w:type="spellEnd"/>
      <w:r>
        <w:rPr>
          <w:sz w:val="22"/>
          <w:szCs w:val="22"/>
        </w:rPr>
        <w:t xml:space="preserve">, M. L., </w:t>
      </w:r>
      <w:proofErr w:type="spellStart"/>
      <w:r>
        <w:rPr>
          <w:sz w:val="22"/>
          <w:szCs w:val="22"/>
        </w:rPr>
        <w:t>et</w:t>
      </w:r>
      <w:proofErr w:type="spellEnd"/>
      <w:r>
        <w:rPr>
          <w:sz w:val="22"/>
          <w:szCs w:val="22"/>
        </w:rPr>
        <w:t xml:space="preserve"> </w:t>
      </w:r>
      <w:proofErr w:type="spellStart"/>
      <w:r>
        <w:rPr>
          <w:sz w:val="22"/>
          <w:szCs w:val="22"/>
        </w:rPr>
        <w:t>al</w:t>
      </w:r>
      <w:proofErr w:type="spellEnd"/>
      <w:r>
        <w:rPr>
          <w:sz w:val="22"/>
          <w:szCs w:val="22"/>
        </w:rPr>
        <w:t>. "</w:t>
      </w:r>
      <w:proofErr w:type="spellStart"/>
      <w:r>
        <w:rPr>
          <w:sz w:val="22"/>
          <w:szCs w:val="22"/>
        </w:rPr>
        <w:t>Biofield</w:t>
      </w:r>
      <w:proofErr w:type="spellEnd"/>
      <w:r>
        <w:rPr>
          <w:sz w:val="22"/>
          <w:szCs w:val="22"/>
        </w:rPr>
        <w:t xml:space="preserve"> </w:t>
      </w:r>
      <w:proofErr w:type="spellStart"/>
      <w:r>
        <w:rPr>
          <w:sz w:val="22"/>
          <w:szCs w:val="22"/>
        </w:rPr>
        <w:t>Therapies</w:t>
      </w:r>
      <w:proofErr w:type="spellEnd"/>
      <w:r>
        <w:rPr>
          <w:sz w:val="22"/>
          <w:szCs w:val="22"/>
        </w:rPr>
        <w:t xml:space="preserve"> </w:t>
      </w:r>
      <w:proofErr w:type="spellStart"/>
      <w:r>
        <w:rPr>
          <w:sz w:val="22"/>
          <w:szCs w:val="22"/>
        </w:rPr>
        <w:t>Clinical</w:t>
      </w:r>
      <w:proofErr w:type="spellEnd"/>
      <w:r>
        <w:rPr>
          <w:sz w:val="22"/>
          <w:szCs w:val="22"/>
        </w:rPr>
        <w:t xml:space="preserve"> </w:t>
      </w:r>
      <w:proofErr w:type="spellStart"/>
      <w:r>
        <w:rPr>
          <w:sz w:val="22"/>
          <w:szCs w:val="22"/>
        </w:rPr>
        <w:t>Research</w:t>
      </w:r>
      <w:proofErr w:type="spellEnd"/>
      <w:r>
        <w:rPr>
          <w:sz w:val="22"/>
          <w:szCs w:val="22"/>
        </w:rPr>
        <w:t xml:space="preserve"> </w:t>
      </w:r>
      <w:proofErr w:type="spellStart"/>
      <w:r>
        <w:rPr>
          <w:sz w:val="22"/>
          <w:szCs w:val="22"/>
        </w:rPr>
        <w:t>Landscape</w:t>
      </w:r>
      <w:proofErr w:type="spellEnd"/>
      <w:r>
        <w:rPr>
          <w:sz w:val="22"/>
          <w:szCs w:val="22"/>
        </w:rPr>
        <w:t xml:space="preserve">: A </w:t>
      </w:r>
      <w:proofErr w:type="spellStart"/>
      <w:r>
        <w:rPr>
          <w:sz w:val="22"/>
          <w:szCs w:val="22"/>
        </w:rPr>
        <w:t>Scoping</w:t>
      </w:r>
      <w:proofErr w:type="spellEnd"/>
      <w:r>
        <w:rPr>
          <w:sz w:val="22"/>
          <w:szCs w:val="22"/>
        </w:rPr>
        <w:t xml:space="preserve"> </w:t>
      </w:r>
      <w:proofErr w:type="spellStart"/>
      <w:r>
        <w:rPr>
          <w:sz w:val="22"/>
          <w:szCs w:val="22"/>
        </w:rPr>
        <w:t>Review</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Interactive</w:t>
      </w:r>
      <w:proofErr w:type="spellEnd"/>
      <w:r>
        <w:rPr>
          <w:sz w:val="22"/>
          <w:szCs w:val="22"/>
        </w:rPr>
        <w:t xml:space="preserve"> </w:t>
      </w:r>
      <w:proofErr w:type="spellStart"/>
      <w:r>
        <w:rPr>
          <w:sz w:val="22"/>
          <w:szCs w:val="22"/>
        </w:rPr>
        <w:t>Evidence</w:t>
      </w:r>
      <w:proofErr w:type="spellEnd"/>
      <w:r>
        <w:rPr>
          <w:sz w:val="22"/>
          <w:szCs w:val="22"/>
        </w:rPr>
        <w:t xml:space="preserve"> </w:t>
      </w:r>
      <w:proofErr w:type="spellStart"/>
      <w:r>
        <w:rPr>
          <w:sz w:val="22"/>
          <w:szCs w:val="22"/>
        </w:rPr>
        <w:t>Map</w:t>
      </w:r>
      <w:proofErr w:type="spellEnd"/>
      <w:r>
        <w:rPr>
          <w:sz w:val="22"/>
          <w:szCs w:val="22"/>
        </w:rPr>
        <w:t xml:space="preserve">." </w:t>
      </w:r>
      <w:proofErr w:type="spellStart"/>
      <w:r>
        <w:rPr>
          <w:sz w:val="22"/>
          <w:szCs w:val="22"/>
        </w:rPr>
        <w:t>Journal</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Integrative</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Complementary</w:t>
      </w:r>
      <w:proofErr w:type="spellEnd"/>
      <w:r>
        <w:rPr>
          <w:sz w:val="22"/>
          <w:szCs w:val="22"/>
        </w:rPr>
        <w:t xml:space="preserve"> </w:t>
      </w:r>
      <w:proofErr w:type="spellStart"/>
      <w:r>
        <w:rPr>
          <w:sz w:val="22"/>
          <w:szCs w:val="22"/>
        </w:rPr>
        <w:t>Medicine</w:t>
      </w:r>
      <w:proofErr w:type="spellEnd"/>
      <w:r>
        <w:rPr>
          <w:sz w:val="22"/>
          <w:szCs w:val="22"/>
        </w:rPr>
        <w:t xml:space="preserve"> (2025).</w:t>
      </w:r>
    </w:p>
    <w:p w14:paraId="34DE2B7A" w14:textId="77777777" w:rsidR="00E157CA" w:rsidRDefault="003D1EF4" w:rsidP="00E4553C">
      <w:pPr>
        <w:spacing w:after="160" w:line="280" w:lineRule="auto"/>
        <w:ind w:right="360" w:hanging="360"/>
        <w:jc w:val="right"/>
      </w:pPr>
      <w:r>
        <w:rPr>
          <w:sz w:val="22"/>
          <w:szCs w:val="22"/>
        </w:rPr>
        <w:t xml:space="preserve">[43]    </w:t>
      </w:r>
      <w:proofErr w:type="spellStart"/>
      <w:r>
        <w:rPr>
          <w:sz w:val="22"/>
          <w:szCs w:val="22"/>
        </w:rPr>
        <w:t>Rakhshaee</w:t>
      </w:r>
      <w:proofErr w:type="spellEnd"/>
      <w:r>
        <w:rPr>
          <w:sz w:val="22"/>
          <w:szCs w:val="22"/>
        </w:rPr>
        <w:t xml:space="preserve">, Z., </w:t>
      </w:r>
      <w:proofErr w:type="spellStart"/>
      <w:r>
        <w:rPr>
          <w:sz w:val="22"/>
          <w:szCs w:val="22"/>
        </w:rPr>
        <w:t>et</w:t>
      </w:r>
      <w:proofErr w:type="spellEnd"/>
      <w:r>
        <w:rPr>
          <w:sz w:val="22"/>
          <w:szCs w:val="22"/>
        </w:rPr>
        <w:t xml:space="preserve"> </w:t>
      </w:r>
      <w:proofErr w:type="spellStart"/>
      <w:r>
        <w:rPr>
          <w:sz w:val="22"/>
          <w:szCs w:val="22"/>
        </w:rPr>
        <w:t>al</w:t>
      </w:r>
      <w:proofErr w:type="spellEnd"/>
      <w:r>
        <w:rPr>
          <w:sz w:val="22"/>
          <w:szCs w:val="22"/>
        </w:rPr>
        <w:t xml:space="preserve">. "RETRACTION: </w:t>
      </w:r>
      <w:proofErr w:type="spellStart"/>
      <w:r>
        <w:rPr>
          <w:sz w:val="22"/>
          <w:szCs w:val="22"/>
        </w:rPr>
        <w:t>The</w:t>
      </w:r>
      <w:proofErr w:type="spellEnd"/>
      <w:r>
        <w:rPr>
          <w:sz w:val="22"/>
          <w:szCs w:val="22"/>
        </w:rPr>
        <w:t xml:space="preserve"> </w:t>
      </w:r>
      <w:proofErr w:type="spellStart"/>
      <w:r>
        <w:rPr>
          <w:sz w:val="22"/>
          <w:szCs w:val="22"/>
        </w:rPr>
        <w:t>Role</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Biofield</w:t>
      </w:r>
      <w:proofErr w:type="spellEnd"/>
      <w:r>
        <w:rPr>
          <w:sz w:val="22"/>
          <w:szCs w:val="22"/>
        </w:rPr>
        <w:t xml:space="preserve"> </w:t>
      </w:r>
      <w:proofErr w:type="spellStart"/>
      <w:r>
        <w:rPr>
          <w:sz w:val="22"/>
          <w:szCs w:val="22"/>
        </w:rPr>
        <w:t>Energy</w:t>
      </w:r>
      <w:proofErr w:type="spellEnd"/>
      <w:r>
        <w:rPr>
          <w:sz w:val="22"/>
          <w:szCs w:val="22"/>
        </w:rPr>
        <w:t xml:space="preserve"> </w:t>
      </w:r>
      <w:proofErr w:type="spellStart"/>
      <w:r>
        <w:rPr>
          <w:sz w:val="22"/>
          <w:szCs w:val="22"/>
        </w:rPr>
        <w:t>Treatment</w:t>
      </w:r>
      <w:proofErr w:type="spellEnd"/>
      <w:r>
        <w:rPr>
          <w:sz w:val="22"/>
          <w:szCs w:val="22"/>
        </w:rPr>
        <w:t xml:space="preserve"> </w:t>
      </w:r>
      <w:proofErr w:type="spellStart"/>
      <w:r>
        <w:rPr>
          <w:sz w:val="22"/>
          <w:szCs w:val="22"/>
        </w:rPr>
        <w:t>on</w:t>
      </w:r>
      <w:proofErr w:type="spellEnd"/>
      <w:r>
        <w:rPr>
          <w:sz w:val="22"/>
          <w:szCs w:val="22"/>
        </w:rPr>
        <w:t xml:space="preserve"> </w:t>
      </w:r>
      <w:proofErr w:type="spellStart"/>
      <w:r>
        <w:rPr>
          <w:sz w:val="22"/>
          <w:szCs w:val="22"/>
        </w:rPr>
        <w:t>Psychological</w:t>
      </w:r>
      <w:proofErr w:type="spellEnd"/>
      <w:r>
        <w:rPr>
          <w:sz w:val="22"/>
          <w:szCs w:val="22"/>
        </w:rPr>
        <w:t xml:space="preserve"> </w:t>
      </w:r>
      <w:proofErr w:type="spellStart"/>
      <w:r>
        <w:rPr>
          <w:sz w:val="22"/>
          <w:szCs w:val="22"/>
        </w:rPr>
        <w:t>Symptoms</w:t>
      </w:r>
      <w:proofErr w:type="spellEnd"/>
      <w:r>
        <w:rPr>
          <w:sz w:val="22"/>
          <w:szCs w:val="22"/>
        </w:rPr>
        <w:t xml:space="preserve">, </w:t>
      </w:r>
      <w:proofErr w:type="spellStart"/>
      <w:r>
        <w:rPr>
          <w:sz w:val="22"/>
          <w:szCs w:val="22"/>
        </w:rPr>
        <w:t>Mental</w:t>
      </w:r>
      <w:proofErr w:type="spellEnd"/>
      <w:r>
        <w:rPr>
          <w:sz w:val="22"/>
          <w:szCs w:val="22"/>
        </w:rPr>
        <w:t xml:space="preserve"> </w:t>
      </w:r>
      <w:proofErr w:type="spellStart"/>
      <w:r>
        <w:rPr>
          <w:sz w:val="22"/>
          <w:szCs w:val="22"/>
        </w:rPr>
        <w:t>Health</w:t>
      </w:r>
      <w:proofErr w:type="spellEnd"/>
      <w:r>
        <w:rPr>
          <w:sz w:val="22"/>
          <w:szCs w:val="22"/>
        </w:rPr>
        <w:t xml:space="preserve"> </w:t>
      </w:r>
      <w:proofErr w:type="spellStart"/>
      <w:r>
        <w:rPr>
          <w:sz w:val="22"/>
          <w:szCs w:val="22"/>
        </w:rPr>
        <w:t>Disorders</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Stress-Related</w:t>
      </w:r>
      <w:proofErr w:type="spellEnd"/>
      <w:r>
        <w:rPr>
          <w:sz w:val="22"/>
          <w:szCs w:val="22"/>
        </w:rPr>
        <w:t xml:space="preserve"> </w:t>
      </w:r>
      <w:proofErr w:type="spellStart"/>
      <w:r>
        <w:rPr>
          <w:sz w:val="22"/>
          <w:szCs w:val="22"/>
        </w:rPr>
        <w:t>Quality</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Life</w:t>
      </w:r>
      <w:proofErr w:type="spellEnd"/>
      <w:r>
        <w:rPr>
          <w:sz w:val="22"/>
          <w:szCs w:val="22"/>
        </w:rPr>
        <w:t xml:space="preserve"> </w:t>
      </w:r>
      <w:proofErr w:type="spellStart"/>
      <w:r>
        <w:rPr>
          <w:sz w:val="22"/>
          <w:szCs w:val="22"/>
        </w:rPr>
        <w:t>in</w:t>
      </w:r>
      <w:proofErr w:type="spellEnd"/>
      <w:r>
        <w:rPr>
          <w:sz w:val="22"/>
          <w:szCs w:val="22"/>
        </w:rPr>
        <w:t xml:space="preserve"> </w:t>
      </w:r>
      <w:proofErr w:type="spellStart"/>
      <w:r>
        <w:rPr>
          <w:sz w:val="22"/>
          <w:szCs w:val="22"/>
        </w:rPr>
        <w:t>Adult</w:t>
      </w:r>
      <w:proofErr w:type="spellEnd"/>
      <w:r>
        <w:rPr>
          <w:sz w:val="22"/>
          <w:szCs w:val="22"/>
        </w:rPr>
        <w:t xml:space="preserve"> </w:t>
      </w:r>
      <w:proofErr w:type="spellStart"/>
      <w:r>
        <w:rPr>
          <w:sz w:val="22"/>
          <w:szCs w:val="22"/>
        </w:rPr>
        <w:t>Subjects</w:t>
      </w:r>
      <w:proofErr w:type="spellEnd"/>
      <w:r>
        <w:rPr>
          <w:sz w:val="22"/>
          <w:szCs w:val="22"/>
        </w:rPr>
        <w:t>." (</w:t>
      </w:r>
      <w:proofErr w:type="spellStart"/>
      <w:r>
        <w:rPr>
          <w:sz w:val="22"/>
          <w:szCs w:val="22"/>
        </w:rPr>
        <w:t>retracted</w:t>
      </w:r>
      <w:proofErr w:type="spellEnd"/>
      <w:r>
        <w:rPr>
          <w:sz w:val="22"/>
          <w:szCs w:val="22"/>
        </w:rPr>
        <w:t xml:space="preserve"> RCT, </w:t>
      </w:r>
      <w:proofErr w:type="spellStart"/>
      <w:r>
        <w:rPr>
          <w:sz w:val="22"/>
          <w:szCs w:val="22"/>
        </w:rPr>
        <w:t>cited</w:t>
      </w:r>
      <w:proofErr w:type="spellEnd"/>
      <w:r>
        <w:rPr>
          <w:sz w:val="22"/>
          <w:szCs w:val="22"/>
        </w:rPr>
        <w:t xml:space="preserve"> </w:t>
      </w:r>
      <w:proofErr w:type="spellStart"/>
      <w:r>
        <w:rPr>
          <w:sz w:val="22"/>
          <w:szCs w:val="22"/>
        </w:rPr>
        <w:t>as</w:t>
      </w:r>
      <w:proofErr w:type="spellEnd"/>
      <w:r>
        <w:rPr>
          <w:sz w:val="22"/>
          <w:szCs w:val="22"/>
        </w:rPr>
        <w:t xml:space="preserve"> a </w:t>
      </w:r>
      <w:proofErr w:type="spellStart"/>
      <w:r>
        <w:rPr>
          <w:sz w:val="22"/>
          <w:szCs w:val="22"/>
        </w:rPr>
        <w:t>case</w:t>
      </w:r>
      <w:proofErr w:type="spellEnd"/>
      <w:r>
        <w:rPr>
          <w:sz w:val="22"/>
          <w:szCs w:val="22"/>
        </w:rPr>
        <w:t xml:space="preserve"> </w:t>
      </w:r>
      <w:proofErr w:type="spellStart"/>
      <w:r>
        <w:rPr>
          <w:sz w:val="22"/>
          <w:szCs w:val="22"/>
        </w:rPr>
        <w:t>study</w:t>
      </w:r>
      <w:proofErr w:type="spellEnd"/>
      <w:r>
        <w:rPr>
          <w:sz w:val="22"/>
          <w:szCs w:val="22"/>
        </w:rPr>
        <w:t xml:space="preserve"> </w:t>
      </w:r>
      <w:proofErr w:type="spellStart"/>
      <w:r>
        <w:rPr>
          <w:sz w:val="22"/>
          <w:szCs w:val="22"/>
        </w:rPr>
        <w:t>in</w:t>
      </w:r>
      <w:proofErr w:type="spellEnd"/>
      <w:r>
        <w:rPr>
          <w:sz w:val="22"/>
          <w:szCs w:val="22"/>
        </w:rPr>
        <w:t xml:space="preserve"> </w:t>
      </w:r>
      <w:proofErr w:type="spellStart"/>
      <w:r>
        <w:rPr>
          <w:sz w:val="22"/>
          <w:szCs w:val="22"/>
        </w:rPr>
        <w:t>self-defense</w:t>
      </w:r>
      <w:proofErr w:type="spellEnd"/>
      <w:r>
        <w:rPr>
          <w:sz w:val="22"/>
          <w:szCs w:val="22"/>
        </w:rPr>
        <w:t xml:space="preserve"> </w:t>
      </w:r>
      <w:proofErr w:type="spellStart"/>
      <w:r>
        <w:rPr>
          <w:sz w:val="22"/>
          <w:szCs w:val="22"/>
        </w:rPr>
        <w:t>mechanisms</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unfalsifiable</w:t>
      </w:r>
      <w:proofErr w:type="spellEnd"/>
      <w:r>
        <w:rPr>
          <w:sz w:val="22"/>
          <w:szCs w:val="22"/>
        </w:rPr>
        <w:t xml:space="preserve"> </w:t>
      </w:r>
      <w:proofErr w:type="spellStart"/>
      <w:r>
        <w:rPr>
          <w:sz w:val="22"/>
          <w:szCs w:val="22"/>
        </w:rPr>
        <w:t>research</w:t>
      </w:r>
      <w:proofErr w:type="spellEnd"/>
      <w:r>
        <w:rPr>
          <w:sz w:val="22"/>
          <w:szCs w:val="22"/>
        </w:rPr>
        <w:t xml:space="preserve"> </w:t>
      </w:r>
      <w:proofErr w:type="spellStart"/>
      <w:r>
        <w:rPr>
          <w:sz w:val="22"/>
          <w:szCs w:val="22"/>
        </w:rPr>
        <w:t>programmes</w:t>
      </w:r>
      <w:proofErr w:type="spellEnd"/>
      <w:r>
        <w:rPr>
          <w:sz w:val="22"/>
          <w:szCs w:val="22"/>
        </w:rPr>
        <w:t>).</w:t>
      </w:r>
    </w:p>
    <w:p w14:paraId="4A36AF07" w14:textId="77777777" w:rsidR="00E157CA" w:rsidRDefault="003D1EF4" w:rsidP="00E4553C">
      <w:pPr>
        <w:spacing w:after="160" w:line="280" w:lineRule="auto"/>
        <w:ind w:right="360" w:hanging="360"/>
        <w:jc w:val="right"/>
      </w:pPr>
      <w:r>
        <w:rPr>
          <w:sz w:val="22"/>
          <w:szCs w:val="22"/>
        </w:rPr>
        <w:t xml:space="preserve">[44]    </w:t>
      </w:r>
      <w:proofErr w:type="spellStart"/>
      <w:r>
        <w:rPr>
          <w:sz w:val="22"/>
          <w:szCs w:val="22"/>
        </w:rPr>
        <w:t>Wöhler</w:t>
      </w:r>
      <w:proofErr w:type="spellEnd"/>
      <w:r>
        <w:rPr>
          <w:sz w:val="22"/>
          <w:szCs w:val="22"/>
        </w:rPr>
        <w:t xml:space="preserve">, F. (1828). </w:t>
      </w:r>
      <w:proofErr w:type="spellStart"/>
      <w:r>
        <w:rPr>
          <w:sz w:val="22"/>
          <w:szCs w:val="22"/>
        </w:rPr>
        <w:t>Synthesis</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urea</w:t>
      </w:r>
      <w:proofErr w:type="spellEnd"/>
      <w:r>
        <w:rPr>
          <w:sz w:val="22"/>
          <w:szCs w:val="22"/>
        </w:rPr>
        <w:t xml:space="preserve">, </w:t>
      </w:r>
      <w:proofErr w:type="spellStart"/>
      <w:r>
        <w:rPr>
          <w:sz w:val="22"/>
          <w:szCs w:val="22"/>
        </w:rPr>
        <w:t>cited</w:t>
      </w:r>
      <w:proofErr w:type="spellEnd"/>
      <w:r>
        <w:rPr>
          <w:sz w:val="22"/>
          <w:szCs w:val="22"/>
        </w:rPr>
        <w:t xml:space="preserve"> </w:t>
      </w:r>
      <w:proofErr w:type="spellStart"/>
      <w:r>
        <w:rPr>
          <w:sz w:val="22"/>
          <w:szCs w:val="22"/>
        </w:rPr>
        <w:t>as</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historical</w:t>
      </w:r>
      <w:proofErr w:type="spellEnd"/>
      <w:r>
        <w:rPr>
          <w:sz w:val="22"/>
          <w:szCs w:val="22"/>
        </w:rPr>
        <w:t xml:space="preserve"> </w:t>
      </w:r>
      <w:proofErr w:type="spellStart"/>
      <w:r>
        <w:rPr>
          <w:sz w:val="22"/>
          <w:szCs w:val="22"/>
        </w:rPr>
        <w:t>refutation</w:t>
      </w:r>
      <w:proofErr w:type="spellEnd"/>
      <w:r>
        <w:rPr>
          <w:sz w:val="22"/>
          <w:szCs w:val="22"/>
        </w:rPr>
        <w:t xml:space="preserve"> </w:t>
      </w:r>
      <w:proofErr w:type="spellStart"/>
      <w:r>
        <w:rPr>
          <w:sz w:val="22"/>
          <w:szCs w:val="22"/>
        </w:rPr>
        <w:t>point</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classical</w:t>
      </w:r>
      <w:proofErr w:type="spellEnd"/>
      <w:r>
        <w:rPr>
          <w:sz w:val="22"/>
          <w:szCs w:val="22"/>
        </w:rPr>
        <w:t xml:space="preserve"> </w:t>
      </w:r>
      <w:proofErr w:type="spellStart"/>
      <w:r>
        <w:rPr>
          <w:sz w:val="22"/>
          <w:szCs w:val="22"/>
        </w:rPr>
        <w:t>vitalism</w:t>
      </w:r>
      <w:proofErr w:type="spellEnd"/>
      <w:r>
        <w:rPr>
          <w:sz w:val="22"/>
          <w:szCs w:val="22"/>
        </w:rPr>
        <w:t xml:space="preserve"> </w:t>
      </w:r>
      <w:proofErr w:type="spellStart"/>
      <w:r>
        <w:rPr>
          <w:sz w:val="22"/>
          <w:szCs w:val="22"/>
        </w:rPr>
        <w:t>in</w:t>
      </w:r>
      <w:proofErr w:type="spellEnd"/>
      <w:r>
        <w:rPr>
          <w:sz w:val="22"/>
          <w:szCs w:val="22"/>
        </w:rPr>
        <w:t xml:space="preserve"> </w:t>
      </w:r>
      <w:proofErr w:type="spellStart"/>
      <w:r>
        <w:rPr>
          <w:sz w:val="22"/>
          <w:szCs w:val="22"/>
        </w:rPr>
        <w:t>organic</w:t>
      </w:r>
      <w:proofErr w:type="spellEnd"/>
      <w:r>
        <w:rPr>
          <w:sz w:val="22"/>
          <w:szCs w:val="22"/>
        </w:rPr>
        <w:t xml:space="preserve"> </w:t>
      </w:r>
      <w:proofErr w:type="spellStart"/>
      <w:r>
        <w:rPr>
          <w:sz w:val="22"/>
          <w:szCs w:val="22"/>
        </w:rPr>
        <w:t>chemistry</w:t>
      </w:r>
      <w:proofErr w:type="spellEnd"/>
      <w:r>
        <w:rPr>
          <w:sz w:val="22"/>
          <w:szCs w:val="22"/>
        </w:rPr>
        <w:t>.</w:t>
      </w:r>
    </w:p>
    <w:sectPr w:rsidR="00E157CA">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0C3DB" w14:textId="77777777" w:rsidR="006360EE" w:rsidRDefault="006360EE">
      <w:r>
        <w:separator/>
      </w:r>
    </w:p>
  </w:endnote>
  <w:endnote w:type="continuationSeparator" w:id="0">
    <w:p w14:paraId="1E3155E7" w14:textId="77777777" w:rsidR="006360EE" w:rsidRDefault="0063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21E9" w14:textId="77777777" w:rsidR="00E157CA" w:rsidRDefault="003D1EF4">
    <w:pPr>
      <w:jc w:val="center"/>
    </w:pPr>
    <w:r>
      <w:rPr>
        <w:color w:val="5A5A5A"/>
        <w:sz w:val="18"/>
        <w:szCs w:val="18"/>
      </w:rPr>
      <w:t xml:space="preserve">صفحة </w:t>
    </w:r>
    <w:r>
      <w:rPr>
        <w:rFonts w:ascii="Times New Roman" w:eastAsia="Times New Roman" w:hAnsi="Times New Roman" w:cs="Times New Roman"/>
        <w:color w:val="5A5A5A"/>
        <w:sz w:val="18"/>
        <w:szCs w:val="18"/>
      </w:rPr>
      <w:fldChar w:fldCharType="begin"/>
    </w:r>
    <w:r>
      <w:rPr>
        <w:rFonts w:ascii="Times New Roman" w:eastAsia="Times New Roman" w:hAnsi="Times New Roman" w:cs="Times New Roman"/>
        <w:color w:val="5A5A5A"/>
        <w:sz w:val="18"/>
        <w:szCs w:val="18"/>
      </w:rPr>
      <w:instrText>PAGE</w:instrText>
    </w:r>
    <w:r>
      <w:rPr>
        <w:rFonts w:ascii="Times New Roman" w:eastAsia="Times New Roman" w:hAnsi="Times New Roman" w:cs="Times New Roman"/>
        <w:color w:val="5A5A5A"/>
        <w:sz w:val="18"/>
        <w:szCs w:val="18"/>
      </w:rPr>
      <w:fldChar w:fldCharType="separate"/>
    </w:r>
    <w:r>
      <w:rPr>
        <w:rFonts w:ascii="Times New Roman" w:eastAsia="Times New Roman" w:hAnsi="Times New Roman" w:cs="Times New Roman"/>
        <w:color w:val="5A5A5A"/>
        <w:sz w:val="18"/>
        <w:szCs w:val="18"/>
      </w:rPr>
      <w:fldChar w:fldCharType="end"/>
    </w:r>
    <w:r>
      <w:rPr>
        <w:color w:val="5A5A5A"/>
        <w:sz w:val="18"/>
        <w:szCs w:val="18"/>
      </w:rPr>
      <w:t xml:space="preserve"> من </w:t>
    </w:r>
    <w:r>
      <w:rPr>
        <w:rFonts w:ascii="Times New Roman" w:eastAsia="Times New Roman" w:hAnsi="Times New Roman" w:cs="Times New Roman"/>
        <w:color w:val="5A5A5A"/>
        <w:sz w:val="18"/>
        <w:szCs w:val="18"/>
      </w:rPr>
      <w:fldChar w:fldCharType="begin"/>
    </w:r>
    <w:r>
      <w:rPr>
        <w:rFonts w:ascii="Times New Roman" w:eastAsia="Times New Roman" w:hAnsi="Times New Roman" w:cs="Times New Roman"/>
        <w:color w:val="5A5A5A"/>
        <w:sz w:val="18"/>
        <w:szCs w:val="18"/>
      </w:rPr>
      <w:instrText>NUMPAGES</w:instrText>
    </w:r>
    <w:r>
      <w:rPr>
        <w:rFonts w:ascii="Times New Roman" w:eastAsia="Times New Roman" w:hAnsi="Times New Roman" w:cs="Times New Roman"/>
        <w:color w:val="5A5A5A"/>
        <w:sz w:val="18"/>
        <w:szCs w:val="18"/>
      </w:rPr>
      <w:fldChar w:fldCharType="separate"/>
    </w:r>
    <w:r>
      <w:rPr>
        <w:rFonts w:ascii="Times New Roman" w:eastAsia="Times New Roman" w:hAnsi="Times New Roman" w:cs="Times New Roman"/>
        <w:color w:val="5A5A5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65D8" w14:textId="77777777" w:rsidR="006360EE" w:rsidRDefault="006360EE">
      <w:r>
        <w:separator/>
      </w:r>
    </w:p>
  </w:footnote>
  <w:footnote w:type="continuationSeparator" w:id="0">
    <w:p w14:paraId="0463B942" w14:textId="77777777" w:rsidR="006360EE" w:rsidRDefault="00636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4C2B" w14:textId="77777777" w:rsidR="00E157CA" w:rsidRDefault="003D1EF4">
    <w:pPr>
      <w:pBdr>
        <w:bottom w:val="single" w:sz="4" w:space="4" w:color="B8862E"/>
      </w:pBdr>
      <w:jc w:val="center"/>
    </w:pPr>
    <w:r>
      <w:rPr>
        <w:i/>
        <w:iCs/>
        <w:color w:val="5A5A5A"/>
        <w:sz w:val="18"/>
        <w:szCs w:val="18"/>
      </w:rPr>
      <w:t>الأسس الفلسفية والعقدية لطب الطاقة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349CA"/>
    <w:multiLevelType w:val="hybridMultilevel"/>
    <w:tmpl w:val="FFFFFFFF"/>
    <w:lvl w:ilvl="0" w:tplc="3D7405EC">
      <w:start w:val="1"/>
      <w:numFmt w:val="bullet"/>
      <w:lvlText w:val="•"/>
      <w:lvlJc w:val="right"/>
      <w:pPr>
        <w:ind w:right="720" w:hanging="360"/>
      </w:pPr>
    </w:lvl>
    <w:lvl w:ilvl="1" w:tplc="7982137E">
      <w:numFmt w:val="decimal"/>
      <w:lvlText w:val=""/>
      <w:lvlJc w:val="left"/>
    </w:lvl>
    <w:lvl w:ilvl="2" w:tplc="15C8D7CC">
      <w:numFmt w:val="decimal"/>
      <w:lvlText w:val=""/>
      <w:lvlJc w:val="left"/>
    </w:lvl>
    <w:lvl w:ilvl="3" w:tplc="47FE31B6">
      <w:numFmt w:val="decimal"/>
      <w:lvlText w:val=""/>
      <w:lvlJc w:val="left"/>
    </w:lvl>
    <w:lvl w:ilvl="4" w:tplc="864A4EF0">
      <w:numFmt w:val="decimal"/>
      <w:lvlText w:val=""/>
      <w:lvlJc w:val="left"/>
    </w:lvl>
    <w:lvl w:ilvl="5" w:tplc="CF880BE0">
      <w:numFmt w:val="decimal"/>
      <w:lvlText w:val=""/>
      <w:lvlJc w:val="left"/>
    </w:lvl>
    <w:lvl w:ilvl="6" w:tplc="DBE2EE42">
      <w:numFmt w:val="decimal"/>
      <w:lvlText w:val=""/>
      <w:lvlJc w:val="left"/>
    </w:lvl>
    <w:lvl w:ilvl="7" w:tplc="08B2DEEC">
      <w:numFmt w:val="decimal"/>
      <w:lvlText w:val=""/>
      <w:lvlJc w:val="left"/>
    </w:lvl>
    <w:lvl w:ilvl="8" w:tplc="87EE2806">
      <w:numFmt w:val="decimal"/>
      <w:lvlText w:val=""/>
      <w:lvlJc w:val="left"/>
    </w:lvl>
  </w:abstractNum>
  <w:abstractNum w:abstractNumId="1" w15:restartNumberingAfterBreak="0">
    <w:nsid w:val="5ABD4D73"/>
    <w:multiLevelType w:val="hybridMultilevel"/>
    <w:tmpl w:val="FFFFFFFF"/>
    <w:lvl w:ilvl="0" w:tplc="0610DD78">
      <w:start w:val="1"/>
      <w:numFmt w:val="bullet"/>
      <w:lvlText w:val="●"/>
      <w:lvlJc w:val="left"/>
      <w:pPr>
        <w:ind w:left="720" w:hanging="360"/>
      </w:pPr>
    </w:lvl>
    <w:lvl w:ilvl="1" w:tplc="F39E7EFC">
      <w:start w:val="1"/>
      <w:numFmt w:val="bullet"/>
      <w:lvlText w:val="○"/>
      <w:lvlJc w:val="left"/>
      <w:pPr>
        <w:ind w:left="1440" w:hanging="360"/>
      </w:pPr>
    </w:lvl>
    <w:lvl w:ilvl="2" w:tplc="26F4EB1C">
      <w:start w:val="1"/>
      <w:numFmt w:val="bullet"/>
      <w:lvlText w:val="■"/>
      <w:lvlJc w:val="left"/>
      <w:pPr>
        <w:ind w:left="2160" w:hanging="360"/>
      </w:pPr>
    </w:lvl>
    <w:lvl w:ilvl="3" w:tplc="1A6C100A">
      <w:start w:val="1"/>
      <w:numFmt w:val="bullet"/>
      <w:lvlText w:val="●"/>
      <w:lvlJc w:val="left"/>
      <w:pPr>
        <w:ind w:left="2880" w:hanging="360"/>
      </w:pPr>
    </w:lvl>
    <w:lvl w:ilvl="4" w:tplc="B16AA74A">
      <w:start w:val="1"/>
      <w:numFmt w:val="bullet"/>
      <w:lvlText w:val="○"/>
      <w:lvlJc w:val="left"/>
      <w:pPr>
        <w:ind w:left="3600" w:hanging="360"/>
      </w:pPr>
    </w:lvl>
    <w:lvl w:ilvl="5" w:tplc="559CDC94">
      <w:start w:val="1"/>
      <w:numFmt w:val="bullet"/>
      <w:lvlText w:val="■"/>
      <w:lvlJc w:val="left"/>
      <w:pPr>
        <w:ind w:left="4320" w:hanging="360"/>
      </w:pPr>
    </w:lvl>
    <w:lvl w:ilvl="6" w:tplc="94506E7E">
      <w:start w:val="1"/>
      <w:numFmt w:val="bullet"/>
      <w:lvlText w:val="●"/>
      <w:lvlJc w:val="left"/>
      <w:pPr>
        <w:ind w:left="5040" w:hanging="360"/>
      </w:pPr>
    </w:lvl>
    <w:lvl w:ilvl="7" w:tplc="62EA0EF0">
      <w:start w:val="1"/>
      <w:numFmt w:val="bullet"/>
      <w:lvlText w:val="●"/>
      <w:lvlJc w:val="left"/>
      <w:pPr>
        <w:ind w:left="5760" w:hanging="360"/>
      </w:pPr>
    </w:lvl>
    <w:lvl w:ilvl="8" w:tplc="697C1B80">
      <w:start w:val="1"/>
      <w:numFmt w:val="bullet"/>
      <w:lvlText w:val="●"/>
      <w:lvlJc w:val="left"/>
      <w:pPr>
        <w:ind w:left="6480" w:hanging="360"/>
      </w:pPr>
    </w:lvl>
  </w:abstractNum>
  <w:num w:numId="1" w16cid:durableId="2051563325">
    <w:abstractNumId w:val="1"/>
    <w:lvlOverride w:ilvl="0">
      <w:startOverride w:val="1"/>
    </w:lvlOverride>
  </w:num>
  <w:num w:numId="2" w16cid:durableId="667297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5"/>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7CA"/>
    <w:rsid w:val="0013772F"/>
    <w:rsid w:val="0031151F"/>
    <w:rsid w:val="003974DB"/>
    <w:rsid w:val="003D1EF4"/>
    <w:rsid w:val="0044318E"/>
    <w:rsid w:val="004C20EC"/>
    <w:rsid w:val="00523D0A"/>
    <w:rsid w:val="005C1221"/>
    <w:rsid w:val="006360EE"/>
    <w:rsid w:val="00A3305F"/>
    <w:rsid w:val="00C07C04"/>
    <w:rsid w:val="00DD04CA"/>
    <w:rsid w:val="00E157CA"/>
    <w:rsid w:val="00E4201C"/>
    <w:rsid w:val="00E4553C"/>
    <w:rsid w:val="00EA159E"/>
    <w:rsid w:val="00ED73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BC3AE70"/>
  <w15:docId w15:val="{FF025E61-6D94-9146-ACD7-039A0B69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spacing w:before="480" w:after="240"/>
      <w:outlineLvl w:val="0"/>
    </w:pPr>
    <w:rPr>
      <w:b/>
      <w:bCs/>
      <w:color w:val="1B2A4A"/>
      <w:sz w:val="30"/>
      <w:szCs w:val="30"/>
    </w:rPr>
  </w:style>
  <w:style w:type="paragraph" w:styleId="2">
    <w:name w:val="heading 2"/>
    <w:uiPriority w:val="9"/>
    <w:unhideWhenUsed/>
    <w:qFormat/>
    <w:pPr>
      <w:spacing w:before="320" w:after="160"/>
      <w:outlineLvl w:val="1"/>
    </w:pPr>
    <w:rPr>
      <w:b/>
      <w:bCs/>
      <w:color w:val="1F6F6B"/>
      <w:sz w:val="26"/>
      <w:szCs w:val="26"/>
    </w:rPr>
  </w:style>
  <w:style w:type="paragraph" w:styleId="3">
    <w:name w:val="heading 3"/>
    <w:uiPriority w:val="9"/>
    <w:semiHidden/>
    <w:unhideWhenUsed/>
    <w:qFormat/>
    <w:pPr>
      <w:spacing w:before="240" w:after="120"/>
      <w:outlineLvl w:val="2"/>
    </w:pPr>
    <w:rPr>
      <w:b/>
      <w:bCs/>
      <w:color w:val="B8862E"/>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3715</Words>
  <Characters>21180</Characters>
  <Application>Microsoft Office Word</Application>
  <DocSecurity>0</DocSecurity>
  <Lines>176</Lines>
  <Paragraphs>49</Paragraphs>
  <ScaleCrop>false</ScaleCrop>
  <Company/>
  <LinksUpToDate>false</LinksUpToDate>
  <CharactersWithSpaces>24846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الأسس الفلسفية والعقدية لطب الطاقة</dc:title>
  <dc:creator>Claude</dc:creator>
  <cp:lastModifiedBy>zaraaabdesslem@gmail.com</cp:lastModifiedBy>
  <cp:revision>13</cp:revision>
  <dcterms:created xsi:type="dcterms:W3CDTF">2026-06-19T11:39:00Z</dcterms:created>
  <dcterms:modified xsi:type="dcterms:W3CDTF">2026-06-19T15:18:00Z</dcterms:modified>
</cp:coreProperties>
</file>