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C6187" w14:textId="77777777" w:rsidR="003E40C5" w:rsidRDefault="003E40C5">
      <w:pPr>
        <w:spacing w:before="400" w:after="60"/>
        <w:rPr>
          <w:rFonts w:hint="cs"/>
          <w:lang w:bidi="ar-EG"/>
        </w:rPr>
      </w:pPr>
    </w:p>
    <w:p w14:paraId="238622D4" w14:textId="77777777" w:rsidR="003E40C5" w:rsidRDefault="00A52B78">
      <w:pPr>
        <w:spacing w:before="160" w:after="80"/>
        <w:jc w:val="center"/>
      </w:pPr>
      <w:r>
        <w:rPr>
          <w:color w:val="777777"/>
          <w:sz w:val="22"/>
          <w:szCs w:val="22"/>
        </w:rPr>
        <w:t>بحث أكاديمي محكّم</w:t>
      </w:r>
    </w:p>
    <w:p w14:paraId="6BF2EDFD" w14:textId="77777777" w:rsidR="003E40C5" w:rsidRDefault="003E40C5">
      <w:pPr>
        <w:pBdr>
          <w:bottom w:val="single" w:sz="6" w:space="2" w:color="2E6DA4"/>
        </w:pBdr>
        <w:spacing w:before="120" w:after="120"/>
      </w:pPr>
    </w:p>
    <w:p w14:paraId="61A0EDFB" w14:textId="77777777" w:rsidR="003E40C5" w:rsidRDefault="003E40C5">
      <w:pPr>
        <w:spacing w:before="200" w:after="60"/>
      </w:pPr>
    </w:p>
    <w:p w14:paraId="75D6A5C0" w14:textId="77777777" w:rsidR="003E40C5" w:rsidRDefault="00A52B78">
      <w:pPr>
        <w:spacing w:before="200" w:after="160"/>
        <w:jc w:val="center"/>
      </w:pPr>
      <w:r>
        <w:rPr>
          <w:b/>
          <w:bCs/>
          <w:color w:val="1A3A5C"/>
          <w:sz w:val="52"/>
          <w:szCs w:val="52"/>
        </w:rPr>
        <w:t>التحديق في الموت بعجلة واحدة</w:t>
      </w:r>
    </w:p>
    <w:p w14:paraId="46A1A259" w14:textId="77777777" w:rsidR="003E40C5" w:rsidRDefault="00A52B78">
      <w:pPr>
        <w:spacing w:before="80" w:after="200"/>
        <w:jc w:val="center"/>
      </w:pPr>
      <w:r>
        <w:rPr>
          <w:b/>
          <w:bCs/>
          <w:color w:val="2E6DA4"/>
          <w:sz w:val="28"/>
          <w:szCs w:val="28"/>
        </w:rPr>
        <w:t>تحليل سوسيو-نفسي معمّق لظاهرة المخاطرة الاستعراضية بالدراجات النارية</w:t>
      </w:r>
    </w:p>
    <w:p w14:paraId="41DE03E1" w14:textId="77777777" w:rsidR="003E40C5" w:rsidRDefault="00A52B78">
      <w:pPr>
        <w:spacing w:before="80" w:after="200"/>
        <w:jc w:val="center"/>
      </w:pPr>
      <w:r>
        <w:rPr>
          <w:color w:val="2E6DA4"/>
          <w:sz w:val="26"/>
          <w:szCs w:val="26"/>
        </w:rPr>
        <w:t>في الفضاء العمومي التونسي والعربي</w:t>
      </w:r>
    </w:p>
    <w:p w14:paraId="7D479684" w14:textId="77777777" w:rsidR="003E40C5" w:rsidRDefault="003E40C5">
      <w:pPr>
        <w:pBdr>
          <w:bottom w:val="single" w:sz="6" w:space="2" w:color="B8860B"/>
        </w:pBdr>
        <w:spacing w:before="120" w:after="120"/>
      </w:pPr>
    </w:p>
    <w:p w14:paraId="3E66469B" w14:textId="77777777" w:rsidR="003E40C5" w:rsidRDefault="003E40C5">
      <w:pPr>
        <w:spacing w:before="200" w:after="60"/>
      </w:pPr>
    </w:p>
    <w:p w14:paraId="74AF7D80" w14:textId="77777777" w:rsidR="003E40C5" w:rsidRDefault="00A52B78">
      <w:pPr>
        <w:spacing w:before="120" w:after="80"/>
        <w:jc w:val="center"/>
      </w:pPr>
      <w:r>
        <w:rPr>
          <w:b/>
          <w:bCs/>
          <w:color w:val="1A3A5C"/>
          <w:sz w:val="28"/>
          <w:szCs w:val="28"/>
        </w:rPr>
        <w:t>بقلم: عبد السلام الزراع</w:t>
      </w:r>
    </w:p>
    <w:p w14:paraId="0B6E8580" w14:textId="77777777" w:rsidR="003E40C5" w:rsidRDefault="003E40C5">
      <w:pPr>
        <w:spacing w:before="120" w:after="60"/>
      </w:pPr>
    </w:p>
    <w:p w14:paraId="2A04257E" w14:textId="77777777" w:rsidR="003E40C5" w:rsidRDefault="00A52B78">
      <w:pPr>
        <w:spacing w:before="80" w:after="80"/>
        <w:jc w:val="center"/>
      </w:pPr>
      <w:r>
        <w:rPr>
          <w:b/>
          <w:bCs/>
          <w:color w:val="C0392B"/>
          <w:sz w:val="22"/>
          <w:szCs w:val="22"/>
        </w:rPr>
        <w:t>مجال البحث:</w:t>
      </w:r>
    </w:p>
    <w:p w14:paraId="7C1F09C4" w14:textId="77777777" w:rsidR="003E40C5" w:rsidRDefault="00A52B78">
      <w:pPr>
        <w:spacing w:before="60" w:after="80"/>
        <w:jc w:val="center"/>
      </w:pPr>
      <w:r>
        <w:rPr>
          <w:color w:val="444444"/>
          <w:sz w:val="22"/>
          <w:szCs w:val="22"/>
        </w:rPr>
        <w:t>علم الاجتماع الحضري  •  علم النفس الاجتماعي  •  الدراسات الثقافية النقدية  •  جندر الجنوب العالمي</w:t>
      </w:r>
    </w:p>
    <w:p w14:paraId="4DC6B0D8" w14:textId="77777777" w:rsidR="003E40C5" w:rsidRDefault="003E40C5">
      <w:pPr>
        <w:spacing w:before="160" w:after="60"/>
      </w:pPr>
    </w:p>
    <w:p w14:paraId="5A7B260F" w14:textId="4E9CEC60" w:rsidR="003E40C5" w:rsidRDefault="00A52B78">
      <w:pPr>
        <w:spacing w:before="80" w:after="80"/>
        <w:jc w:val="center"/>
      </w:pPr>
      <w:r>
        <w:rPr>
          <w:rFonts w:hint="cs"/>
          <w:b/>
          <w:bCs/>
          <w:color w:val="1A3A5C"/>
          <w:lang w:bidi="ar-EG"/>
        </w:rPr>
        <w:t>2026</w:t>
      </w:r>
    </w:p>
    <w:p w14:paraId="416FF440" w14:textId="77777777" w:rsidR="003E40C5" w:rsidRDefault="003E40C5">
      <w:pPr>
        <w:spacing w:before="400" w:after="60"/>
      </w:pPr>
    </w:p>
    <w:p w14:paraId="7EFA1D2E" w14:textId="77777777" w:rsidR="003E40C5" w:rsidRDefault="00A52B78">
      <w:r>
        <w:br w:type="page"/>
      </w:r>
    </w:p>
    <w:p w14:paraId="5C3E570F" w14:textId="77777777" w:rsidR="003E40C5" w:rsidRDefault="00A52B78">
      <w:pPr>
        <w:pBdr>
          <w:bottom w:val="single" w:sz="8" w:space="4" w:color="2E6DA4"/>
        </w:pBdr>
        <w:spacing w:before="320" w:after="200" w:line="360" w:lineRule="auto"/>
        <w:jc w:val="right"/>
      </w:pPr>
      <w:r>
        <w:rPr>
          <w:b/>
          <w:bCs/>
          <w:color w:val="1A3A5C"/>
          <w:sz w:val="32"/>
          <w:szCs w:val="32"/>
        </w:rPr>
        <w:t>الملخص التنفيذي — Abstract</w:t>
      </w:r>
    </w:p>
    <w:p w14:paraId="5E9EC31F" w14:textId="77777777" w:rsidR="003E40C5" w:rsidRDefault="003E40C5">
      <w:pPr>
        <w:spacing w:before="80" w:after="60"/>
      </w:pPr>
    </w:p>
    <w:p w14:paraId="0BB072F4" w14:textId="77777777" w:rsidR="003E40C5" w:rsidRDefault="00A52B78">
      <w:pPr>
        <w:pBdr>
          <w:right w:val="single" w:sz="16" w:space="8" w:color="2E6DA4"/>
        </w:pBdr>
        <w:shd w:val="clear" w:color="auto" w:fill="F5F5F5"/>
        <w:spacing w:before="100" w:after="100" w:line="360" w:lineRule="auto"/>
        <w:ind w:left="200" w:right="200"/>
        <w:jc w:val="both"/>
      </w:pPr>
      <w:r>
        <w:rPr>
          <w:color w:val="1A1A1A"/>
          <w:sz w:val="23"/>
          <w:szCs w:val="23"/>
        </w:rPr>
        <w:t>يُقدّم هذا البحث تحليلاً سوسيو-نفسياً معمّقاً لظاهرة المخاطرة الاستعراضية بالدراجات النارية — المعروفة بـ"الستونت" (Stunt) — في الفضاء العمومي التونسي، مُنطلقاً من وصف إثنوغرافي دقيق ليصل إلى إطار تفسيري متعدد المستويات. تُوظّف الدراسة منهجياً ثلاثية نظرية: نظرية "العمل على الحافة" (Edgework) لستيفن لينغ، وبُعد الأداء الدرامي عند إرفينغ غوفمان في سياق وسائل التواصل الاجتماعي الراهنة، ومقاربات الذكورة ما بعد الكولونيالية. كما يُضيف البحث بُعداً نقدياً جديداً قائماً على مفهوم "السياسة النيكروبوليتيكية" (Necro</w:t>
      </w:r>
      <w:r>
        <w:rPr>
          <w:color w:val="1A1A1A"/>
          <w:sz w:val="23"/>
          <w:szCs w:val="23"/>
        </w:rPr>
        <w:t>politics) لأشيل مبيمبي، لقراءة التوتر بين الدولة والجسد الشاب في الفضاء العمومي. وتكشف النتائج أن هذه الممارسة ليست ظاهرة عنف عشوائي، بل هي نص ثقافي أدائي مُركّب يُعبّر عن: أزمة الذكورة المعاصرة في سياق اقتصادي إقصائي، وانهيار التعاقد الاجتماعي بين الدولة والشباب، وعمليات بحث إبداعية عن الكرامة والمعنى خارج الأطر الرسمية.</w:t>
      </w:r>
    </w:p>
    <w:p w14:paraId="0B36A355" w14:textId="77777777" w:rsidR="003E40C5" w:rsidRDefault="003E40C5">
      <w:pPr>
        <w:spacing w:before="100" w:after="60"/>
      </w:pPr>
    </w:p>
    <w:p w14:paraId="4A249931" w14:textId="77777777" w:rsidR="003E40C5" w:rsidRDefault="00A52B78">
      <w:pPr>
        <w:spacing w:before="80" w:after="60"/>
        <w:jc w:val="right"/>
      </w:pPr>
      <w:r>
        <w:rPr>
          <w:b/>
          <w:bCs/>
          <w:color w:val="1A3A5C"/>
          <w:sz w:val="22"/>
          <w:szCs w:val="22"/>
        </w:rPr>
        <w:t>الكلمات المفتاحية:</w:t>
      </w:r>
    </w:p>
    <w:p w14:paraId="7915D82B" w14:textId="77777777" w:rsidR="003E40C5" w:rsidRDefault="00A52B78">
      <w:pPr>
        <w:spacing w:before="60" w:after="120"/>
        <w:jc w:val="right"/>
      </w:pPr>
      <w:r>
        <w:rPr>
          <w:color w:val="333333"/>
          <w:sz w:val="21"/>
          <w:szCs w:val="21"/>
        </w:rPr>
        <w:t>المخاطرة الطوعية • الذكورة الهشة • الفضاء العمومي • ما بعد الكولونيالية • النيكروبوليتيكية • الأداء الاجتماعي • الشباب التونسي • الأزمة الاقتصادية • تيك توك والعنف الرمزي</w:t>
      </w:r>
    </w:p>
    <w:p w14:paraId="5612F4FD" w14:textId="77777777" w:rsidR="003E40C5" w:rsidRDefault="00A52B78">
      <w:r>
        <w:br w:type="page"/>
      </w:r>
    </w:p>
    <w:p w14:paraId="304D620E" w14:textId="77777777" w:rsidR="003E40C5" w:rsidRDefault="00A52B78">
      <w:pPr>
        <w:pBdr>
          <w:bottom w:val="single" w:sz="8" w:space="4" w:color="2E6DA4"/>
        </w:pBdr>
        <w:spacing w:before="320" w:after="200" w:line="360" w:lineRule="auto"/>
        <w:jc w:val="right"/>
      </w:pPr>
      <w:r>
        <w:rPr>
          <w:b/>
          <w:bCs/>
          <w:color w:val="1A3A5C"/>
          <w:sz w:val="32"/>
          <w:szCs w:val="32"/>
        </w:rPr>
        <w:t>1. المقدمة والإشكالية المنهجية</w:t>
      </w:r>
    </w:p>
    <w:p w14:paraId="23B78C41" w14:textId="77777777" w:rsidR="003E40C5" w:rsidRDefault="003E40C5">
      <w:pPr>
        <w:spacing w:before="60" w:after="60"/>
      </w:pPr>
    </w:p>
    <w:p w14:paraId="538C52EF" w14:textId="77777777" w:rsidR="003E40C5" w:rsidRDefault="00A52B78">
      <w:pPr>
        <w:spacing w:before="240" w:after="140" w:line="340" w:lineRule="auto"/>
        <w:jc w:val="right"/>
      </w:pPr>
      <w:r>
        <w:rPr>
          <w:b/>
          <w:bCs/>
          <w:color w:val="2E6DA4"/>
          <w:sz w:val="27"/>
          <w:szCs w:val="27"/>
        </w:rPr>
        <w:t>1.1 السياق الإثنوغرافي: تشريح المشهد</w:t>
      </w:r>
    </w:p>
    <w:p w14:paraId="495672F1" w14:textId="77777777" w:rsidR="003E40C5" w:rsidRDefault="00A52B78">
      <w:pPr>
        <w:spacing w:before="80" w:after="100" w:line="340" w:lineRule="auto"/>
        <w:jc w:val="both"/>
      </w:pPr>
      <w:r>
        <w:rPr>
          <w:sz w:val="23"/>
          <w:szCs w:val="23"/>
        </w:rPr>
        <w:t>تنطلق هذه الدراسة من وصف إثنوغرافي دقيق لظاهرة "الستينت" — أو ما يعرفه الشارع التونسي بـ"الستونت" (Stunt). المشهد التأسيسي بسيط في ظاهره ومُركّب في عمقه: شاب في عقده الثاني أو الثالث يقود دراجة نارية قوية (سبورت/كروزر) بدون خوذة، رافعاً العجلة الأمامية في الشارع، وأمامه أو خلفه راكب آخر يُشاركه الخطر بثقة عمياء تفوق الإدراك المنطقي.</w:t>
      </w:r>
    </w:p>
    <w:p w14:paraId="14845268" w14:textId="77777777" w:rsidR="003E40C5" w:rsidRDefault="00A52B78">
      <w:pPr>
        <w:spacing w:before="80" w:after="100" w:line="340" w:lineRule="auto"/>
        <w:jc w:val="both"/>
      </w:pPr>
      <w:r>
        <w:rPr>
          <w:sz w:val="23"/>
          <w:szCs w:val="23"/>
        </w:rPr>
        <w:t>غير أن ما يبدو "مشهداً" هو في الحقيقة نظام دلالي كامل يشمل: الجسد، والآلة، والفضاء، والجمهور، والكاميرا، والحياة والموت. كل عنصر من هذه العناصر يحمل شبكة من المعاني القابلة للتحليل السوسيولوجي والنفسي.</w:t>
      </w:r>
    </w:p>
    <w:p w14:paraId="335A24DE" w14:textId="77777777" w:rsidR="003E40C5" w:rsidRDefault="00A52B78">
      <w:pPr>
        <w:spacing w:before="60" w:after="60" w:line="320" w:lineRule="auto"/>
        <w:ind w:right="360"/>
        <w:jc w:val="right"/>
      </w:pPr>
      <w:r>
        <w:rPr>
          <w:color w:val="1A1A1A"/>
          <w:sz w:val="23"/>
          <w:szCs w:val="23"/>
        </w:rPr>
        <w:t>• ليست الظاهرة حكراً على تونس، بل هي تجلٍّ محلي لثقافة "الدراجة الخطرة" العالمية (Global Biker Subculture)، لكنها تتخذ في السياق التونسي والعربي أبعاداً وجودية واقتصادية خاصة تستوجب تحليلاً مخصوصاً.</w:t>
      </w:r>
    </w:p>
    <w:p w14:paraId="24451E42" w14:textId="77777777" w:rsidR="003E40C5" w:rsidRDefault="003E40C5">
      <w:pPr>
        <w:spacing w:before="80" w:after="60"/>
      </w:pPr>
    </w:p>
    <w:p w14:paraId="0AA69A01" w14:textId="77777777" w:rsidR="003E40C5" w:rsidRDefault="00A52B78">
      <w:pPr>
        <w:spacing w:before="240" w:after="140" w:line="340" w:lineRule="auto"/>
        <w:jc w:val="right"/>
      </w:pPr>
      <w:r>
        <w:rPr>
          <w:b/>
          <w:bCs/>
          <w:color w:val="2E6DA4"/>
          <w:sz w:val="27"/>
          <w:szCs w:val="27"/>
        </w:rPr>
        <w:t>1.2 الإشكالية البحثية والفرضيات</w:t>
      </w:r>
    </w:p>
    <w:p w14:paraId="346ECB8A" w14:textId="77777777" w:rsidR="003E40C5" w:rsidRDefault="00A52B78">
      <w:pPr>
        <w:spacing w:before="80" w:after="100" w:line="340" w:lineRule="auto"/>
        <w:jc w:val="both"/>
      </w:pPr>
      <w:r>
        <w:rPr>
          <w:sz w:val="23"/>
          <w:szCs w:val="23"/>
        </w:rPr>
        <w:t>تتمحور الإشكالية البحثية الجوهرية حول سؤال مُزدوج: لماذا يتحوّل الفضاء العمومي إلى مسرح للموت الاختياري؟ وكيف تتحوّل آلة النقل إلى أداة لاستعراض "ذكورة هشة" تُعيد إنتاج ذاتها عبر استفزاز الموت بدلاً من تجنّبه؟</w:t>
      </w:r>
    </w:p>
    <w:p w14:paraId="1983494C" w14:textId="77777777" w:rsidR="003E40C5" w:rsidRDefault="00A52B78">
      <w:pPr>
        <w:spacing w:before="80" w:after="80" w:line="320" w:lineRule="auto"/>
        <w:jc w:val="right"/>
      </w:pPr>
      <w:r>
        <w:rPr>
          <w:b/>
          <w:bCs/>
          <w:color w:val="1A3A5C"/>
          <w:sz w:val="23"/>
          <w:szCs w:val="23"/>
        </w:rPr>
        <w:t>الفرضيات البحثية الأساسية:</w:t>
      </w:r>
    </w:p>
    <w:p w14:paraId="5C9FAC1E" w14:textId="77777777" w:rsidR="003E40C5" w:rsidRDefault="00A52B78">
      <w:pPr>
        <w:spacing w:before="60" w:after="60" w:line="320" w:lineRule="auto"/>
        <w:ind w:right="360"/>
        <w:jc w:val="right"/>
      </w:pPr>
      <w:r>
        <w:rPr>
          <w:color w:val="1A1A1A"/>
          <w:sz w:val="23"/>
          <w:szCs w:val="23"/>
        </w:rPr>
        <w:t>• الفرضية السوسيولوجية: السلوك الموصوف نص ثقافي أدائي يُقرأ من خلاله أزمة الذكورة المعاصرة وضيق الأفق الاقتصادي وانهيار فاعلية القانون الرمزي للدولة.</w:t>
      </w:r>
    </w:p>
    <w:p w14:paraId="749AEDFC" w14:textId="77777777" w:rsidR="003E40C5" w:rsidRDefault="00A52B78">
      <w:pPr>
        <w:spacing w:before="60" w:after="60" w:line="320" w:lineRule="auto"/>
        <w:ind w:right="360"/>
        <w:jc w:val="right"/>
      </w:pPr>
      <w:r>
        <w:rPr>
          <w:color w:val="1A1A1A"/>
          <w:sz w:val="23"/>
          <w:szCs w:val="23"/>
        </w:rPr>
        <w:t>• الفرضية النفسية: الأفراد المشاركون في هذه الممارسة يُعانون من أزمة "وكالة" (Agency Crisis) ويُحاولون استعادة إحساس بالفاعلية عبر السيطرة على المخاطر الجسدية في غياب أي سيطرة على المسار الاجتماعي.</w:t>
      </w:r>
    </w:p>
    <w:p w14:paraId="76A8DCBF" w14:textId="77777777" w:rsidR="003E40C5" w:rsidRDefault="00A52B78">
      <w:pPr>
        <w:spacing w:before="60" w:after="60" w:line="320" w:lineRule="auto"/>
        <w:ind w:right="360"/>
        <w:jc w:val="right"/>
      </w:pPr>
      <w:r>
        <w:rPr>
          <w:color w:val="1A1A1A"/>
          <w:sz w:val="23"/>
          <w:szCs w:val="23"/>
        </w:rPr>
        <w:t>• الفرضية الرمزية: ثقافة تيك توك وإنستغرام لم تخلق الظاهرة بل تحوّلت من وسيلة تصوير إلى شرط وجود للممارسة ذاتها، إذ يُصبح الجمهور الرقمي الحاضر الغائب مُكوّناً بنيوياً للأداء.</w:t>
      </w:r>
    </w:p>
    <w:p w14:paraId="4729837F" w14:textId="77777777" w:rsidR="003E40C5" w:rsidRDefault="00A52B78">
      <w:pPr>
        <w:spacing w:before="60" w:after="60" w:line="320" w:lineRule="auto"/>
        <w:ind w:right="360"/>
        <w:jc w:val="right"/>
      </w:pPr>
      <w:r>
        <w:rPr>
          <w:color w:val="1A1A1A"/>
          <w:sz w:val="23"/>
          <w:szCs w:val="23"/>
        </w:rPr>
        <w:t>• الفرضية السياسية: الفضاء العمومي لم يعد ساحة تفاوض سلمي بل ميداناً لحرب رمزية بين أجساد الشباب وسلطة الدولة، وهي حرب تستدعي توظيف مفهوم النيكروبوليتيكية (Necropolitics).</w:t>
      </w:r>
    </w:p>
    <w:p w14:paraId="1EA67F92" w14:textId="77777777" w:rsidR="003E40C5" w:rsidRDefault="003E40C5">
      <w:pPr>
        <w:spacing w:before="80" w:after="60"/>
      </w:pPr>
    </w:p>
    <w:p w14:paraId="7478D51C" w14:textId="77777777" w:rsidR="003E40C5" w:rsidRDefault="00A52B78">
      <w:pPr>
        <w:spacing w:before="240" w:after="140" w:line="340" w:lineRule="auto"/>
        <w:jc w:val="right"/>
      </w:pPr>
      <w:r>
        <w:rPr>
          <w:b/>
          <w:bCs/>
          <w:color w:val="2E6DA4"/>
          <w:sz w:val="27"/>
          <w:szCs w:val="27"/>
        </w:rPr>
        <w:t>1.3 المنهجية: الإطار النظري والأدوات</w:t>
      </w:r>
    </w:p>
    <w:p w14:paraId="5A94818A" w14:textId="77777777" w:rsidR="003E40C5" w:rsidRDefault="00A52B78">
      <w:pPr>
        <w:spacing w:before="80" w:after="100" w:line="340" w:lineRule="auto"/>
        <w:jc w:val="both"/>
      </w:pPr>
      <w:r>
        <w:rPr>
          <w:sz w:val="23"/>
          <w:szCs w:val="23"/>
        </w:rPr>
        <w:t>تعتمد الدراسة منهجية متعددة المستويات تجمع بين: (أ) المقاربة الإثنوغرافية التفسيرية، من خلال تحليل المشاهد المُصوَّرة المتاحة على منصات التواصل الاجتماعي بوصفها وثائق ثقافية. (ب) التحليل السيميائي للفضاء والجسد والأشياء (الدراجة، الخوذة، الملابس، الصوت). (ج) التحليل الثقافي المقارن بين السياق التونسي ونماذج عالمية مماثلة. (د) توظيف الأدوات النظرية المتراكمة في علم الاجتماع، وعلم النفس الاجتماعي، ودراسات الجندر، والفلسفة السياسية.</w:t>
      </w:r>
    </w:p>
    <w:p w14:paraId="0E3A7A68" w14:textId="77777777" w:rsidR="003E40C5" w:rsidRDefault="00A52B78">
      <w:r>
        <w:br w:type="page"/>
      </w:r>
    </w:p>
    <w:p w14:paraId="74769124" w14:textId="77777777" w:rsidR="003E40C5" w:rsidRDefault="00A52B78">
      <w:pPr>
        <w:pBdr>
          <w:bottom w:val="single" w:sz="8" w:space="4" w:color="2E6DA4"/>
        </w:pBdr>
        <w:spacing w:before="320" w:after="200" w:line="360" w:lineRule="auto"/>
        <w:jc w:val="right"/>
      </w:pPr>
      <w:r>
        <w:rPr>
          <w:b/>
          <w:bCs/>
          <w:color w:val="1A3A5C"/>
          <w:sz w:val="32"/>
          <w:szCs w:val="32"/>
        </w:rPr>
        <w:t>2. الإطار النظري: تعدّد الأدوات التحليلية</w:t>
      </w:r>
    </w:p>
    <w:p w14:paraId="03AAF61D" w14:textId="77777777" w:rsidR="003E40C5" w:rsidRDefault="003E40C5">
      <w:pPr>
        <w:spacing w:before="60" w:after="60"/>
      </w:pPr>
    </w:p>
    <w:p w14:paraId="50B05687" w14:textId="77777777" w:rsidR="003E40C5" w:rsidRDefault="00A52B78">
      <w:pPr>
        <w:spacing w:before="240" w:after="140" w:line="340" w:lineRule="auto"/>
        <w:jc w:val="right"/>
      </w:pPr>
      <w:r>
        <w:rPr>
          <w:b/>
          <w:bCs/>
          <w:color w:val="2E6DA4"/>
          <w:sz w:val="27"/>
          <w:szCs w:val="27"/>
        </w:rPr>
        <w:t>2.1 نظرية "الحافة" (Edgework) — ستيفن لينغ</w:t>
      </w:r>
    </w:p>
    <w:p w14:paraId="17F46864" w14:textId="77777777" w:rsidR="003E40C5" w:rsidRDefault="00A52B78">
      <w:pPr>
        <w:spacing w:before="80" w:after="100" w:line="340" w:lineRule="auto"/>
        <w:jc w:val="both"/>
      </w:pPr>
      <w:r>
        <w:rPr>
          <w:sz w:val="23"/>
          <w:szCs w:val="23"/>
        </w:rPr>
        <w:t>وصف عالم الاجتماع ستيفن لينغ (Stephen Lyng) في مقالته التأسيسية عام 1990 سلوك المخاطرة الطوعية بمفهوم "Edgework" أي "العمل على الحافة". الحافة هنا ليست استعارة بل وصف دقيق للحالة التي يتعامل فيها الفرد مع الخط الفاصل بين النظام والفوضى، بين الحياة والموت، بين السيطرة وفقدانها.</w:t>
      </w:r>
      <w:r>
        <w:rPr>
          <w:rStyle w:val="a5"/>
        </w:rPr>
        <w:footnoteReference w:id="1"/>
      </w:r>
    </w:p>
    <w:p w14:paraId="165574A9" w14:textId="77777777" w:rsidR="003E40C5" w:rsidRDefault="00A52B78">
      <w:pPr>
        <w:spacing w:before="200" w:after="100" w:line="320" w:lineRule="auto"/>
        <w:jc w:val="right"/>
      </w:pPr>
      <w:r>
        <w:rPr>
          <w:b/>
          <w:bCs/>
          <w:color w:val="C0392B"/>
        </w:rPr>
        <w:t>المستوى الأول — الوظيفة النفسية</w:t>
      </w:r>
    </w:p>
    <w:p w14:paraId="676930F0" w14:textId="77777777" w:rsidR="003E40C5" w:rsidRDefault="00A52B78">
      <w:pPr>
        <w:spacing w:before="80" w:after="80" w:line="320" w:lineRule="auto"/>
        <w:jc w:val="both"/>
      </w:pPr>
      <w:r>
        <w:rPr>
          <w:sz w:val="23"/>
          <w:szCs w:val="23"/>
        </w:rPr>
        <w:t>لا يهدف "Edge Worker" إلى الموت بل إلى اختبار الحدود القصوى للسيطرة. رفع الدراجة على عجلة واحدة يمثّل اللحظة الحرجة التي يتوازن فيها النظام مع الفوضى — التوازن مع الجاذبية. هي لحظة ميتافيزيقية خالصة: الإنسان والآلة والفيزياء في مواجهة الموت.</w:t>
      </w:r>
    </w:p>
    <w:p w14:paraId="49875435" w14:textId="77777777" w:rsidR="003E40C5" w:rsidRDefault="00A52B78">
      <w:pPr>
        <w:spacing w:before="200" w:after="100" w:line="320" w:lineRule="auto"/>
        <w:jc w:val="right"/>
      </w:pPr>
      <w:r>
        <w:rPr>
          <w:b/>
          <w:bCs/>
          <w:color w:val="C0392B"/>
        </w:rPr>
        <w:t>المستوى الثاني — الوظيفة الاجتماعية</w:t>
      </w:r>
    </w:p>
    <w:p w14:paraId="67B65A1B" w14:textId="77777777" w:rsidR="003E40C5" w:rsidRDefault="00A52B78">
      <w:pPr>
        <w:spacing w:before="80" w:after="80" w:line="320" w:lineRule="auto"/>
        <w:jc w:val="both"/>
      </w:pPr>
      <w:r>
        <w:rPr>
          <w:sz w:val="23"/>
          <w:szCs w:val="23"/>
        </w:rPr>
        <w:t>بالنسبة للشاب التونسي الذي يشعر بفقدان السيطرة على مستقبله الاقتصادي والاجتماعي — البطالة، وتأخّر الزواج، والبيروقراطية الخانقة — تمنحه هذه الثواني من التوازن على العجلة الخلفية إحساساً مُستعاداً بالقدرة على الفعل. إنه يُثبت لنفسه وللآخرين أنه يتحكم في شيء ما، حتى لو كان ذلك الشيء هو الموت ذاته.</w:t>
      </w:r>
    </w:p>
    <w:p w14:paraId="59ABAA61" w14:textId="77777777" w:rsidR="003E40C5" w:rsidRDefault="00A52B78">
      <w:pPr>
        <w:spacing w:before="200" w:after="100" w:line="320" w:lineRule="auto"/>
        <w:jc w:val="right"/>
      </w:pPr>
      <w:r>
        <w:rPr>
          <w:b/>
          <w:bCs/>
          <w:color w:val="C0392B"/>
        </w:rPr>
        <w:t>المستوى الثالث — النقد الطبقي</w:t>
      </w:r>
    </w:p>
    <w:p w14:paraId="29B42CA6" w14:textId="77777777" w:rsidR="003E40C5" w:rsidRDefault="00A52B78">
      <w:pPr>
        <w:spacing w:before="80" w:after="80" w:line="320" w:lineRule="auto"/>
        <w:jc w:val="both"/>
      </w:pPr>
      <w:r>
        <w:rPr>
          <w:sz w:val="23"/>
          <w:szCs w:val="23"/>
        </w:rPr>
        <w:t>يُلاحظ لينغ أن ممارسي Edgework يأتون غالباً من الطبقات التي تعاني من "عدم التحكم في العمل" (Alienated Labor). إنها محاولة لاستعادة ما سرقه النظام الاقتصادي. في تونس، يتجلى هذا بوضوح استثنائي.</w:t>
      </w:r>
    </w:p>
    <w:p w14:paraId="002194E1" w14:textId="77777777" w:rsidR="003E40C5" w:rsidRDefault="00A52B78">
      <w:pPr>
        <w:shd w:val="clear" w:color="auto" w:fill="D6E8F7"/>
        <w:spacing w:before="80" w:after="120" w:line="320" w:lineRule="auto"/>
        <w:ind w:left="280" w:right="280"/>
        <w:jc w:val="both"/>
      </w:pPr>
      <w:r>
        <w:rPr>
          <w:color w:val="333333"/>
          <w:sz w:val="22"/>
          <w:szCs w:val="22"/>
        </w:rPr>
        <w:t>الإضافة النقدية: لينغ طوّر نظريته في السياق الأمريكي حيث البديل المشروع للخطر متاح (الرياضات المتطرفة، الأندية). في السياق التونسي، غياب هذه البدائل المؤسسية يتحوّل إلى "إكراه بنيوي" يُعيد الشباب إلى الشارع كمسرح وحيد للبطولة.</w:t>
      </w:r>
    </w:p>
    <w:p w14:paraId="23593489" w14:textId="77777777" w:rsidR="003E40C5" w:rsidRDefault="003E40C5">
      <w:pPr>
        <w:spacing w:before="60" w:after="60"/>
      </w:pPr>
    </w:p>
    <w:p w14:paraId="30413979" w14:textId="77777777" w:rsidR="003E40C5" w:rsidRDefault="00A52B78">
      <w:pPr>
        <w:spacing w:before="240" w:after="140" w:line="340" w:lineRule="auto"/>
        <w:jc w:val="right"/>
      </w:pPr>
      <w:r>
        <w:rPr>
          <w:b/>
          <w:bCs/>
          <w:color w:val="2E6DA4"/>
          <w:sz w:val="27"/>
          <w:szCs w:val="27"/>
        </w:rPr>
        <w:t>2.2 سوسيولوجيا الأداء الدرامي — غوفمان في عصر الخوارزميات</w:t>
      </w:r>
    </w:p>
    <w:p w14:paraId="5146A6AE" w14:textId="77777777" w:rsidR="003E40C5" w:rsidRDefault="00A52B78">
      <w:pPr>
        <w:spacing w:before="80" w:after="100" w:line="340" w:lineRule="auto"/>
        <w:jc w:val="both"/>
      </w:pPr>
      <w:r>
        <w:rPr>
          <w:sz w:val="23"/>
          <w:szCs w:val="23"/>
        </w:rPr>
        <w:t>قدّم إرفينغ غوفمان (Erving Goffman) في عمله التأسيسي "عرض الذات في الحياة اليومية" (1959) نموذجاً مسرحياً للتفاعل الاجتماعي.</w:t>
      </w:r>
      <w:r>
        <w:rPr>
          <w:rStyle w:val="a5"/>
        </w:rPr>
        <w:footnoteReference w:id="2"/>
      </w:r>
    </w:p>
    <w:p w14:paraId="1E75453E" w14:textId="77777777" w:rsidR="003E40C5" w:rsidRDefault="00A52B78">
      <w:pPr>
        <w:spacing w:before="200" w:after="100" w:line="320" w:lineRule="auto"/>
        <w:jc w:val="right"/>
      </w:pPr>
      <w:r>
        <w:rPr>
          <w:b/>
          <w:bCs/>
          <w:color w:val="C0392B"/>
        </w:rPr>
        <w:t>الشارع كمسرح أمامي مُضخَّم</w:t>
      </w:r>
    </w:p>
    <w:p w14:paraId="13EE21CF" w14:textId="77777777" w:rsidR="003E40C5" w:rsidRDefault="00A52B78">
      <w:pPr>
        <w:spacing w:before="80" w:after="80" w:line="320" w:lineRule="auto"/>
        <w:jc w:val="both"/>
      </w:pPr>
      <w:r>
        <w:rPr>
          <w:sz w:val="23"/>
          <w:szCs w:val="23"/>
        </w:rPr>
        <w:t>الشارع العام لم يعد مجرد ممر، بل تحوّل بفعل كاميرا الهاتف الذكي إلى "خشبة مسرح" يُبثّ منها مباشرة لآلاف المتفرجين. الجمهور الحاضر جسدياً (المارة) ليس سوى طبقة واحدة من طبقات الجمهور المتعدد الأبعاد.</w:t>
      </w:r>
    </w:p>
    <w:p w14:paraId="3193C436" w14:textId="77777777" w:rsidR="003E40C5" w:rsidRDefault="00A52B78">
      <w:pPr>
        <w:spacing w:before="200" w:after="100" w:line="320" w:lineRule="auto"/>
        <w:jc w:val="right"/>
      </w:pPr>
      <w:r>
        <w:rPr>
          <w:b/>
          <w:bCs/>
          <w:color w:val="C0392B"/>
        </w:rPr>
        <w:t>اقتصاد الانتباه والذكورة الرقمية</w:t>
      </w:r>
    </w:p>
    <w:p w14:paraId="0CDB266F" w14:textId="77777777" w:rsidR="003E40C5" w:rsidRDefault="00A52B78">
      <w:pPr>
        <w:spacing w:before="80" w:after="80" w:line="320" w:lineRule="auto"/>
        <w:jc w:val="both"/>
      </w:pPr>
      <w:r>
        <w:rPr>
          <w:sz w:val="23"/>
          <w:szCs w:val="23"/>
        </w:rPr>
        <w:t>في منطق خوارزميات تيك توك وإنستغرام، المحتوى الأكثر خطورة يحصل على أكبر انتشار. الخطر لم يعد مجرد تعبير عن الذكورة بل أصبح رأس مال رمزي قابل للتحويل إلى متابعين وإعجابات وشهرة رقمية. هذا يُشكّل ما يمكن تسميته "اقتصاد الموت الترفيهي".</w:t>
      </w:r>
    </w:p>
    <w:p w14:paraId="4E5E297E" w14:textId="77777777" w:rsidR="003E40C5" w:rsidRDefault="00A52B78">
      <w:pPr>
        <w:spacing w:before="200" w:after="100" w:line="320" w:lineRule="auto"/>
        <w:jc w:val="right"/>
      </w:pPr>
      <w:r>
        <w:rPr>
          <w:b/>
          <w:bCs/>
          <w:color w:val="C0392B"/>
        </w:rPr>
        <w:t>غياب الخوذة كبيان هوياتي</w:t>
      </w:r>
    </w:p>
    <w:p w14:paraId="0D6AB752" w14:textId="77777777" w:rsidR="003E40C5" w:rsidRDefault="00A52B78">
      <w:pPr>
        <w:spacing w:before="80" w:after="120" w:line="320" w:lineRule="auto"/>
        <w:jc w:val="both"/>
      </w:pPr>
      <w:r>
        <w:rPr>
          <w:sz w:val="23"/>
          <w:szCs w:val="23"/>
        </w:rPr>
        <w:t>الخوذة تحجب الوجه، والوجه هو رأس المال الرمزي في ثقافة البث المباشر. الشعر المرفرف والوجه المكشوف في مواجهة الريح هو "بيان مرئي" لا يقلّ أهمية عن أي بيان سياسي.</w:t>
      </w:r>
    </w:p>
    <w:p w14:paraId="52077185" w14:textId="77777777" w:rsidR="003E40C5" w:rsidRDefault="003E40C5">
      <w:pPr>
        <w:spacing w:before="60" w:after="60"/>
      </w:pPr>
    </w:p>
    <w:p w14:paraId="029AE605" w14:textId="77777777" w:rsidR="003E40C5" w:rsidRDefault="00A52B78">
      <w:pPr>
        <w:spacing w:before="240" w:after="140" w:line="340" w:lineRule="auto"/>
        <w:jc w:val="right"/>
      </w:pPr>
      <w:r>
        <w:rPr>
          <w:b/>
          <w:bCs/>
          <w:color w:val="2E6DA4"/>
          <w:sz w:val="27"/>
          <w:szCs w:val="27"/>
        </w:rPr>
        <w:t>2.3 الذكورة الهيمنية في الجنوب العالمي — كونيل والتحليل ما بعد الكولونيالي</w:t>
      </w:r>
    </w:p>
    <w:p w14:paraId="0B76F41C" w14:textId="77777777" w:rsidR="003E40C5" w:rsidRDefault="00A52B78">
      <w:pPr>
        <w:spacing w:before="80" w:after="100" w:line="340" w:lineRule="auto"/>
        <w:jc w:val="both"/>
      </w:pPr>
      <w:r>
        <w:rPr>
          <w:sz w:val="23"/>
          <w:szCs w:val="23"/>
        </w:rPr>
        <w:t>تُقدّم الباحثة الأسترالية رايوين كونيل (Raewyn Connell) مفهوم "الذكورة الهيمنية" (Hegemonic Masculinity) التي تصف النمط الذكوري المسيطر اجتماعياً في سياق معين. في سياق الجنوب العالمي، تتشابك هذه الذكورة مع تاريخ الاستعمار وديناميكيات التبعية الاقتصادية.</w:t>
      </w:r>
      <w:r>
        <w:rPr>
          <w:rStyle w:val="a5"/>
        </w:rPr>
        <w:footnoteReference w:id="3"/>
      </w:r>
    </w:p>
    <w:p w14:paraId="6D7F82AE" w14:textId="77777777" w:rsidR="003E40C5" w:rsidRDefault="00A52B78">
      <w:pPr>
        <w:spacing w:before="200" w:after="100" w:line="320" w:lineRule="auto"/>
        <w:jc w:val="right"/>
      </w:pPr>
      <w:r>
        <w:rPr>
          <w:b/>
          <w:bCs/>
          <w:color w:val="C0392B"/>
        </w:rPr>
        <w:t>الذكورة المُنقوصة في السياق ما بعد الكولونيالي</w:t>
      </w:r>
    </w:p>
    <w:p w14:paraId="4FC539FF" w14:textId="77777777" w:rsidR="003E40C5" w:rsidRDefault="00A52B78">
      <w:pPr>
        <w:spacing w:before="80" w:after="80" w:line="320" w:lineRule="auto"/>
        <w:jc w:val="both"/>
      </w:pPr>
      <w:r>
        <w:rPr>
          <w:sz w:val="23"/>
          <w:szCs w:val="23"/>
        </w:rPr>
        <w:t>في "دراسة ذكور العالم الثالث"، يظهر نمط "الرجل القوي" (Strongman) كردّ فعل دفاعي على الإحساس بالدونية الاقتصادية أمام الغرب. الشاب لا يملك "فيراري" كما في الفيديو كليب الغربي، لكنه يمتلك جسداً جريئاً يُروّض آلةً قوية.</w:t>
      </w:r>
    </w:p>
    <w:p w14:paraId="5C4ED2A9" w14:textId="77777777" w:rsidR="003E40C5" w:rsidRDefault="00A52B78">
      <w:pPr>
        <w:spacing w:before="200" w:after="100" w:line="320" w:lineRule="auto"/>
        <w:jc w:val="right"/>
      </w:pPr>
      <w:r>
        <w:rPr>
          <w:b/>
          <w:bCs/>
          <w:color w:val="C0392B"/>
        </w:rPr>
        <w:t>رجولة الصنعة في مواجهة رجولة الملكية</w:t>
      </w:r>
    </w:p>
    <w:p w14:paraId="56F4943B" w14:textId="77777777" w:rsidR="003E40C5" w:rsidRDefault="00A52B78">
      <w:pPr>
        <w:spacing w:before="80" w:after="80" w:line="320" w:lineRule="auto"/>
        <w:jc w:val="both"/>
      </w:pPr>
      <w:r>
        <w:rPr>
          <w:sz w:val="23"/>
          <w:szCs w:val="23"/>
        </w:rPr>
        <w:t>ثمة تمييز جوهري: "رجولة الملكية" (Property Masculinity) تقوم على امتلاك البيت والسيارة والدخل الثابت — نموذج حداثي تحجبه البطالة. أما "رجولة الصنعة" (Craft Masculinity) فتقوم على المهارة الجسدية والجرأة. إتقان رفع الدراجة هو نوع من البروز في ميدان تنافسي بديل.</w:t>
      </w:r>
    </w:p>
    <w:p w14:paraId="7FE7786B" w14:textId="77777777" w:rsidR="003E40C5" w:rsidRDefault="00A52B78">
      <w:pPr>
        <w:spacing w:before="200" w:after="100" w:line="320" w:lineRule="auto"/>
        <w:jc w:val="right"/>
      </w:pPr>
      <w:r>
        <w:rPr>
          <w:b/>
          <w:bCs/>
          <w:color w:val="C0392B"/>
        </w:rPr>
        <w:t>بُعد هومي بهابها — المحاكاة والمفارقة (Mimicry &amp; Ambivalence)</w:t>
      </w:r>
    </w:p>
    <w:p w14:paraId="6E038AAB" w14:textId="77777777" w:rsidR="003E40C5" w:rsidRDefault="00A52B78">
      <w:pPr>
        <w:spacing w:before="80" w:after="120" w:line="320" w:lineRule="auto"/>
        <w:jc w:val="both"/>
      </w:pPr>
      <w:r>
        <w:rPr>
          <w:sz w:val="23"/>
          <w:szCs w:val="23"/>
        </w:rPr>
        <w:t>يستعير الشباب الثقافة الغربية — نماذج السيارات، الموسيقى، الحركات — لكنهم يُوطّنونها في جغرافيا الحي الشعبي. هذا ما وصفه هومي بهابها بالمحاكاة الاستعمارية التي تُنتج نسخة "شبيهة لكن ليست مطابقة" تتضمن قدراً من المقاومة الضمنية.</w:t>
      </w:r>
      <w:r>
        <w:rPr>
          <w:rStyle w:val="a5"/>
        </w:rPr>
        <w:footnoteReference w:id="4"/>
      </w:r>
    </w:p>
    <w:p w14:paraId="18EBAE3F" w14:textId="77777777" w:rsidR="003E40C5" w:rsidRDefault="003E40C5">
      <w:pPr>
        <w:spacing w:before="60" w:after="60"/>
      </w:pPr>
    </w:p>
    <w:p w14:paraId="24885E8F" w14:textId="77777777" w:rsidR="003E40C5" w:rsidRDefault="00A52B78">
      <w:pPr>
        <w:spacing w:before="240" w:after="140" w:line="340" w:lineRule="auto"/>
        <w:jc w:val="right"/>
      </w:pPr>
      <w:r>
        <w:rPr>
          <w:b/>
          <w:bCs/>
          <w:color w:val="2E6DA4"/>
          <w:sz w:val="27"/>
          <w:szCs w:val="27"/>
        </w:rPr>
        <w:t>2.4 النيكروبوليتيكية — قراءة أشيل مبيمبي</w:t>
      </w:r>
    </w:p>
    <w:p w14:paraId="1EA06C38" w14:textId="77777777" w:rsidR="003E40C5" w:rsidRDefault="00A52B78">
      <w:pPr>
        <w:spacing w:before="80" w:after="100" w:line="340" w:lineRule="auto"/>
        <w:jc w:val="both"/>
      </w:pPr>
      <w:r>
        <w:rPr>
          <w:sz w:val="23"/>
          <w:szCs w:val="23"/>
        </w:rPr>
        <w:t>يُقدّم الفيلسوف الكاميروني أشيل مبيمبي (Achille Mbembe) في عمله "النيكروبوليتيكية" (Necropolitics) نقداً جذرياً لمفهوم فوكو حول السياسة الحيوية (Biopolitics)، مُقدِّماً مفهوم "السياسة النيكروبوليتيكية" كقراءة لطريقة توزيع الحياة والموت في الفضاء الاستعماري والما بعد استعماري.</w:t>
      </w:r>
    </w:p>
    <w:p w14:paraId="0B6452C6" w14:textId="77777777" w:rsidR="003E40C5" w:rsidRDefault="00A52B78">
      <w:pPr>
        <w:spacing w:before="80" w:after="80" w:line="340" w:lineRule="auto"/>
        <w:jc w:val="both"/>
      </w:pPr>
      <w:r>
        <w:rPr>
          <w:sz w:val="23"/>
          <w:szCs w:val="23"/>
        </w:rPr>
        <w:t>في هذا الإطار، يُطرح سؤال محوري: كيف تتعامل الدولة التونسية مع أجساد الشباب في الفضاء العمومي؟ هل هي أجساد تستحق الحماية أم أجساد قابلة للتخلص منها (Disposable Bodies)؟ إن غياب التدخل الفاعل لشرطة المرور، وضعف منظومة الصحة العامة في التعامل مع ضحايا حوادث الطرقات، يُشير إلى نوع من اللامبالاة البنيوية تجاه هذه الأجساد.</w:t>
      </w:r>
    </w:p>
    <w:p w14:paraId="22C832C6" w14:textId="77777777" w:rsidR="003E40C5" w:rsidRDefault="00A52B78">
      <w:pPr>
        <w:shd w:val="clear" w:color="auto" w:fill="D6E8F7"/>
        <w:spacing w:before="80" w:after="120" w:line="320" w:lineRule="auto"/>
        <w:ind w:left="280" w:right="280"/>
        <w:jc w:val="both"/>
      </w:pPr>
      <w:r>
        <w:rPr>
          <w:color w:val="333333"/>
          <w:sz w:val="22"/>
          <w:szCs w:val="22"/>
        </w:rPr>
        <w:t>الاستنتاج النيكروبوليتيكي: من يملك الحق في الموت في الفضاء العمومي؟ الشاب الذي يرفع دراجته في الشارع يتحدى سيادة الدولة على هذا الفضاء، مُعلناً أنه يملك حق المخاطرة بجسده بنفسه — وهو تحدٍّ سياسي لا واعٍ لمنطق الهيمنة البيروقراطية.</w:t>
      </w:r>
    </w:p>
    <w:p w14:paraId="75509C49" w14:textId="77777777" w:rsidR="003E40C5" w:rsidRDefault="003E40C5">
      <w:pPr>
        <w:spacing w:before="60" w:after="60"/>
      </w:pPr>
    </w:p>
    <w:p w14:paraId="30888BDD" w14:textId="77777777" w:rsidR="003E40C5" w:rsidRDefault="00A52B78">
      <w:pPr>
        <w:spacing w:before="240" w:after="140" w:line="340" w:lineRule="auto"/>
        <w:jc w:val="right"/>
      </w:pPr>
      <w:r>
        <w:rPr>
          <w:b/>
          <w:bCs/>
          <w:color w:val="2E6DA4"/>
          <w:sz w:val="27"/>
          <w:szCs w:val="27"/>
        </w:rPr>
        <w:t>2.5 مجتمع الاستعراض — غي ديبور والفضاء الافتراضي</w:t>
      </w:r>
    </w:p>
    <w:p w14:paraId="016A73FB" w14:textId="77777777" w:rsidR="003E40C5" w:rsidRDefault="00A52B78">
      <w:pPr>
        <w:spacing w:before="80" w:after="100" w:line="340" w:lineRule="auto"/>
        <w:jc w:val="both"/>
      </w:pPr>
      <w:r>
        <w:rPr>
          <w:sz w:val="23"/>
          <w:szCs w:val="23"/>
        </w:rPr>
        <w:t>في "مجتمع الاستعراض" (La Société du spectacle)، حلّل غي ديبور (Guy Debord) كيف تتحوّل العلاقات الاجتماعية إلى صور مُعروضة، وكيف يُصبح الاستعراض بديلاً عن الحياة الفعلية. التلمحرك هو الصورة الأكمل لهذا التحليل في الزمن الرقمي: الخطر لم يُعاش فقط بل وُثِّق وعُرض وتداول واستُهلك كسلعة رمزية.</w:t>
      </w:r>
    </w:p>
    <w:p w14:paraId="6BF01DBA" w14:textId="77777777" w:rsidR="003E40C5" w:rsidRDefault="00A52B78">
      <w:pPr>
        <w:spacing w:before="80" w:after="120" w:line="340" w:lineRule="auto"/>
        <w:jc w:val="both"/>
      </w:pPr>
      <w:r>
        <w:rPr>
          <w:sz w:val="23"/>
          <w:szCs w:val="23"/>
        </w:rPr>
        <w:t>يبيع الشاب "لحظة مواجهة الموت" لجمهور يستهلكها في أمان تام من خلف الشاشة. هذا التعاقد الغريب — الخطر الحقيقي مقابل الإثارة الآمنة — هو قلب ديناميكية تيك توك في ما يخص المحتوى العنيف أو الخطير.</w:t>
      </w:r>
    </w:p>
    <w:p w14:paraId="75B15597" w14:textId="77777777" w:rsidR="003E40C5" w:rsidRDefault="00A52B78">
      <w:r>
        <w:br w:type="page"/>
      </w:r>
    </w:p>
    <w:p w14:paraId="2F2D722D" w14:textId="77777777" w:rsidR="003E40C5" w:rsidRDefault="00A52B78">
      <w:pPr>
        <w:pBdr>
          <w:bottom w:val="single" w:sz="8" w:space="4" w:color="2E6DA4"/>
        </w:pBdr>
        <w:spacing w:before="320" w:after="200" w:line="360" w:lineRule="auto"/>
        <w:jc w:val="right"/>
      </w:pPr>
      <w:r>
        <w:rPr>
          <w:b/>
          <w:bCs/>
          <w:color w:val="1A3A5C"/>
          <w:sz w:val="32"/>
          <w:szCs w:val="32"/>
        </w:rPr>
        <w:t>3. التحليل السيميائي للممارسة: قراءة في عناصر المشهد</w:t>
      </w:r>
    </w:p>
    <w:p w14:paraId="7D81E69C" w14:textId="77777777" w:rsidR="003E40C5" w:rsidRDefault="003E40C5">
      <w:pPr>
        <w:spacing w:before="60" w:after="60"/>
      </w:pPr>
    </w:p>
    <w:p w14:paraId="7B78ECB3" w14:textId="77777777" w:rsidR="003E40C5" w:rsidRDefault="00A52B78">
      <w:pPr>
        <w:spacing w:before="240" w:after="140" w:line="340" w:lineRule="auto"/>
        <w:jc w:val="right"/>
      </w:pPr>
      <w:r>
        <w:rPr>
          <w:b/>
          <w:bCs/>
          <w:color w:val="2E6DA4"/>
          <w:sz w:val="27"/>
          <w:szCs w:val="27"/>
        </w:rPr>
        <w:t>3.1 الجسد كموقع للمقاومة والخطاب</w:t>
      </w:r>
    </w:p>
    <w:p w14:paraId="691D7CCC" w14:textId="77777777" w:rsidR="003E40C5" w:rsidRDefault="00A52B78">
      <w:pPr>
        <w:spacing w:before="80" w:after="100" w:line="340" w:lineRule="auto"/>
        <w:jc w:val="both"/>
      </w:pPr>
      <w:r>
        <w:rPr>
          <w:sz w:val="23"/>
          <w:szCs w:val="23"/>
        </w:rPr>
        <w:t>في الفكر السوسيولوجي ما بعد البنيوي، لا يُعدّ الجسد مجرد كيان بيولوجي بل هو "نص ثقافي" يحمل آثار القوة والهيمنة والمقاومة. ميشيل فوكو تحدّث عن "تأديب الجسد" (Discipline of the Body) كآلية سلطوية. جسد الشاب على الدراجة — مُنفتح على الرياح، عارٍ من الخوذة، مُحكوم التوازن — هو جسد يتحدّى منطق "السلامة" بوصفها قيمة بيروقراطية تمارسها الدولة على المواطن.</w:t>
      </w:r>
    </w:p>
    <w:p w14:paraId="2B497BFF" w14:textId="77777777" w:rsidR="003E40C5" w:rsidRDefault="003E40C5">
      <w:pPr>
        <w:spacing w:before="60" w:after="60"/>
      </w:pPr>
    </w:p>
    <w:p w14:paraId="3D26AFF7" w14:textId="77777777" w:rsidR="003E40C5" w:rsidRDefault="00A52B78">
      <w:pPr>
        <w:spacing w:before="240" w:after="140" w:line="340" w:lineRule="auto"/>
        <w:jc w:val="right"/>
      </w:pPr>
      <w:r>
        <w:rPr>
          <w:b/>
          <w:bCs/>
          <w:color w:val="2E6DA4"/>
          <w:sz w:val="27"/>
          <w:szCs w:val="27"/>
        </w:rPr>
        <w:t>3.2 الراكب الخلفي: سيكولوجيا الرهينة الطوعية</w:t>
      </w:r>
    </w:p>
    <w:p w14:paraId="103977C4" w14:textId="77777777" w:rsidR="003E40C5" w:rsidRDefault="00A52B78">
      <w:pPr>
        <w:spacing w:before="80" w:after="100" w:line="340" w:lineRule="auto"/>
        <w:jc w:val="both"/>
      </w:pPr>
      <w:r>
        <w:rPr>
          <w:sz w:val="23"/>
          <w:szCs w:val="23"/>
        </w:rPr>
        <w:t>يستحق الراكب الخلفي تحليلاً مستقلاً بوصفه أكثر العناصر غموضاً في المشهد. هو ليس سائداً ولا متفرجاً، بل شريك في الحدث بلا أدوات تحكّم.</w:t>
      </w:r>
    </w:p>
    <w:p w14:paraId="07B4564D" w14:textId="77777777" w:rsidR="003E40C5" w:rsidRDefault="00A52B78">
      <w:pPr>
        <w:spacing w:before="200" w:after="100" w:line="320" w:lineRule="auto"/>
        <w:jc w:val="right"/>
      </w:pPr>
      <w:r>
        <w:rPr>
          <w:b/>
          <w:bCs/>
          <w:color w:val="C0392B"/>
        </w:rPr>
        <w:t>الأساس العصبي-النفسي</w:t>
      </w:r>
    </w:p>
    <w:p w14:paraId="2C5F6F03" w14:textId="77777777" w:rsidR="003E40C5" w:rsidRDefault="00A52B78">
      <w:pPr>
        <w:spacing w:before="80" w:after="80" w:line="320" w:lineRule="auto"/>
        <w:jc w:val="both"/>
      </w:pPr>
      <w:r>
        <w:rPr>
          <w:sz w:val="23"/>
          <w:szCs w:val="23"/>
        </w:rPr>
        <w:t>يُفرز دماغ الراكب الخلفي نفس الهرمونات تقريباً (الأدرينالين/ الدوبامين) دون جهد حركي. علم الأعصاب يُفسّر هذا بـ"الوهم المُشترك للسيطرة" (Shared Illusion of Control)؛ حيث ينقل الدماغ إحساس تحكّم السائق إلى الراكب عبر آليات التعاطف العصبي (Mirror Neurons).</w:t>
      </w:r>
    </w:p>
    <w:p w14:paraId="643291EA" w14:textId="77777777" w:rsidR="003E40C5" w:rsidRDefault="00A52B78">
      <w:pPr>
        <w:spacing w:before="200" w:after="100" w:line="320" w:lineRule="auto"/>
        <w:jc w:val="right"/>
      </w:pPr>
      <w:r>
        <w:rPr>
          <w:b/>
          <w:bCs/>
          <w:color w:val="C0392B"/>
        </w:rPr>
        <w:t>الشاهد الأخوي — وظيفة الرهينة الطوعية</w:t>
      </w:r>
    </w:p>
    <w:p w14:paraId="0314B752" w14:textId="77777777" w:rsidR="003E40C5" w:rsidRDefault="00A52B78">
      <w:pPr>
        <w:spacing w:before="80" w:after="80" w:line="320" w:lineRule="auto"/>
        <w:jc w:val="both"/>
      </w:pPr>
      <w:r>
        <w:rPr>
          <w:sz w:val="23"/>
          <w:szCs w:val="23"/>
        </w:rPr>
        <w:t>الراكب الخلفي هو "شاهد الزور" على رجولة السائق. بدونه يفقد الاستعراض نصف معناه. وجوده يُحوّل الفعل من استعراض ذاتي إلى "شهادة أخوية" — إعلان بأن الخطر ليس أنانياً بل تضحية مشتركة في سبيل "اللمّة" و"الصحبة".</w:t>
      </w:r>
    </w:p>
    <w:p w14:paraId="4CC97B30" w14:textId="77777777" w:rsidR="003E40C5" w:rsidRDefault="00A52B78">
      <w:pPr>
        <w:spacing w:before="200" w:after="100" w:line="320" w:lineRule="auto"/>
        <w:jc w:val="right"/>
      </w:pPr>
      <w:r>
        <w:rPr>
          <w:b/>
          <w:bCs/>
          <w:color w:val="C0392B"/>
        </w:rPr>
        <w:t>البُعد الطقوسي — الثقة كقربان</w:t>
      </w:r>
    </w:p>
    <w:p w14:paraId="6887B555" w14:textId="77777777" w:rsidR="003E40C5" w:rsidRDefault="00A52B78">
      <w:pPr>
        <w:spacing w:before="80" w:after="120" w:line="320" w:lineRule="auto"/>
        <w:jc w:val="both"/>
      </w:pPr>
      <w:r>
        <w:rPr>
          <w:sz w:val="23"/>
          <w:szCs w:val="23"/>
        </w:rPr>
        <w:t>في قراءة أنثروبولوجية، فعل ركوب الدراجة خلف صديق يُجازف بحياته هو طقس إيداع الثقة المطلقة — أعلى مراتب الصداقة في قاموس الشارع. الشاب الذي يرفض الركوب يُعلن "عدم الثقة" ويُكسر الرابط الأخوي.</w:t>
      </w:r>
    </w:p>
    <w:p w14:paraId="39446701" w14:textId="77777777" w:rsidR="003E40C5" w:rsidRDefault="003E40C5">
      <w:pPr>
        <w:spacing w:before="60" w:after="60"/>
      </w:pPr>
    </w:p>
    <w:p w14:paraId="10306523" w14:textId="77777777" w:rsidR="003E40C5" w:rsidRDefault="00A52B78">
      <w:pPr>
        <w:spacing w:before="240" w:after="140" w:line="340" w:lineRule="auto"/>
        <w:jc w:val="right"/>
      </w:pPr>
      <w:r>
        <w:rPr>
          <w:b/>
          <w:bCs/>
          <w:color w:val="2E6DA4"/>
          <w:sz w:val="27"/>
          <w:szCs w:val="27"/>
        </w:rPr>
        <w:t>3.3 الدراجة النارية: مرفولوجيا الأداة الرمزية</w:t>
      </w:r>
    </w:p>
    <w:p w14:paraId="2BA4A60A" w14:textId="77777777" w:rsidR="003E40C5" w:rsidRDefault="00A52B78">
      <w:pPr>
        <w:spacing w:before="80" w:after="100" w:line="340" w:lineRule="auto"/>
        <w:jc w:val="both"/>
      </w:pPr>
      <w:r>
        <w:rPr>
          <w:sz w:val="23"/>
          <w:szCs w:val="23"/>
        </w:rPr>
        <w:t>ليست الدراجة مجرد آلة نقل؛ إنها نظام دلالي كامل يستدعي القراءة السيميائية المُعمَّقة. فلكل عنصر في الدراجة — من محركها إلى لونها ومن صوتها إلى هيئتها — حمولة معنوية مُتراكمة في الثقافة الشعبية.</w:t>
      </w:r>
    </w:p>
    <w:p w14:paraId="66829B8E" w14:textId="77777777" w:rsidR="003E40C5" w:rsidRDefault="003E40C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3000"/>
      </w:tblGrid>
      <w:tr w:rsidR="003E40C5" w14:paraId="11E638BA" w14:textId="77777777">
        <w:tblPrEx>
          <w:tblCellMar>
            <w:top w:w="0" w:type="dxa"/>
            <w:bottom w:w="0" w:type="dxa"/>
          </w:tblCellMar>
        </w:tblPrEx>
        <w:tc>
          <w:tcPr>
            <w:tcW w:w="636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3B969331" w14:textId="77777777" w:rsidR="003E40C5" w:rsidRDefault="00A52B78">
            <w:pPr>
              <w:jc w:val="center"/>
            </w:pPr>
            <w:r>
              <w:rPr>
                <w:b/>
                <w:bCs/>
                <w:color w:val="FFFFFF"/>
                <w:sz w:val="22"/>
                <w:szCs w:val="22"/>
              </w:rPr>
              <w:t>المعنى الرمزي / الثقافي</w:t>
            </w:r>
          </w:p>
        </w:tc>
        <w:tc>
          <w:tcPr>
            <w:tcW w:w="30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1A999B44" w14:textId="77777777" w:rsidR="003E40C5" w:rsidRDefault="00A52B78">
            <w:pPr>
              <w:jc w:val="center"/>
            </w:pPr>
            <w:r>
              <w:rPr>
                <w:b/>
                <w:bCs/>
                <w:color w:val="FFFFFF"/>
                <w:sz w:val="22"/>
                <w:szCs w:val="22"/>
              </w:rPr>
              <w:t>عنصر في الدراجة</w:t>
            </w:r>
          </w:p>
        </w:tc>
      </w:tr>
      <w:tr w:rsidR="003E40C5" w14:paraId="52A15A81" w14:textId="77777777">
        <w:tblPrEx>
          <w:tblCellMar>
            <w:top w:w="0" w:type="dxa"/>
            <w:bottom w:w="0" w:type="dxa"/>
          </w:tblCellMar>
        </w:tblPrEx>
        <w:tc>
          <w:tcPr>
            <w:tcW w:w="636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81AF3D0" w14:textId="77777777" w:rsidR="003E40C5" w:rsidRDefault="00A52B78">
            <w:pPr>
              <w:jc w:val="right"/>
            </w:pPr>
            <w:r>
              <w:rPr>
                <w:sz w:val="21"/>
                <w:szCs w:val="21"/>
              </w:rPr>
              <w:t>إعلان وجود — "أنا هنا، اسمعوني، أنا حي"</w:t>
            </w:r>
          </w:p>
        </w:tc>
        <w:tc>
          <w:tcPr>
            <w:tcW w:w="3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4D084DE6" w14:textId="77777777" w:rsidR="003E40C5" w:rsidRDefault="00A52B78">
            <w:pPr>
              <w:jc w:val="right"/>
            </w:pPr>
            <w:r>
              <w:rPr>
                <w:b/>
                <w:bCs/>
                <w:color w:val="1A3A5C"/>
                <w:sz w:val="21"/>
                <w:szCs w:val="21"/>
              </w:rPr>
              <w:t>ضجيج المحرك المفتوح (Exhaust)</w:t>
            </w:r>
          </w:p>
        </w:tc>
      </w:tr>
      <w:tr w:rsidR="003E40C5" w14:paraId="47C8F32B" w14:textId="77777777">
        <w:tblPrEx>
          <w:tblCellMar>
            <w:top w:w="0" w:type="dxa"/>
            <w:bottom w:w="0" w:type="dxa"/>
          </w:tblCellMar>
        </w:tblPrEx>
        <w:tc>
          <w:tcPr>
            <w:tcW w:w="6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319DA90" w14:textId="77777777" w:rsidR="003E40C5" w:rsidRDefault="00A52B78">
            <w:pPr>
              <w:jc w:val="right"/>
            </w:pPr>
            <w:r>
              <w:rPr>
                <w:sz w:val="21"/>
                <w:szCs w:val="21"/>
              </w:rPr>
              <w:t>تحدّي الجاذبية = تحدّي سلطة الواقع</w:t>
            </w:r>
          </w:p>
        </w:tc>
        <w:tc>
          <w:tcPr>
            <w:tcW w:w="3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61E275AA" w14:textId="77777777" w:rsidR="003E40C5" w:rsidRDefault="00A52B78">
            <w:pPr>
              <w:jc w:val="right"/>
            </w:pPr>
            <w:r>
              <w:rPr>
                <w:b/>
                <w:bCs/>
                <w:color w:val="1A3A5C"/>
                <w:sz w:val="21"/>
                <w:szCs w:val="21"/>
              </w:rPr>
              <w:t>رفع العجلة الأمامية (Wheelie)</w:t>
            </w:r>
          </w:p>
        </w:tc>
      </w:tr>
      <w:tr w:rsidR="003E40C5" w14:paraId="4AEBBD52" w14:textId="77777777">
        <w:tblPrEx>
          <w:tblCellMar>
            <w:top w:w="0" w:type="dxa"/>
            <w:bottom w:w="0" w:type="dxa"/>
          </w:tblCellMar>
        </w:tblPrEx>
        <w:tc>
          <w:tcPr>
            <w:tcW w:w="636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3258E7E" w14:textId="77777777" w:rsidR="003E40C5" w:rsidRDefault="00A52B78">
            <w:pPr>
              <w:jc w:val="right"/>
            </w:pPr>
            <w:r>
              <w:rPr>
                <w:sz w:val="21"/>
                <w:szCs w:val="21"/>
              </w:rPr>
              <w:t>القوة الخام = الرجولة المادية المُعرَّفة</w:t>
            </w:r>
          </w:p>
        </w:tc>
        <w:tc>
          <w:tcPr>
            <w:tcW w:w="3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2D83164" w14:textId="77777777" w:rsidR="003E40C5" w:rsidRDefault="00A52B78">
            <w:pPr>
              <w:jc w:val="right"/>
            </w:pPr>
            <w:r>
              <w:rPr>
                <w:b/>
                <w:bCs/>
                <w:color w:val="1A3A5C"/>
                <w:sz w:val="21"/>
                <w:szCs w:val="21"/>
              </w:rPr>
              <w:t>حجم المحرك الكبير (600cc+)</w:t>
            </w:r>
          </w:p>
        </w:tc>
      </w:tr>
      <w:tr w:rsidR="003E40C5" w14:paraId="222C56A4" w14:textId="77777777">
        <w:tblPrEx>
          <w:tblCellMar>
            <w:top w:w="0" w:type="dxa"/>
            <w:bottom w:w="0" w:type="dxa"/>
          </w:tblCellMar>
        </w:tblPrEx>
        <w:tc>
          <w:tcPr>
            <w:tcW w:w="6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0CAC429" w14:textId="77777777" w:rsidR="003E40C5" w:rsidRDefault="00A52B78">
            <w:pPr>
              <w:jc w:val="right"/>
            </w:pPr>
            <w:r>
              <w:rPr>
                <w:sz w:val="21"/>
                <w:szCs w:val="21"/>
              </w:rPr>
              <w:t>الجرأة، رفض وصاية الدولة، رأس مال رمزي بصري</w:t>
            </w:r>
          </w:p>
        </w:tc>
        <w:tc>
          <w:tcPr>
            <w:tcW w:w="3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DD43CC7" w14:textId="77777777" w:rsidR="003E40C5" w:rsidRDefault="00A52B78">
            <w:pPr>
              <w:jc w:val="right"/>
            </w:pPr>
            <w:r>
              <w:rPr>
                <w:b/>
                <w:bCs/>
                <w:color w:val="1A3A5C"/>
                <w:sz w:val="21"/>
                <w:szCs w:val="21"/>
              </w:rPr>
              <w:t>غياب الخوذة</w:t>
            </w:r>
          </w:p>
        </w:tc>
      </w:tr>
      <w:tr w:rsidR="003E40C5" w14:paraId="18AC19A1" w14:textId="77777777">
        <w:tblPrEx>
          <w:tblCellMar>
            <w:top w:w="0" w:type="dxa"/>
            <w:bottom w:w="0" w:type="dxa"/>
          </w:tblCellMar>
        </w:tblPrEx>
        <w:tc>
          <w:tcPr>
            <w:tcW w:w="636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A049BD6" w14:textId="77777777" w:rsidR="003E40C5" w:rsidRDefault="00A52B78">
            <w:pPr>
              <w:jc w:val="right"/>
            </w:pPr>
            <w:r>
              <w:rPr>
                <w:sz w:val="21"/>
                <w:szCs w:val="21"/>
              </w:rPr>
              <w:t>هوية عالمية لثقافة "الخطر الجمالي"</w:t>
            </w:r>
          </w:p>
        </w:tc>
        <w:tc>
          <w:tcPr>
            <w:tcW w:w="3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3DDB1471" w14:textId="77777777" w:rsidR="003E40C5" w:rsidRDefault="00A52B78">
            <w:pPr>
              <w:jc w:val="right"/>
            </w:pPr>
            <w:r>
              <w:rPr>
                <w:b/>
                <w:bCs/>
                <w:color w:val="1A3A5C"/>
                <w:sz w:val="21"/>
                <w:szCs w:val="21"/>
              </w:rPr>
              <w:t>لون الدراجة (أسود/أحمر)</w:t>
            </w:r>
          </w:p>
        </w:tc>
      </w:tr>
      <w:tr w:rsidR="003E40C5" w14:paraId="3C34DE86" w14:textId="77777777">
        <w:tblPrEx>
          <w:tblCellMar>
            <w:top w:w="0" w:type="dxa"/>
            <w:bottom w:w="0" w:type="dxa"/>
          </w:tblCellMar>
        </w:tblPrEx>
        <w:tc>
          <w:tcPr>
            <w:tcW w:w="6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D600284" w14:textId="77777777" w:rsidR="003E40C5" w:rsidRDefault="00A52B78">
            <w:pPr>
              <w:jc w:val="right"/>
            </w:pPr>
            <w:r>
              <w:rPr>
                <w:sz w:val="21"/>
                <w:szCs w:val="21"/>
              </w:rPr>
              <w:t>الشهادة الأخوية، الثقة المطلقة، الاستعراض الجماعي</w:t>
            </w:r>
          </w:p>
        </w:tc>
        <w:tc>
          <w:tcPr>
            <w:tcW w:w="3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74D514E" w14:textId="77777777" w:rsidR="003E40C5" w:rsidRDefault="00A52B78">
            <w:pPr>
              <w:jc w:val="right"/>
            </w:pPr>
            <w:r>
              <w:rPr>
                <w:b/>
                <w:bCs/>
                <w:color w:val="1A3A5C"/>
                <w:sz w:val="21"/>
                <w:szCs w:val="21"/>
              </w:rPr>
              <w:t>الراكب الثاني</w:t>
            </w:r>
          </w:p>
        </w:tc>
      </w:tr>
    </w:tbl>
    <w:p w14:paraId="53499591" w14:textId="77777777" w:rsidR="003E40C5" w:rsidRDefault="003E40C5">
      <w:pPr>
        <w:spacing w:before="80" w:after="60"/>
      </w:pPr>
    </w:p>
    <w:p w14:paraId="48FBC22D" w14:textId="77777777" w:rsidR="003E40C5" w:rsidRDefault="00A52B78">
      <w:pPr>
        <w:spacing w:before="240" w:after="140" w:line="340" w:lineRule="auto"/>
        <w:jc w:val="right"/>
      </w:pPr>
      <w:r>
        <w:rPr>
          <w:b/>
          <w:bCs/>
          <w:color w:val="2E6DA4"/>
          <w:sz w:val="27"/>
          <w:szCs w:val="27"/>
        </w:rPr>
        <w:t>3.4 صوت المحرك: أوركسترا الوجود في المدينة</w:t>
      </w:r>
    </w:p>
    <w:p w14:paraId="7D5524C4" w14:textId="77777777" w:rsidR="003E40C5" w:rsidRDefault="00A52B78">
      <w:pPr>
        <w:spacing w:before="80" w:after="100" w:line="340" w:lineRule="auto"/>
        <w:jc w:val="both"/>
      </w:pPr>
      <w:r>
        <w:rPr>
          <w:sz w:val="23"/>
          <w:szCs w:val="23"/>
        </w:rPr>
        <w:t>يستحق الصوت تحليلاً مستقلاً. في فضاء مدينة تونسية تعاني من الفوضى الصوتية الروتينية، يُشكّل صوت محرك الدراجة الكبيرة المفتوح "حدثاً صوتياً" (Sonic Event) يخترق الضجيج الرمادي ويُفرض على الانتباه. هو يقول بصوت لا يقبل الرفض: "أنا هنا، اسمعوني، أنا حي وقوي" — وهي الرسالة الجوهرية التي يسعى الشاب للإيصالها في سياق يُشعره بالغياب والتهميش.</w:t>
      </w:r>
    </w:p>
    <w:p w14:paraId="46706D09" w14:textId="77777777" w:rsidR="003E40C5" w:rsidRDefault="00A52B78">
      <w:r>
        <w:br w:type="page"/>
      </w:r>
    </w:p>
    <w:p w14:paraId="6213D972" w14:textId="77777777" w:rsidR="003E40C5" w:rsidRDefault="00A52B78">
      <w:pPr>
        <w:pBdr>
          <w:bottom w:val="single" w:sz="8" w:space="4" w:color="2E6DA4"/>
        </w:pBdr>
        <w:spacing w:before="320" w:after="200" w:line="360" w:lineRule="auto"/>
        <w:jc w:val="right"/>
      </w:pPr>
      <w:r>
        <w:rPr>
          <w:b/>
          <w:bCs/>
          <w:color w:val="1A3A5C"/>
          <w:sz w:val="32"/>
          <w:szCs w:val="32"/>
        </w:rPr>
        <w:t>4. الاقتصاد السياسي للدراجة: البُنية التحتية للظاهرة</w:t>
      </w:r>
    </w:p>
    <w:p w14:paraId="2E89C8D3" w14:textId="77777777" w:rsidR="003E40C5" w:rsidRDefault="003E40C5">
      <w:pPr>
        <w:spacing w:before="60" w:after="60"/>
      </w:pPr>
    </w:p>
    <w:p w14:paraId="76EA1B65" w14:textId="77777777" w:rsidR="003E40C5" w:rsidRDefault="00A52B78">
      <w:pPr>
        <w:spacing w:before="240" w:after="140" w:line="340" w:lineRule="auto"/>
        <w:jc w:val="right"/>
      </w:pPr>
      <w:r>
        <w:rPr>
          <w:b/>
          <w:bCs/>
          <w:color w:val="2E6DA4"/>
          <w:sz w:val="27"/>
          <w:szCs w:val="27"/>
        </w:rPr>
        <w:t>4.1 الخريطة الاقتصادية للشباب التونسي</w:t>
      </w:r>
    </w:p>
    <w:p w14:paraId="0E29DC3E" w14:textId="77777777" w:rsidR="003E40C5" w:rsidRDefault="00A52B78">
      <w:pPr>
        <w:spacing w:before="80" w:after="100" w:line="340" w:lineRule="auto"/>
        <w:jc w:val="both"/>
      </w:pPr>
      <w:r>
        <w:rPr>
          <w:sz w:val="23"/>
          <w:szCs w:val="23"/>
        </w:rPr>
        <w:t>لا يمكن فهم الظاهرة بمعزل عن البُنية الاقتصادية التي تُولِّدها. تونس ما بعد 2011 تعاني من "أزمة مُركَّبة" تتقاطع فيها عدة عوامل: معدلات بطالة الشباب تتجاوز 35-40% في بعض المناطق، وتراجع القدرة الشرائية في ظل موجات التضخم المتتالية، وأفق السكن المسدود في ظل أسعار عقارية تتجاوز الطاقة الشرائية للأجيال الجديدة، وأزمة الزواج المؤجَّل لأسباب اقتصادية بحتة.</w:t>
      </w:r>
      <w:r>
        <w:rPr>
          <w:rStyle w:val="a5"/>
        </w:rPr>
        <w:footnoteReference w:id="5"/>
      </w:r>
    </w:p>
    <w:p w14:paraId="76F2F53C" w14:textId="77777777" w:rsidR="003E40C5" w:rsidRDefault="003E40C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0"/>
        <w:gridCol w:w="3500"/>
        <w:gridCol w:w="3500"/>
      </w:tblGrid>
      <w:tr w:rsidR="003E40C5" w14:paraId="1B098A0D" w14:textId="77777777">
        <w:tblPrEx>
          <w:tblCellMar>
            <w:top w:w="0" w:type="dxa"/>
            <w:bottom w:w="0" w:type="dxa"/>
          </w:tblCellMar>
        </w:tblPrEx>
        <w:tc>
          <w:tcPr>
            <w:tcW w:w="236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61B70045" w14:textId="77777777" w:rsidR="003E40C5" w:rsidRDefault="00A52B78">
            <w:pPr>
              <w:jc w:val="center"/>
            </w:pPr>
            <w:r>
              <w:rPr>
                <w:b/>
                <w:bCs/>
                <w:color w:val="FFFFFF"/>
                <w:sz w:val="22"/>
                <w:szCs w:val="22"/>
              </w:rPr>
              <w:t>المتغير</w:t>
            </w:r>
          </w:p>
        </w:tc>
        <w:tc>
          <w:tcPr>
            <w:tcW w:w="35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44925279" w14:textId="77777777" w:rsidR="003E40C5" w:rsidRDefault="00A52B78">
            <w:pPr>
              <w:jc w:val="center"/>
            </w:pPr>
            <w:r>
              <w:rPr>
                <w:b/>
                <w:bCs/>
                <w:color w:val="FFFFFF"/>
                <w:sz w:val="22"/>
                <w:szCs w:val="22"/>
              </w:rPr>
              <w:t>الدراجة النارية الرياضية</w:t>
            </w:r>
          </w:p>
        </w:tc>
        <w:tc>
          <w:tcPr>
            <w:tcW w:w="35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3C72CC04" w14:textId="77777777" w:rsidR="003E40C5" w:rsidRDefault="00A52B78">
            <w:pPr>
              <w:jc w:val="center"/>
            </w:pPr>
            <w:r>
              <w:rPr>
                <w:b/>
                <w:bCs/>
                <w:color w:val="FFFFFF"/>
                <w:sz w:val="22"/>
                <w:szCs w:val="22"/>
              </w:rPr>
              <w:t>السيارة</w:t>
            </w:r>
          </w:p>
        </w:tc>
      </w:tr>
      <w:tr w:rsidR="003E40C5" w14:paraId="52AE9419" w14:textId="77777777">
        <w:tblPrEx>
          <w:tblCellMar>
            <w:top w:w="0" w:type="dxa"/>
            <w:bottom w:w="0" w:type="dxa"/>
          </w:tblCellMar>
        </w:tblPrEx>
        <w:tc>
          <w:tcPr>
            <w:tcW w:w="2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801CAF8" w14:textId="77777777" w:rsidR="003E40C5" w:rsidRDefault="00A52B78">
            <w:pPr>
              <w:jc w:val="right"/>
            </w:pPr>
            <w:r>
              <w:rPr>
                <w:b/>
                <w:bCs/>
                <w:color w:val="1A3A5C"/>
                <w:sz w:val="21"/>
                <w:szCs w:val="21"/>
              </w:rPr>
              <w:t>رمز المكانة الاجتماعية</w:t>
            </w:r>
          </w:p>
        </w:tc>
        <w:tc>
          <w:tcPr>
            <w:tcW w:w="350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7D4796A" w14:textId="77777777" w:rsidR="003E40C5" w:rsidRDefault="00A52B78">
            <w:pPr>
              <w:jc w:val="right"/>
            </w:pPr>
            <w:r>
              <w:rPr>
                <w:sz w:val="21"/>
                <w:szCs w:val="21"/>
              </w:rPr>
              <w:t>التمرد، الحرية، المهارة</w:t>
            </w:r>
          </w:p>
        </w:tc>
        <w:tc>
          <w:tcPr>
            <w:tcW w:w="350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D42B1E0" w14:textId="77777777" w:rsidR="003E40C5" w:rsidRDefault="00A52B78">
            <w:pPr>
              <w:jc w:val="right"/>
            </w:pPr>
            <w:r>
              <w:rPr>
                <w:sz w:val="21"/>
                <w:szCs w:val="21"/>
              </w:rPr>
              <w:t>الاستقرار، الزواج، المسؤولية</w:t>
            </w:r>
          </w:p>
        </w:tc>
      </w:tr>
      <w:tr w:rsidR="003E40C5" w14:paraId="3CA154BF" w14:textId="77777777">
        <w:tblPrEx>
          <w:tblCellMar>
            <w:top w:w="0" w:type="dxa"/>
            <w:bottom w:w="0" w:type="dxa"/>
          </w:tblCellMar>
        </w:tblPrEx>
        <w:tc>
          <w:tcPr>
            <w:tcW w:w="2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E7465FE" w14:textId="77777777" w:rsidR="003E40C5" w:rsidRDefault="00A52B78">
            <w:pPr>
              <w:jc w:val="right"/>
            </w:pPr>
            <w:r>
              <w:rPr>
                <w:b/>
                <w:bCs/>
                <w:color w:val="1A3A5C"/>
                <w:sz w:val="21"/>
                <w:szCs w:val="21"/>
              </w:rPr>
              <w:t>الكلفة الاقتصادية</w:t>
            </w:r>
          </w:p>
        </w:tc>
        <w:tc>
          <w:tcPr>
            <w:tcW w:w="3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2796BC3" w14:textId="77777777" w:rsidR="003E40C5" w:rsidRDefault="00A52B78">
            <w:pPr>
              <w:jc w:val="right"/>
            </w:pPr>
            <w:r>
              <w:rPr>
                <w:sz w:val="21"/>
                <w:szCs w:val="21"/>
              </w:rPr>
              <w:t>منخفضة نسبياً، تتيح التقسيط غير الرسمي</w:t>
            </w:r>
          </w:p>
        </w:tc>
        <w:tc>
          <w:tcPr>
            <w:tcW w:w="3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727CAF1" w14:textId="77777777" w:rsidR="003E40C5" w:rsidRDefault="00A52B78">
            <w:pPr>
              <w:jc w:val="right"/>
            </w:pPr>
            <w:r>
              <w:rPr>
                <w:sz w:val="21"/>
                <w:szCs w:val="21"/>
              </w:rPr>
              <w:t>مرتفعة جداً، تتطلب دخلاً ثابتاً</w:t>
            </w:r>
          </w:p>
        </w:tc>
      </w:tr>
      <w:tr w:rsidR="003E40C5" w14:paraId="2E915C77" w14:textId="77777777">
        <w:tblPrEx>
          <w:tblCellMar>
            <w:top w:w="0" w:type="dxa"/>
            <w:bottom w:w="0" w:type="dxa"/>
          </w:tblCellMar>
        </w:tblPrEx>
        <w:tc>
          <w:tcPr>
            <w:tcW w:w="2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43CEB05" w14:textId="77777777" w:rsidR="003E40C5" w:rsidRDefault="00A52B78">
            <w:pPr>
              <w:jc w:val="right"/>
            </w:pPr>
            <w:r>
              <w:rPr>
                <w:b/>
                <w:bCs/>
                <w:color w:val="1A3A5C"/>
                <w:sz w:val="21"/>
                <w:szCs w:val="21"/>
              </w:rPr>
              <w:t>علاقتها بالفضاء</w:t>
            </w:r>
          </w:p>
        </w:tc>
        <w:tc>
          <w:tcPr>
            <w:tcW w:w="350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010EB2C" w14:textId="77777777" w:rsidR="003E40C5" w:rsidRDefault="00A52B78">
            <w:pPr>
              <w:jc w:val="right"/>
            </w:pPr>
            <w:r>
              <w:rPr>
                <w:sz w:val="21"/>
                <w:szCs w:val="21"/>
              </w:rPr>
              <w:t>تُخترق الزحام، تمنح الحرية الحركية</w:t>
            </w:r>
          </w:p>
        </w:tc>
        <w:tc>
          <w:tcPr>
            <w:tcW w:w="350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41AADFC" w14:textId="77777777" w:rsidR="003E40C5" w:rsidRDefault="00A52B78">
            <w:pPr>
              <w:jc w:val="right"/>
            </w:pPr>
            <w:r>
              <w:rPr>
                <w:sz w:val="21"/>
                <w:szCs w:val="21"/>
              </w:rPr>
              <w:t>حبيسة الزحام، تفقد قيمتها في المدينة</w:t>
            </w:r>
          </w:p>
        </w:tc>
      </w:tr>
      <w:tr w:rsidR="003E40C5" w14:paraId="5475B9C1" w14:textId="77777777">
        <w:tblPrEx>
          <w:tblCellMar>
            <w:top w:w="0" w:type="dxa"/>
            <w:bottom w:w="0" w:type="dxa"/>
          </w:tblCellMar>
        </w:tblPrEx>
        <w:tc>
          <w:tcPr>
            <w:tcW w:w="2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9950006" w14:textId="77777777" w:rsidR="003E40C5" w:rsidRDefault="00A52B78">
            <w:pPr>
              <w:jc w:val="right"/>
            </w:pPr>
            <w:r>
              <w:rPr>
                <w:b/>
                <w:bCs/>
                <w:color w:val="1A3A5C"/>
                <w:sz w:val="21"/>
                <w:szCs w:val="21"/>
              </w:rPr>
              <w:t>الصيانة والوقود</w:t>
            </w:r>
          </w:p>
        </w:tc>
        <w:tc>
          <w:tcPr>
            <w:tcW w:w="3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42EA1E7" w14:textId="77777777" w:rsidR="003E40C5" w:rsidRDefault="00A52B78">
            <w:pPr>
              <w:jc w:val="right"/>
            </w:pPr>
            <w:r>
              <w:rPr>
                <w:sz w:val="21"/>
                <w:szCs w:val="21"/>
              </w:rPr>
              <w:t>منخفضة (3-4 ليتر/100كم)</w:t>
            </w:r>
          </w:p>
        </w:tc>
        <w:tc>
          <w:tcPr>
            <w:tcW w:w="3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C05C57B" w14:textId="77777777" w:rsidR="003E40C5" w:rsidRDefault="00A52B78">
            <w:pPr>
              <w:jc w:val="right"/>
            </w:pPr>
            <w:r>
              <w:rPr>
                <w:sz w:val="21"/>
                <w:szCs w:val="21"/>
              </w:rPr>
              <w:t>مرتفعة ومُرهقة (8-10 ليتر/100كم)</w:t>
            </w:r>
          </w:p>
        </w:tc>
      </w:tr>
      <w:tr w:rsidR="003E40C5" w14:paraId="086B1AA5" w14:textId="77777777">
        <w:tblPrEx>
          <w:tblCellMar>
            <w:top w:w="0" w:type="dxa"/>
            <w:bottom w:w="0" w:type="dxa"/>
          </w:tblCellMar>
        </w:tblPrEx>
        <w:tc>
          <w:tcPr>
            <w:tcW w:w="2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4363F230" w14:textId="77777777" w:rsidR="003E40C5" w:rsidRDefault="00A52B78">
            <w:pPr>
              <w:jc w:val="right"/>
            </w:pPr>
            <w:r>
              <w:rPr>
                <w:b/>
                <w:bCs/>
                <w:color w:val="1A3A5C"/>
                <w:sz w:val="21"/>
                <w:szCs w:val="21"/>
              </w:rPr>
              <w:t>الرمز الثقافي</w:t>
            </w:r>
          </w:p>
        </w:tc>
        <w:tc>
          <w:tcPr>
            <w:tcW w:w="350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6C4EE371" w14:textId="77777777" w:rsidR="003E40C5" w:rsidRDefault="00A52B78">
            <w:pPr>
              <w:jc w:val="right"/>
            </w:pPr>
            <w:r>
              <w:rPr>
                <w:sz w:val="21"/>
                <w:szCs w:val="21"/>
              </w:rPr>
              <w:t>"الحر" المُتمرد على الروتين</w:t>
            </w:r>
          </w:p>
        </w:tc>
        <w:tc>
          <w:tcPr>
            <w:tcW w:w="350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978553F" w14:textId="77777777" w:rsidR="003E40C5" w:rsidRDefault="00A52B78">
            <w:pPr>
              <w:jc w:val="right"/>
            </w:pPr>
            <w:r>
              <w:rPr>
                <w:sz w:val="21"/>
                <w:szCs w:val="21"/>
              </w:rPr>
              <w:t>"الرجل المُستقر" بيت وعمل</w:t>
            </w:r>
          </w:p>
        </w:tc>
      </w:tr>
      <w:tr w:rsidR="003E40C5" w14:paraId="7B6B076A" w14:textId="77777777">
        <w:tblPrEx>
          <w:tblCellMar>
            <w:top w:w="0" w:type="dxa"/>
            <w:bottom w:w="0" w:type="dxa"/>
          </w:tblCellMar>
        </w:tblPrEx>
        <w:tc>
          <w:tcPr>
            <w:tcW w:w="23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FE9EDBB" w14:textId="77777777" w:rsidR="003E40C5" w:rsidRDefault="00A52B78">
            <w:pPr>
              <w:jc w:val="right"/>
            </w:pPr>
            <w:r>
              <w:rPr>
                <w:b/>
                <w:bCs/>
                <w:color w:val="1A3A5C"/>
                <w:sz w:val="21"/>
                <w:szCs w:val="21"/>
              </w:rPr>
              <w:t>المعنى في سياق الفشل</w:t>
            </w:r>
          </w:p>
        </w:tc>
        <w:tc>
          <w:tcPr>
            <w:tcW w:w="3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C51E4D8" w14:textId="77777777" w:rsidR="003E40C5" w:rsidRDefault="00A52B78">
            <w:pPr>
              <w:jc w:val="right"/>
            </w:pPr>
            <w:r>
              <w:rPr>
                <w:sz w:val="21"/>
                <w:szCs w:val="21"/>
              </w:rPr>
              <w:t>تعويض فوري وقابل للتحقيق</w:t>
            </w:r>
          </w:p>
        </w:tc>
        <w:tc>
          <w:tcPr>
            <w:tcW w:w="3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CC4F801" w14:textId="77777777" w:rsidR="003E40C5" w:rsidRDefault="00A52B78">
            <w:pPr>
              <w:jc w:val="right"/>
            </w:pPr>
            <w:r>
              <w:rPr>
                <w:sz w:val="21"/>
                <w:szCs w:val="21"/>
              </w:rPr>
              <w:t>دليل على النجاح المُتأخر</w:t>
            </w:r>
          </w:p>
        </w:tc>
      </w:tr>
    </w:tbl>
    <w:p w14:paraId="54087188" w14:textId="77777777" w:rsidR="003E40C5" w:rsidRDefault="003E40C5">
      <w:pPr>
        <w:spacing w:before="80" w:after="60"/>
      </w:pPr>
    </w:p>
    <w:p w14:paraId="62F84A31" w14:textId="77777777" w:rsidR="003E40C5" w:rsidRDefault="00A52B78">
      <w:pPr>
        <w:spacing w:before="240" w:after="140" w:line="340" w:lineRule="auto"/>
        <w:jc w:val="right"/>
      </w:pPr>
      <w:r>
        <w:rPr>
          <w:b/>
          <w:bCs/>
          <w:color w:val="2E6DA4"/>
          <w:sz w:val="27"/>
          <w:szCs w:val="27"/>
        </w:rPr>
        <w:t>4.2 نظرية رأس المال الرمزي البديل</w:t>
      </w:r>
    </w:p>
    <w:p w14:paraId="6A432732" w14:textId="77777777" w:rsidR="003E40C5" w:rsidRDefault="00A52B78">
      <w:pPr>
        <w:spacing w:before="80" w:after="100" w:line="340" w:lineRule="auto"/>
        <w:jc w:val="both"/>
      </w:pPr>
      <w:r>
        <w:rPr>
          <w:sz w:val="23"/>
          <w:szCs w:val="23"/>
        </w:rPr>
        <w:t>وسّع بيير بورديو (Pierre Bourdieu) مفهوم رأس المال ليشمل الأشكال الرمزية (Symbolic Capital) والثقافية (Cultural Capital) والاجتماعية (Social Capital). في السياق الذي نُحلّله، يُنتج الشاب "رأس مال رمزياً بديلاً" داخل ميدان (Champ) مُغاير للميدان الرسمي.</w:t>
      </w:r>
    </w:p>
    <w:p w14:paraId="2D438A7F" w14:textId="77777777" w:rsidR="003E40C5" w:rsidRDefault="00A52B78">
      <w:pPr>
        <w:spacing w:before="80" w:after="80" w:line="340" w:lineRule="auto"/>
        <w:jc w:val="both"/>
      </w:pPr>
      <w:r>
        <w:rPr>
          <w:sz w:val="23"/>
          <w:szCs w:val="23"/>
        </w:rPr>
        <w:t>الشباب العاجز عن تراكم رأس المال الاقتصادي المُعترف به (المال، الشهادة، الوظيفة) يُعيد تعريف "حقل التنافس" بشكل إبداعي: الميدان الجديد هو الشارع، والرهانات فيه هي "الجرأة" و"المهارة" و"الشهرة الرقمية"، والاعتراف المكافئ هو الإعجابات والمشاهدات والمكانة في الحارة.</w:t>
      </w:r>
    </w:p>
    <w:p w14:paraId="1325021B" w14:textId="77777777" w:rsidR="003E40C5" w:rsidRDefault="00A52B78">
      <w:pPr>
        <w:shd w:val="clear" w:color="auto" w:fill="D6E8F7"/>
        <w:spacing w:before="80" w:after="120" w:line="320" w:lineRule="auto"/>
        <w:ind w:left="280" w:right="280"/>
        <w:jc w:val="both"/>
      </w:pPr>
      <w:r>
        <w:rPr>
          <w:color w:val="333333"/>
          <w:sz w:val="22"/>
          <w:szCs w:val="22"/>
        </w:rPr>
        <w:t>المفارقة البوردوية: هذا الرأس المال البديل، رغم أنه يُنتج بثمن بيولوجي باهظ (إصابات، وفيات)، فإنه يُقدّم قيمة اجتماعية حقيقية في إطاره المرجعي الخاص. إنه ليس "تشويهاً" بل هو منطق استجابة عقلاني داخل نظام غير عادل.</w:t>
      </w:r>
    </w:p>
    <w:p w14:paraId="0DCE82BB" w14:textId="77777777" w:rsidR="003E40C5" w:rsidRDefault="003E40C5">
      <w:pPr>
        <w:spacing w:before="60" w:after="60"/>
      </w:pPr>
    </w:p>
    <w:p w14:paraId="4679E6E5" w14:textId="77777777" w:rsidR="003E40C5" w:rsidRDefault="00A52B78">
      <w:pPr>
        <w:spacing w:before="240" w:after="140" w:line="340" w:lineRule="auto"/>
        <w:jc w:val="right"/>
      </w:pPr>
      <w:r>
        <w:rPr>
          <w:b/>
          <w:bCs/>
          <w:color w:val="2E6DA4"/>
          <w:sz w:val="27"/>
          <w:szCs w:val="27"/>
        </w:rPr>
        <w:t>4.3 اقتصاد الانتباه والمنصات الرقمية</w:t>
      </w:r>
    </w:p>
    <w:p w14:paraId="4D9BCA6A" w14:textId="77777777" w:rsidR="003E40C5" w:rsidRDefault="00A52B78">
      <w:pPr>
        <w:spacing w:before="80" w:after="100" w:line="340" w:lineRule="auto"/>
        <w:jc w:val="both"/>
      </w:pPr>
      <w:r>
        <w:rPr>
          <w:sz w:val="23"/>
          <w:szCs w:val="23"/>
        </w:rPr>
        <w:t>يُضيف الاقتصاد الرقمي (Digital Economy) بُعداً جديداً كلياً لا يمكن تجاهله. منصات مثل تيك توك تُشكّل "سوق انتباه" (Attention Market) حيث المحتوى الأكثر إثارة للمشاعر القصوى يحصل على أوسع انتشار خوارزمي.</w:t>
      </w:r>
    </w:p>
    <w:p w14:paraId="6CB11B92" w14:textId="77777777" w:rsidR="003E40C5" w:rsidRDefault="00A52B78">
      <w:pPr>
        <w:spacing w:before="80" w:after="120" w:line="340" w:lineRule="auto"/>
        <w:jc w:val="both"/>
      </w:pPr>
      <w:r>
        <w:rPr>
          <w:sz w:val="23"/>
          <w:szCs w:val="23"/>
        </w:rPr>
        <w:t>هذا يُنشئ دورة تغذية راجعة مُقلقة: الخطر الأكبر → المشاهدات الأوسع → الاعتراف الأكبر → دفع نحو مستوى أعلى من الخطر. الشاب يُتاجر بجسده حرفياً في سوق الانتباه الرقمي، وهذه تجارة غير متكافئة تُربح فيها الشركات ويخسر فيها الجسد.</w:t>
      </w:r>
    </w:p>
    <w:p w14:paraId="617BB2CA" w14:textId="77777777" w:rsidR="003E40C5" w:rsidRDefault="00A52B78">
      <w:r>
        <w:br w:type="page"/>
      </w:r>
    </w:p>
    <w:p w14:paraId="6186C7DF" w14:textId="77777777" w:rsidR="003E40C5" w:rsidRDefault="00A52B78">
      <w:pPr>
        <w:pBdr>
          <w:bottom w:val="single" w:sz="8" w:space="4" w:color="2E6DA4"/>
        </w:pBdr>
        <w:spacing w:before="320" w:after="200" w:line="360" w:lineRule="auto"/>
        <w:jc w:val="right"/>
      </w:pPr>
      <w:r>
        <w:rPr>
          <w:b/>
          <w:bCs/>
          <w:color w:val="1A3A5C"/>
          <w:sz w:val="32"/>
          <w:szCs w:val="32"/>
        </w:rPr>
        <w:t>5. الدراسة المقارنة: من تونس إلى العالم</w:t>
      </w:r>
    </w:p>
    <w:p w14:paraId="0AAEA3B6" w14:textId="77777777" w:rsidR="003E40C5" w:rsidRDefault="003E40C5">
      <w:pPr>
        <w:spacing w:before="60" w:after="60"/>
      </w:pPr>
    </w:p>
    <w:p w14:paraId="68CB2D98" w14:textId="77777777" w:rsidR="003E40C5" w:rsidRDefault="00A52B78">
      <w:pPr>
        <w:spacing w:before="240" w:after="140" w:line="340" w:lineRule="auto"/>
        <w:jc w:val="right"/>
      </w:pPr>
      <w:r>
        <w:rPr>
          <w:b/>
          <w:bCs/>
          <w:color w:val="2E6DA4"/>
          <w:sz w:val="27"/>
          <w:szCs w:val="27"/>
        </w:rPr>
        <w:t>5.1 نماذج عالمية مقارنة</w:t>
      </w:r>
    </w:p>
    <w:p w14:paraId="55A10E10" w14:textId="77777777" w:rsidR="003E40C5" w:rsidRDefault="003E40C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86"/>
        <w:gridCol w:w="2387"/>
        <w:gridCol w:w="2387"/>
      </w:tblGrid>
      <w:tr w:rsidR="003E40C5" w14:paraId="22E040EA" w14:textId="77777777">
        <w:tblPrEx>
          <w:tblCellMar>
            <w:top w:w="0" w:type="dxa"/>
            <w:bottom w:w="0" w:type="dxa"/>
          </w:tblCellMar>
        </w:tblPrEx>
        <w:tc>
          <w:tcPr>
            <w:tcW w:w="22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1EA56098" w14:textId="77777777" w:rsidR="003E40C5" w:rsidRDefault="00A52B78">
            <w:pPr>
              <w:jc w:val="center"/>
            </w:pPr>
            <w:r>
              <w:rPr>
                <w:b/>
                <w:bCs/>
                <w:color w:val="FFFFFF"/>
                <w:sz w:val="22"/>
                <w:szCs w:val="22"/>
              </w:rPr>
              <w:t>المتغير</w:t>
            </w:r>
          </w:p>
        </w:tc>
        <w:tc>
          <w:tcPr>
            <w:tcW w:w="2386"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49776675" w14:textId="77777777" w:rsidR="003E40C5" w:rsidRDefault="00A52B78">
            <w:pPr>
              <w:jc w:val="center"/>
            </w:pPr>
            <w:r>
              <w:rPr>
                <w:b/>
                <w:bCs/>
                <w:color w:val="FFFFFF"/>
                <w:sz w:val="22"/>
                <w:szCs w:val="22"/>
              </w:rPr>
              <w:t>تونس / المغرب العربي</w:t>
            </w:r>
          </w:p>
        </w:tc>
        <w:tc>
          <w:tcPr>
            <w:tcW w:w="2387"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04A27C09" w14:textId="77777777" w:rsidR="003E40C5" w:rsidRDefault="00A52B78">
            <w:pPr>
              <w:jc w:val="center"/>
            </w:pPr>
            <w:r>
              <w:rPr>
                <w:b/>
                <w:bCs/>
                <w:color w:val="FFFFFF"/>
                <w:sz w:val="22"/>
                <w:szCs w:val="22"/>
              </w:rPr>
              <w:t>الولايات المتحدة (أحياء السود/اللاتينو)</w:t>
            </w:r>
          </w:p>
        </w:tc>
        <w:tc>
          <w:tcPr>
            <w:tcW w:w="2387"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687D1D77" w14:textId="77777777" w:rsidR="003E40C5" w:rsidRDefault="00A52B78">
            <w:pPr>
              <w:jc w:val="center"/>
            </w:pPr>
            <w:r>
              <w:rPr>
                <w:b/>
                <w:bCs/>
                <w:color w:val="FFFFFF"/>
                <w:sz w:val="22"/>
                <w:szCs w:val="22"/>
              </w:rPr>
              <w:t>الهند/باكستان</w:t>
            </w:r>
          </w:p>
        </w:tc>
      </w:tr>
      <w:tr w:rsidR="003E40C5" w14:paraId="5D7BECA1" w14:textId="77777777">
        <w:tblPrEx>
          <w:tblCellMar>
            <w:top w:w="0" w:type="dxa"/>
            <w:bottom w:w="0" w:type="dxa"/>
          </w:tblCellMar>
        </w:tblPrEx>
        <w:tc>
          <w:tcPr>
            <w:tcW w:w="22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0270CF4" w14:textId="77777777" w:rsidR="003E40C5" w:rsidRDefault="00A52B78">
            <w:pPr>
              <w:jc w:val="right"/>
            </w:pPr>
            <w:r>
              <w:rPr>
                <w:b/>
                <w:bCs/>
                <w:color w:val="1A3A5C"/>
                <w:sz w:val="21"/>
                <w:szCs w:val="21"/>
              </w:rPr>
              <w:t>السياق الاقتصادي</w:t>
            </w:r>
          </w:p>
        </w:tc>
        <w:tc>
          <w:tcPr>
            <w:tcW w:w="2386"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528AC1B" w14:textId="77777777" w:rsidR="003E40C5" w:rsidRDefault="00A52B78">
            <w:pPr>
              <w:jc w:val="right"/>
            </w:pPr>
            <w:r>
              <w:rPr>
                <w:sz w:val="21"/>
                <w:szCs w:val="21"/>
              </w:rPr>
              <w:t>بطالة شباب، تهميش ما بعد استعماري</w:t>
            </w:r>
          </w:p>
        </w:tc>
        <w:tc>
          <w:tcPr>
            <w:tcW w:w="2387"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45F5BE1" w14:textId="77777777" w:rsidR="003E40C5" w:rsidRDefault="00A52B78">
            <w:pPr>
              <w:jc w:val="right"/>
            </w:pPr>
            <w:r>
              <w:rPr>
                <w:sz w:val="21"/>
                <w:szCs w:val="21"/>
              </w:rPr>
              <w:t>عنصرية هيكلية، فرص منعدمة</w:t>
            </w:r>
          </w:p>
        </w:tc>
        <w:tc>
          <w:tcPr>
            <w:tcW w:w="2387"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95498F0" w14:textId="77777777" w:rsidR="003E40C5" w:rsidRDefault="00A52B78">
            <w:pPr>
              <w:jc w:val="right"/>
            </w:pPr>
            <w:r>
              <w:rPr>
                <w:sz w:val="21"/>
                <w:szCs w:val="21"/>
              </w:rPr>
              <w:t>تفاوت طبقي حاد، ثقافة بوليوود</w:t>
            </w:r>
          </w:p>
        </w:tc>
      </w:tr>
      <w:tr w:rsidR="003E40C5" w14:paraId="3A3146E4" w14:textId="77777777">
        <w:tblPrEx>
          <w:tblCellMar>
            <w:top w:w="0" w:type="dxa"/>
            <w:bottom w:w="0" w:type="dxa"/>
          </w:tblCellMar>
        </w:tblPrEx>
        <w:tc>
          <w:tcPr>
            <w:tcW w:w="22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7631B43A" w14:textId="77777777" w:rsidR="003E40C5" w:rsidRDefault="00A52B78">
            <w:pPr>
              <w:jc w:val="right"/>
            </w:pPr>
            <w:r>
              <w:rPr>
                <w:b/>
                <w:bCs/>
                <w:color w:val="1A3A5C"/>
                <w:sz w:val="21"/>
                <w:szCs w:val="21"/>
              </w:rPr>
              <w:t>الطابع الثقافي</w:t>
            </w:r>
          </w:p>
        </w:tc>
        <w:tc>
          <w:tcPr>
            <w:tcW w:w="2386"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6BDC09CE" w14:textId="77777777" w:rsidR="003E40C5" w:rsidRDefault="00A52B78">
            <w:pPr>
              <w:jc w:val="right"/>
            </w:pPr>
            <w:r>
              <w:rPr>
                <w:sz w:val="21"/>
                <w:szCs w:val="21"/>
              </w:rPr>
              <w:t>شعبي عفوي، "حومة" على عجلات</w:t>
            </w:r>
          </w:p>
        </w:tc>
        <w:tc>
          <w:tcPr>
            <w:tcW w:w="2387"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737123E3" w14:textId="77777777" w:rsidR="003E40C5" w:rsidRDefault="00A52B78">
            <w:pPr>
              <w:jc w:val="right"/>
            </w:pPr>
            <w:r>
              <w:rPr>
                <w:sz w:val="21"/>
                <w:szCs w:val="21"/>
              </w:rPr>
              <w:t>ارتباط بالعصابات الاستعراضية</w:t>
            </w:r>
          </w:p>
        </w:tc>
        <w:tc>
          <w:tcPr>
            <w:tcW w:w="2387"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67AA5A3" w14:textId="77777777" w:rsidR="003E40C5" w:rsidRDefault="00A52B78">
            <w:pPr>
              <w:jc w:val="right"/>
            </w:pPr>
            <w:r>
              <w:rPr>
                <w:sz w:val="21"/>
                <w:szCs w:val="21"/>
              </w:rPr>
              <w:t>إعادة تمثيل أبطال السينما (فيلم Dhoom)</w:t>
            </w:r>
          </w:p>
        </w:tc>
      </w:tr>
      <w:tr w:rsidR="003E40C5" w14:paraId="08B2E172" w14:textId="77777777">
        <w:tblPrEx>
          <w:tblCellMar>
            <w:top w:w="0" w:type="dxa"/>
            <w:bottom w:w="0" w:type="dxa"/>
          </w:tblCellMar>
        </w:tblPrEx>
        <w:tc>
          <w:tcPr>
            <w:tcW w:w="22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F796928" w14:textId="77777777" w:rsidR="003E40C5" w:rsidRDefault="00A52B78">
            <w:pPr>
              <w:jc w:val="right"/>
            </w:pPr>
            <w:r>
              <w:rPr>
                <w:b/>
                <w:bCs/>
                <w:color w:val="1A3A5C"/>
                <w:sz w:val="21"/>
                <w:szCs w:val="21"/>
              </w:rPr>
              <w:t>دور الرقمي</w:t>
            </w:r>
          </w:p>
        </w:tc>
        <w:tc>
          <w:tcPr>
            <w:tcW w:w="2386"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3FC3CC38" w14:textId="77777777" w:rsidR="003E40C5" w:rsidRDefault="00A52B78">
            <w:pPr>
              <w:jc w:val="right"/>
            </w:pPr>
            <w:r>
              <w:rPr>
                <w:sz w:val="21"/>
                <w:szCs w:val="21"/>
              </w:rPr>
              <w:t>تيك توك كمسرح أساسي</w:t>
            </w:r>
          </w:p>
        </w:tc>
        <w:tc>
          <w:tcPr>
            <w:tcW w:w="2387"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57E4C05" w14:textId="77777777" w:rsidR="003E40C5" w:rsidRDefault="00A52B78">
            <w:pPr>
              <w:jc w:val="right"/>
            </w:pPr>
            <w:r>
              <w:rPr>
                <w:sz w:val="21"/>
                <w:szCs w:val="21"/>
              </w:rPr>
              <w:t>YouTube, Instagram رئيسية</w:t>
            </w:r>
          </w:p>
        </w:tc>
        <w:tc>
          <w:tcPr>
            <w:tcW w:w="2387"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69374730" w14:textId="77777777" w:rsidR="003E40C5" w:rsidRDefault="00A52B78">
            <w:pPr>
              <w:jc w:val="right"/>
            </w:pPr>
            <w:r>
              <w:rPr>
                <w:sz w:val="21"/>
                <w:szCs w:val="21"/>
              </w:rPr>
              <w:t>Facebook و YouTube محلي</w:t>
            </w:r>
          </w:p>
        </w:tc>
      </w:tr>
      <w:tr w:rsidR="003E40C5" w14:paraId="0F0F69CC" w14:textId="77777777">
        <w:tblPrEx>
          <w:tblCellMar>
            <w:top w:w="0" w:type="dxa"/>
            <w:bottom w:w="0" w:type="dxa"/>
          </w:tblCellMar>
        </w:tblPrEx>
        <w:tc>
          <w:tcPr>
            <w:tcW w:w="22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17F8032" w14:textId="77777777" w:rsidR="003E40C5" w:rsidRDefault="00A52B78">
            <w:pPr>
              <w:jc w:val="right"/>
            </w:pPr>
            <w:r>
              <w:rPr>
                <w:b/>
                <w:bCs/>
                <w:color w:val="1A3A5C"/>
                <w:sz w:val="21"/>
                <w:szCs w:val="21"/>
              </w:rPr>
              <w:t>موقف الدولة</w:t>
            </w:r>
          </w:p>
        </w:tc>
        <w:tc>
          <w:tcPr>
            <w:tcW w:w="2386"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365D755" w14:textId="77777777" w:rsidR="003E40C5" w:rsidRDefault="00A52B78">
            <w:pPr>
              <w:jc w:val="right"/>
            </w:pPr>
            <w:r>
              <w:rPr>
                <w:sz w:val="21"/>
                <w:szCs w:val="21"/>
              </w:rPr>
              <w:t>تسامح ضمني / فراغ سلطوي</w:t>
            </w:r>
          </w:p>
        </w:tc>
        <w:tc>
          <w:tcPr>
            <w:tcW w:w="2387"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5029134" w14:textId="77777777" w:rsidR="003E40C5" w:rsidRDefault="00A52B78">
            <w:pPr>
              <w:jc w:val="right"/>
            </w:pPr>
            <w:r>
              <w:rPr>
                <w:sz w:val="21"/>
                <w:szCs w:val="21"/>
              </w:rPr>
              <w:t>قمع انتقائي بدوافع عرقية</w:t>
            </w:r>
          </w:p>
        </w:tc>
        <w:tc>
          <w:tcPr>
            <w:tcW w:w="2387"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E8929A5" w14:textId="77777777" w:rsidR="003E40C5" w:rsidRDefault="00A52B78">
            <w:pPr>
              <w:jc w:val="right"/>
            </w:pPr>
            <w:r>
              <w:rPr>
                <w:sz w:val="21"/>
                <w:szCs w:val="21"/>
              </w:rPr>
              <w:t>تسامح ثقافي إلى حد ما</w:t>
            </w:r>
          </w:p>
        </w:tc>
      </w:tr>
      <w:tr w:rsidR="003E40C5" w14:paraId="7B6D60DF" w14:textId="77777777">
        <w:tblPrEx>
          <w:tblCellMar>
            <w:top w:w="0" w:type="dxa"/>
            <w:bottom w:w="0" w:type="dxa"/>
          </w:tblCellMar>
        </w:tblPrEx>
        <w:tc>
          <w:tcPr>
            <w:tcW w:w="22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D5A7C31" w14:textId="77777777" w:rsidR="003E40C5" w:rsidRDefault="00A52B78">
            <w:pPr>
              <w:jc w:val="right"/>
            </w:pPr>
            <w:r>
              <w:rPr>
                <w:b/>
                <w:bCs/>
                <w:color w:val="1A3A5C"/>
                <w:sz w:val="21"/>
                <w:szCs w:val="21"/>
              </w:rPr>
              <w:t>بُعد الجنوس</w:t>
            </w:r>
          </w:p>
        </w:tc>
        <w:tc>
          <w:tcPr>
            <w:tcW w:w="2386"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735B4FC5" w14:textId="77777777" w:rsidR="003E40C5" w:rsidRDefault="00A52B78">
            <w:pPr>
              <w:jc w:val="right"/>
            </w:pPr>
            <w:r>
              <w:rPr>
                <w:sz w:val="21"/>
                <w:szCs w:val="21"/>
              </w:rPr>
              <w:t>ذكوري صرف في الفضاء العام</w:t>
            </w:r>
          </w:p>
        </w:tc>
        <w:tc>
          <w:tcPr>
            <w:tcW w:w="2387"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1102EF5" w14:textId="77777777" w:rsidR="003E40C5" w:rsidRDefault="00A52B78">
            <w:pPr>
              <w:jc w:val="right"/>
            </w:pPr>
            <w:r>
              <w:rPr>
                <w:sz w:val="21"/>
                <w:szCs w:val="21"/>
              </w:rPr>
              <w:t>ذكوري مع نماذج نسوية ناشئة</w:t>
            </w:r>
          </w:p>
        </w:tc>
        <w:tc>
          <w:tcPr>
            <w:tcW w:w="2387"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34E6202E" w14:textId="77777777" w:rsidR="003E40C5" w:rsidRDefault="00A52B78">
            <w:pPr>
              <w:jc w:val="right"/>
            </w:pPr>
            <w:r>
              <w:rPr>
                <w:sz w:val="21"/>
                <w:szCs w:val="21"/>
              </w:rPr>
              <w:t>ذكوري مُعزَّز بالنموذج السينمائي</w:t>
            </w:r>
          </w:p>
        </w:tc>
      </w:tr>
    </w:tbl>
    <w:p w14:paraId="2E2A34E3" w14:textId="77777777" w:rsidR="003E40C5" w:rsidRDefault="003E40C5">
      <w:pPr>
        <w:spacing w:before="80" w:after="60"/>
      </w:pPr>
    </w:p>
    <w:p w14:paraId="243BB545" w14:textId="77777777" w:rsidR="003E40C5" w:rsidRDefault="00A52B78">
      <w:pPr>
        <w:spacing w:before="240" w:after="140" w:line="340" w:lineRule="auto"/>
        <w:jc w:val="right"/>
      </w:pPr>
      <w:r>
        <w:rPr>
          <w:b/>
          <w:bCs/>
          <w:color w:val="2E6DA4"/>
          <w:sz w:val="27"/>
          <w:szCs w:val="27"/>
        </w:rPr>
        <w:t>5.2 الخاصية التونسية: ما يجعل "الستينت" مُغايراً</w:t>
      </w:r>
    </w:p>
    <w:p w14:paraId="21A5D283" w14:textId="77777777" w:rsidR="003E40C5" w:rsidRDefault="00A52B78">
      <w:pPr>
        <w:spacing w:before="80" w:after="80" w:line="340" w:lineRule="auto"/>
        <w:jc w:val="both"/>
      </w:pPr>
      <w:r>
        <w:rPr>
          <w:sz w:val="23"/>
          <w:szCs w:val="23"/>
        </w:rPr>
        <w:t>رغم عالمية الظاهرة، ثمة خصائص بُنيوية تجعل الحالة التونسية مُتميّزة:</w:t>
      </w:r>
    </w:p>
    <w:p w14:paraId="7189B923" w14:textId="77777777" w:rsidR="003E40C5" w:rsidRDefault="00A52B78">
      <w:pPr>
        <w:spacing w:before="60" w:after="60" w:line="320" w:lineRule="auto"/>
        <w:ind w:right="360"/>
        <w:jc w:val="right"/>
      </w:pPr>
      <w:r>
        <w:rPr>
          <w:color w:val="1A1A1A"/>
          <w:sz w:val="23"/>
          <w:szCs w:val="23"/>
        </w:rPr>
        <w:t>• غياب الطابع الإجرامي المنظَّم: الستنيت التونسي ليس مُرتبطاً ببنية عصابية بل هو ظاهرة "شعبية-عفوية" تنشأ في الحي وتعود إليه.</w:t>
      </w:r>
    </w:p>
    <w:p w14:paraId="4B9073D8" w14:textId="77777777" w:rsidR="003E40C5" w:rsidRDefault="00A52B78">
      <w:pPr>
        <w:spacing w:before="60" w:after="60" w:line="320" w:lineRule="auto"/>
        <w:ind w:right="360"/>
        <w:jc w:val="right"/>
      </w:pPr>
      <w:r>
        <w:rPr>
          <w:color w:val="1A1A1A"/>
          <w:sz w:val="23"/>
          <w:szCs w:val="23"/>
        </w:rPr>
        <w:t>• الثقافة الجغرافية التونسية: الشارع التونسي المُعمَّر بالكثافة والنسيج الاجتماعي المُتشابك يجعل الخطر أشد وأكثر اتصالاً بالمجتمع.</w:t>
      </w:r>
    </w:p>
    <w:p w14:paraId="7FB8F02B" w14:textId="77777777" w:rsidR="003E40C5" w:rsidRDefault="00A52B78">
      <w:pPr>
        <w:spacing w:before="60" w:after="60" w:line="320" w:lineRule="auto"/>
        <w:ind w:right="360"/>
        <w:jc w:val="right"/>
      </w:pPr>
      <w:r>
        <w:rPr>
          <w:color w:val="1A1A1A"/>
          <w:sz w:val="23"/>
          <w:szCs w:val="23"/>
        </w:rPr>
        <w:t>• الفراغ السلطوي ما بعد 2011: غياب الضبط البوليسي الذي كان سمة الدولة قبل الثورة خلق مساحة "لا تُوضَع فيها قوانين" في الفضاء العمومي، ويستغلها الشباب.</w:t>
      </w:r>
    </w:p>
    <w:p w14:paraId="74E2A57E" w14:textId="77777777" w:rsidR="003E40C5" w:rsidRDefault="00A52B78">
      <w:pPr>
        <w:spacing w:before="60" w:after="60" w:line="320" w:lineRule="auto"/>
        <w:ind w:right="360"/>
        <w:jc w:val="right"/>
      </w:pPr>
      <w:r>
        <w:rPr>
          <w:color w:val="1A1A1A"/>
          <w:sz w:val="23"/>
          <w:szCs w:val="23"/>
        </w:rPr>
        <w:t>• البُعد الذكوري-الجهوي: في مدن كصفاقس وسوسة، ترتبط الظاهرة بمفهوم "شرف الحومة"، وليس فقط بالفردانية.</w:t>
      </w:r>
    </w:p>
    <w:p w14:paraId="35F3C6FD" w14:textId="77777777" w:rsidR="003E40C5" w:rsidRDefault="00A52B78">
      <w:r>
        <w:br w:type="page"/>
      </w:r>
    </w:p>
    <w:p w14:paraId="6425A742" w14:textId="77777777" w:rsidR="003E40C5" w:rsidRDefault="00A52B78">
      <w:pPr>
        <w:pBdr>
          <w:bottom w:val="single" w:sz="8" w:space="4" w:color="2E6DA4"/>
        </w:pBdr>
        <w:spacing w:before="320" w:after="200" w:line="360" w:lineRule="auto"/>
        <w:jc w:val="right"/>
      </w:pPr>
      <w:r>
        <w:rPr>
          <w:b/>
          <w:bCs/>
          <w:color w:val="1A3A5C"/>
          <w:sz w:val="32"/>
          <w:szCs w:val="32"/>
        </w:rPr>
        <w:t>6. الفضاء العمومي وسياسات الجسد</w:t>
      </w:r>
    </w:p>
    <w:p w14:paraId="138E7688" w14:textId="77777777" w:rsidR="003E40C5" w:rsidRDefault="003E40C5">
      <w:pPr>
        <w:spacing w:before="60" w:after="60"/>
      </w:pPr>
    </w:p>
    <w:p w14:paraId="5B65F3EE" w14:textId="77777777" w:rsidR="003E40C5" w:rsidRDefault="00A52B78">
      <w:pPr>
        <w:spacing w:before="240" w:after="140" w:line="340" w:lineRule="auto"/>
        <w:jc w:val="right"/>
      </w:pPr>
      <w:r>
        <w:rPr>
          <w:b/>
          <w:bCs/>
          <w:color w:val="2E6DA4"/>
          <w:sz w:val="27"/>
          <w:szCs w:val="27"/>
        </w:rPr>
        <w:t>6.1 أزمة القانون الرمزي للدولة</w:t>
      </w:r>
    </w:p>
    <w:p w14:paraId="714BD7F6" w14:textId="77777777" w:rsidR="003E40C5" w:rsidRDefault="00A52B78">
      <w:pPr>
        <w:spacing w:before="80" w:after="100" w:line="340" w:lineRule="auto"/>
        <w:jc w:val="both"/>
      </w:pPr>
      <w:r>
        <w:rPr>
          <w:sz w:val="23"/>
          <w:szCs w:val="23"/>
        </w:rPr>
        <w:t>يُميّز علماء الاجتماع بين "القانون الوظيفي" (الأنظمة والعقوبات) و"القانون الرمزي" (سلطة الدولة في أن تُطاع لأنها مصدر للشرعية). الثاني أهم من الأول: دولة قادرة على تطبيق القانون دون شرعية رمزية لا تُبني أجيالاً مُلتزمة.</w:t>
      </w:r>
    </w:p>
    <w:p w14:paraId="05A8E4CB" w14:textId="77777777" w:rsidR="003E40C5" w:rsidRDefault="00A52B78">
      <w:pPr>
        <w:spacing w:before="80" w:after="100" w:line="340" w:lineRule="auto"/>
        <w:jc w:val="both"/>
      </w:pPr>
      <w:r>
        <w:rPr>
          <w:sz w:val="23"/>
          <w:szCs w:val="23"/>
        </w:rPr>
        <w:t>في السياق التونسي، يُلاحَظ انهيار مُتراكم للقانون الرمزي: الشاب الذي يقود دون خوذة لا يفعل ذلك لأنه لا يعلم بالقانون، بل لأنه لا يعترف بشرعية ذلك القانون في حقّه. قانون لا يُطبَّق انتهت سلطته الرمزية.</w:t>
      </w:r>
    </w:p>
    <w:p w14:paraId="3B5DECEE" w14:textId="77777777" w:rsidR="003E40C5" w:rsidRDefault="00A52B78">
      <w:pPr>
        <w:shd w:val="clear" w:color="auto" w:fill="D6E8F7"/>
        <w:spacing w:before="80" w:after="120" w:line="320" w:lineRule="auto"/>
        <w:ind w:left="280" w:right="280"/>
        <w:jc w:val="both"/>
      </w:pPr>
      <w:r>
        <w:rPr>
          <w:color w:val="333333"/>
          <w:sz w:val="22"/>
          <w:szCs w:val="22"/>
        </w:rPr>
        <w:t>التناقض: الدولة التونسية تُطالب الشباب بالامتثال لقانون مروري بينما تعجز عن توفير الحد الأدنى من العقد الاجتماعي — عمل، كرامة، مستقبل. الامتثال في غياب العدل يُقرأ كـ"عبودية اختيارية" في قاموس الشارع.</w:t>
      </w:r>
    </w:p>
    <w:p w14:paraId="1D572E3F" w14:textId="77777777" w:rsidR="003E40C5" w:rsidRDefault="003E40C5">
      <w:pPr>
        <w:spacing w:before="60" w:after="60"/>
      </w:pPr>
    </w:p>
    <w:p w14:paraId="3495DAD0" w14:textId="77777777" w:rsidR="003E40C5" w:rsidRDefault="00A52B78">
      <w:pPr>
        <w:spacing w:before="240" w:after="140" w:line="340" w:lineRule="auto"/>
        <w:jc w:val="right"/>
      </w:pPr>
      <w:r>
        <w:rPr>
          <w:b/>
          <w:bCs/>
          <w:color w:val="2E6DA4"/>
          <w:sz w:val="27"/>
          <w:szCs w:val="27"/>
        </w:rPr>
        <w:t>6.2 مُثلَّث الأزمة: الدولة، الشاب، الفضاء</w:t>
      </w:r>
    </w:p>
    <w:p w14:paraId="73F832AE" w14:textId="77777777" w:rsidR="003E40C5" w:rsidRDefault="003E40C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860"/>
      </w:tblGrid>
      <w:tr w:rsidR="003E40C5" w14:paraId="336EEBB6" w14:textId="77777777">
        <w:tblPrEx>
          <w:tblCellMar>
            <w:top w:w="0" w:type="dxa"/>
            <w:bottom w:w="0" w:type="dxa"/>
          </w:tblCellMar>
        </w:tblPrEx>
        <w:tc>
          <w:tcPr>
            <w:tcW w:w="25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13BD243E" w14:textId="77777777" w:rsidR="003E40C5" w:rsidRDefault="00A52B78">
            <w:pPr>
              <w:jc w:val="center"/>
            </w:pPr>
            <w:r>
              <w:rPr>
                <w:b/>
                <w:bCs/>
                <w:color w:val="FFFFFF"/>
                <w:sz w:val="22"/>
                <w:szCs w:val="22"/>
              </w:rPr>
              <w:t>الطرف</w:t>
            </w:r>
          </w:p>
        </w:tc>
        <w:tc>
          <w:tcPr>
            <w:tcW w:w="686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5A2408B5" w14:textId="77777777" w:rsidR="003E40C5" w:rsidRDefault="00A52B78">
            <w:pPr>
              <w:jc w:val="center"/>
            </w:pPr>
            <w:r>
              <w:rPr>
                <w:b/>
                <w:bCs/>
                <w:color w:val="FFFFFF"/>
                <w:sz w:val="22"/>
                <w:szCs w:val="22"/>
              </w:rPr>
              <w:t>الموقف والاستراتيجية</w:t>
            </w:r>
          </w:p>
        </w:tc>
      </w:tr>
      <w:tr w:rsidR="003E40C5" w14:paraId="451CAEF1" w14:textId="77777777">
        <w:tblPrEx>
          <w:tblCellMar>
            <w:top w:w="0" w:type="dxa"/>
            <w:bottom w:w="0" w:type="dxa"/>
          </w:tblCellMar>
        </w:tblPrEx>
        <w:tc>
          <w:tcPr>
            <w:tcW w:w="2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4155646F" w14:textId="77777777" w:rsidR="003E40C5" w:rsidRDefault="00A52B78">
            <w:pPr>
              <w:jc w:val="right"/>
            </w:pPr>
            <w:r>
              <w:rPr>
                <w:b/>
                <w:bCs/>
                <w:color w:val="1A3A5C"/>
                <w:sz w:val="21"/>
                <w:szCs w:val="21"/>
              </w:rPr>
              <w:t>الدولة</w:t>
            </w:r>
          </w:p>
        </w:tc>
        <w:tc>
          <w:tcPr>
            <w:tcW w:w="686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3FABC76" w14:textId="77777777" w:rsidR="003E40C5" w:rsidRDefault="00A52B78">
            <w:pPr>
              <w:jc w:val="right"/>
            </w:pPr>
            <w:r>
              <w:rPr>
                <w:sz w:val="21"/>
                <w:szCs w:val="21"/>
              </w:rPr>
              <w:t>تتمسك بسيادتها الشكلية على الفضاء العمومي مع غياب تطبيق فعلي → فراغ سلطوي يُشكّل دعوة ضمنية للتجاوز</w:t>
            </w:r>
          </w:p>
        </w:tc>
      </w:tr>
      <w:tr w:rsidR="003E40C5" w14:paraId="04DBE505" w14:textId="77777777">
        <w:tblPrEx>
          <w:tblCellMar>
            <w:top w:w="0" w:type="dxa"/>
            <w:bottom w:w="0" w:type="dxa"/>
          </w:tblCellMar>
        </w:tblPrEx>
        <w:tc>
          <w:tcPr>
            <w:tcW w:w="2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7870369A" w14:textId="77777777" w:rsidR="003E40C5" w:rsidRDefault="00A52B78">
            <w:pPr>
              <w:jc w:val="right"/>
            </w:pPr>
            <w:r>
              <w:rPr>
                <w:b/>
                <w:bCs/>
                <w:color w:val="1A3A5C"/>
                <w:sz w:val="21"/>
                <w:szCs w:val="21"/>
              </w:rPr>
              <w:t>الشاب المُمارِس</w:t>
            </w:r>
          </w:p>
        </w:tc>
        <w:tc>
          <w:tcPr>
            <w:tcW w:w="68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3EBB719" w14:textId="77777777" w:rsidR="003E40C5" w:rsidRDefault="00A52B78">
            <w:pPr>
              <w:jc w:val="right"/>
            </w:pPr>
            <w:r>
              <w:rPr>
                <w:sz w:val="21"/>
                <w:szCs w:val="21"/>
              </w:rPr>
              <w:t>يُعيد ملء الفراغ السلطوي بقوانين الشارع وثقافة الحارة → الفضاء العمومي "مُستعاد" رمزياً</w:t>
            </w:r>
          </w:p>
        </w:tc>
      </w:tr>
      <w:tr w:rsidR="003E40C5" w14:paraId="48F1E048" w14:textId="77777777">
        <w:tblPrEx>
          <w:tblCellMar>
            <w:top w:w="0" w:type="dxa"/>
            <w:bottom w:w="0" w:type="dxa"/>
          </w:tblCellMar>
        </w:tblPrEx>
        <w:tc>
          <w:tcPr>
            <w:tcW w:w="2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2EDA75E" w14:textId="77777777" w:rsidR="003E40C5" w:rsidRDefault="00A52B78">
            <w:pPr>
              <w:jc w:val="right"/>
            </w:pPr>
            <w:r>
              <w:rPr>
                <w:b/>
                <w:bCs/>
                <w:color w:val="1A3A5C"/>
                <w:sz w:val="21"/>
                <w:szCs w:val="21"/>
              </w:rPr>
              <w:t>الفضاء العمومي</w:t>
            </w:r>
          </w:p>
        </w:tc>
        <w:tc>
          <w:tcPr>
            <w:tcW w:w="686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723A7D9D" w14:textId="77777777" w:rsidR="003E40C5" w:rsidRDefault="00A52B78">
            <w:pPr>
              <w:jc w:val="right"/>
            </w:pPr>
            <w:r>
              <w:rPr>
                <w:sz w:val="21"/>
                <w:szCs w:val="21"/>
              </w:rPr>
              <w:t>يتحوّل من فضاء تداول مشترك إلى مسرح للمفاوضة حول الهوية والسلطة والمعنى</w:t>
            </w:r>
          </w:p>
        </w:tc>
      </w:tr>
      <w:tr w:rsidR="003E40C5" w14:paraId="36896C26" w14:textId="77777777">
        <w:tblPrEx>
          <w:tblCellMar>
            <w:top w:w="0" w:type="dxa"/>
            <w:bottom w:w="0" w:type="dxa"/>
          </w:tblCellMar>
        </w:tblPrEx>
        <w:tc>
          <w:tcPr>
            <w:tcW w:w="2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0235F850" w14:textId="77777777" w:rsidR="003E40C5" w:rsidRDefault="00A52B78">
            <w:pPr>
              <w:jc w:val="right"/>
            </w:pPr>
            <w:r>
              <w:rPr>
                <w:b/>
                <w:bCs/>
                <w:color w:val="1A3A5C"/>
                <w:sz w:val="21"/>
                <w:szCs w:val="21"/>
              </w:rPr>
              <w:t>المارة/المجتمع</w:t>
            </w:r>
          </w:p>
        </w:tc>
        <w:tc>
          <w:tcPr>
            <w:tcW w:w="686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6B83B37B" w14:textId="77777777" w:rsidR="003E40C5" w:rsidRDefault="00A52B78">
            <w:pPr>
              <w:jc w:val="right"/>
            </w:pPr>
            <w:r>
              <w:rPr>
                <w:sz w:val="21"/>
                <w:szCs w:val="21"/>
              </w:rPr>
              <w:t>بين الإدانة الأخلاقية والإعجاب الضمني، يُعيدون إنتاج قيمة الاستعراض بمجرد مشاهدته</w:t>
            </w:r>
          </w:p>
        </w:tc>
      </w:tr>
      <w:tr w:rsidR="003E40C5" w14:paraId="2ABF231C" w14:textId="77777777">
        <w:tblPrEx>
          <w:tblCellMar>
            <w:top w:w="0" w:type="dxa"/>
            <w:bottom w:w="0" w:type="dxa"/>
          </w:tblCellMar>
        </w:tblPrEx>
        <w:tc>
          <w:tcPr>
            <w:tcW w:w="25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106BEF4" w14:textId="77777777" w:rsidR="003E40C5" w:rsidRDefault="00A52B78">
            <w:pPr>
              <w:jc w:val="right"/>
            </w:pPr>
            <w:r>
              <w:rPr>
                <w:b/>
                <w:bCs/>
                <w:color w:val="1A3A5C"/>
                <w:sz w:val="21"/>
                <w:szCs w:val="21"/>
              </w:rPr>
              <w:t>المنصات الرقمية</w:t>
            </w:r>
          </w:p>
        </w:tc>
        <w:tc>
          <w:tcPr>
            <w:tcW w:w="6860"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AD8659E" w14:textId="77777777" w:rsidR="003E40C5" w:rsidRDefault="00A52B78">
            <w:pPr>
              <w:jc w:val="right"/>
            </w:pPr>
            <w:r>
              <w:rPr>
                <w:sz w:val="21"/>
                <w:szCs w:val="21"/>
              </w:rPr>
              <w:t>تُضاعف الفضاء وتُضخّم الاستعراض وتحوّله إلى سلعة رمزية عالمية التداول</w:t>
            </w:r>
          </w:p>
        </w:tc>
      </w:tr>
    </w:tbl>
    <w:p w14:paraId="01B2B24E" w14:textId="77777777" w:rsidR="003E40C5" w:rsidRDefault="003E40C5">
      <w:pPr>
        <w:spacing w:before="80" w:after="60"/>
      </w:pPr>
    </w:p>
    <w:p w14:paraId="3F6F189A" w14:textId="77777777" w:rsidR="003E40C5" w:rsidRDefault="00A52B78">
      <w:pPr>
        <w:spacing w:before="240" w:after="140" w:line="340" w:lineRule="auto"/>
        <w:jc w:val="right"/>
      </w:pPr>
      <w:r>
        <w:rPr>
          <w:b/>
          <w:bCs/>
          <w:color w:val="2E6DA4"/>
          <w:sz w:val="27"/>
          <w:szCs w:val="27"/>
        </w:rPr>
        <w:t>6.3 التشريح البيولوجي للثمن</w:t>
      </w:r>
    </w:p>
    <w:p w14:paraId="240FA39E" w14:textId="77777777" w:rsidR="003E40C5" w:rsidRDefault="00A52B78">
      <w:pPr>
        <w:spacing w:before="80" w:after="100" w:line="340" w:lineRule="auto"/>
        <w:jc w:val="both"/>
      </w:pPr>
      <w:r>
        <w:rPr>
          <w:sz w:val="23"/>
          <w:szCs w:val="23"/>
        </w:rPr>
        <w:t>لا يمكن ختم هذا الباب دون التوقف أمام المعطيات الإحصائية الصادمة. في تونس، تُشكّل حوادث الدراجات النارية ما يقارب 40% من وفيات الطرقات، وأغلب الضحايا دون سن الثلاثين.</w:t>
      </w:r>
      <w:r>
        <w:rPr>
          <w:rStyle w:val="a5"/>
        </w:rPr>
        <w:footnoteReference w:id="6"/>
      </w:r>
    </w:p>
    <w:p w14:paraId="07049C73" w14:textId="77777777" w:rsidR="003E40C5" w:rsidRDefault="00A52B78">
      <w:pPr>
        <w:spacing w:before="200" w:after="100" w:line="320" w:lineRule="auto"/>
        <w:jc w:val="right"/>
      </w:pPr>
      <w:r>
        <w:rPr>
          <w:b/>
          <w:bCs/>
          <w:color w:val="C0392B"/>
        </w:rPr>
        <w:t>الراكب الخلفي — الضحية الصامتة</w:t>
      </w:r>
    </w:p>
    <w:p w14:paraId="56F29628" w14:textId="77777777" w:rsidR="003E40C5" w:rsidRDefault="00A52B78">
      <w:pPr>
        <w:spacing w:before="80" w:after="80" w:line="320" w:lineRule="auto"/>
        <w:jc w:val="both"/>
      </w:pPr>
      <w:r>
        <w:rPr>
          <w:sz w:val="23"/>
          <w:szCs w:val="23"/>
        </w:rPr>
        <w:t>في حالة الـ"Wheelie"، إذا اختلّ التوازن فالراكب الخلفي هو أول من يتحطّم لأنه أعلى نقطة ارتكاز. إصابات العمود الفقري (Paraplegia/Tetraplegia) تُنتج "ذكورة مكسورة" حرفياً — الجسد الذي كان يُستعرض بات يُعجزه الحركة.</w:t>
      </w:r>
    </w:p>
    <w:p w14:paraId="33776715" w14:textId="77777777" w:rsidR="003E40C5" w:rsidRDefault="00A52B78">
      <w:pPr>
        <w:spacing w:before="200" w:after="100" w:line="320" w:lineRule="auto"/>
        <w:jc w:val="right"/>
      </w:pPr>
      <w:r>
        <w:rPr>
          <w:b/>
          <w:bCs/>
          <w:color w:val="C0392B"/>
        </w:rPr>
        <w:t>ذنب الناجي (Survivor's Guilt)</w:t>
      </w:r>
    </w:p>
    <w:p w14:paraId="06BA4F59" w14:textId="77777777" w:rsidR="003E40C5" w:rsidRDefault="00A52B78">
      <w:pPr>
        <w:spacing w:before="80" w:after="80" w:line="320" w:lineRule="auto"/>
        <w:jc w:val="both"/>
      </w:pPr>
      <w:r>
        <w:rPr>
          <w:sz w:val="23"/>
          <w:szCs w:val="23"/>
        </w:rPr>
        <w:t>يوثّق علماء النفس في أقسام الإنعاش التونسية ظاهرة السائق الذي ينجو ويُصاب صديقه بالشلل. العلاقة التي بدأت "ثقة عمياء" تنتهي بقطيعة نفسية أبدية أو دَيْن أخلاقي لا يُسدَّد — وهي صدمة مُركَّبة تستدعي تدخلاً علاجياً متخصصاً.</w:t>
      </w:r>
    </w:p>
    <w:p w14:paraId="3482BE15" w14:textId="77777777" w:rsidR="003E40C5" w:rsidRDefault="00A52B78">
      <w:pPr>
        <w:spacing w:before="200" w:after="100" w:line="320" w:lineRule="auto"/>
        <w:jc w:val="right"/>
      </w:pPr>
      <w:r>
        <w:rPr>
          <w:b/>
          <w:bCs/>
          <w:color w:val="C0392B"/>
        </w:rPr>
        <w:t>الوصمة الاجتماعية (Social Stigma)</w:t>
      </w:r>
    </w:p>
    <w:p w14:paraId="16C300AD" w14:textId="77777777" w:rsidR="003E40C5" w:rsidRDefault="00A52B78">
      <w:pPr>
        <w:spacing w:before="80" w:after="120" w:line="320" w:lineRule="auto"/>
        <w:jc w:val="both"/>
      </w:pPr>
      <w:r>
        <w:rPr>
          <w:sz w:val="23"/>
          <w:szCs w:val="23"/>
        </w:rPr>
        <w:t>الضحية التي تُعجز بسبب سلوك "طائش" تجد نفسها في مواجهة مزدوجة: الإعاقة الجسدية والرفض الاجتماعي. مجتمع يُشجّع الخطر الاستعراضي لا يتحمّل في الغالب مسؤولية ضحاياه.</w:t>
      </w:r>
    </w:p>
    <w:p w14:paraId="51FDA68B" w14:textId="77777777" w:rsidR="003E40C5" w:rsidRDefault="00A52B78">
      <w:r>
        <w:br w:type="page"/>
      </w:r>
    </w:p>
    <w:p w14:paraId="0AEAF718" w14:textId="77777777" w:rsidR="003E40C5" w:rsidRDefault="00A52B78">
      <w:pPr>
        <w:pBdr>
          <w:bottom w:val="single" w:sz="8" w:space="4" w:color="2E6DA4"/>
        </w:pBdr>
        <w:spacing w:before="320" w:after="200" w:line="360" w:lineRule="auto"/>
        <w:jc w:val="right"/>
      </w:pPr>
      <w:r>
        <w:rPr>
          <w:b/>
          <w:bCs/>
          <w:color w:val="1A3A5C"/>
          <w:sz w:val="32"/>
          <w:szCs w:val="32"/>
        </w:rPr>
        <w:t>7. الإسهام النظري: نحو مفهوم "الوكالة الجنائزية"</w:t>
      </w:r>
    </w:p>
    <w:p w14:paraId="731609F7" w14:textId="77777777" w:rsidR="003E40C5" w:rsidRDefault="003E40C5">
      <w:pPr>
        <w:spacing w:before="60" w:after="60"/>
      </w:pPr>
    </w:p>
    <w:p w14:paraId="2F89360D" w14:textId="77777777" w:rsidR="003E40C5" w:rsidRDefault="00A52B78">
      <w:pPr>
        <w:spacing w:before="240" w:after="140" w:line="340" w:lineRule="auto"/>
        <w:jc w:val="right"/>
      </w:pPr>
      <w:r>
        <w:rPr>
          <w:b/>
          <w:bCs/>
          <w:color w:val="2E6DA4"/>
          <w:sz w:val="27"/>
          <w:szCs w:val="27"/>
        </w:rPr>
        <w:t>7.1 إعادة صياغة مفهومية</w:t>
      </w:r>
    </w:p>
    <w:p w14:paraId="3DEB6B29" w14:textId="77777777" w:rsidR="003E40C5" w:rsidRDefault="00A52B78">
      <w:pPr>
        <w:spacing w:before="80" w:after="100" w:line="340" w:lineRule="auto"/>
        <w:jc w:val="both"/>
      </w:pPr>
      <w:r>
        <w:rPr>
          <w:sz w:val="23"/>
          <w:szCs w:val="23"/>
        </w:rPr>
        <w:t>تستدعي مجمل المعطيات التحليلية السابقة صياغة مفهومية جديدة قادرة على استيعاب تناقضات الظاهرة. نقترح مفهوم "الوكالة الجنائزية" (Funerary Agency) للإشارة إلى ذلك النمط من الفاعلية الإنسانية الذي لا يستطيع التحقق إلا عبر تفعيل إمكانية الفناء.</w:t>
      </w:r>
    </w:p>
    <w:p w14:paraId="0B7AE6F4" w14:textId="77777777" w:rsidR="003E40C5" w:rsidRDefault="00A52B78">
      <w:pPr>
        <w:spacing w:before="80" w:after="120" w:line="340" w:lineRule="auto"/>
        <w:jc w:val="both"/>
      </w:pPr>
      <w:r>
        <w:rPr>
          <w:sz w:val="23"/>
          <w:szCs w:val="23"/>
        </w:rPr>
        <w:t>"الوكالة الجنائزية" تختلف عن "الرغبة في الموت" (Death Drive الفرويدي) ذلك أن صاحبها لا يريد الموت بل يريد الحياة الكاملة — المكثّفة، المرئية، المُعترف بها. لكن الشروط الموضوعية لا تُتيح له هذه الحياة إلا عبر حافة الموت. الوكالة الجنائزية هي استجابة عقلانية لشرط لا عقلاني: عندما يُصبح الخطر بالحياة هو الطريق الوحيد للشعور بالحياة، نحن أمام أزمة سياسية وجودية لا مجرد خلل فردي في الحكم.</w:t>
      </w:r>
    </w:p>
    <w:p w14:paraId="04FAD711" w14:textId="77777777" w:rsidR="003E40C5" w:rsidRDefault="003E40C5">
      <w:pPr>
        <w:spacing w:before="60" w:after="60"/>
      </w:pPr>
    </w:p>
    <w:p w14:paraId="26195209" w14:textId="77777777" w:rsidR="003E40C5" w:rsidRDefault="00A52B78">
      <w:pPr>
        <w:spacing w:before="240" w:after="140" w:line="340" w:lineRule="auto"/>
        <w:jc w:val="right"/>
      </w:pPr>
      <w:r>
        <w:rPr>
          <w:b/>
          <w:bCs/>
          <w:color w:val="2E6DA4"/>
          <w:sz w:val="27"/>
          <w:szCs w:val="27"/>
        </w:rPr>
        <w:t>7.2 المحاور الثلاثة للوكالة الجنائزية</w:t>
      </w:r>
    </w:p>
    <w:p w14:paraId="346CF937" w14:textId="77777777" w:rsidR="003E40C5" w:rsidRDefault="003E40C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453"/>
        <w:gridCol w:w="2454"/>
        <w:gridCol w:w="2453"/>
      </w:tblGrid>
      <w:tr w:rsidR="003E40C5" w14:paraId="606540CA" w14:textId="77777777">
        <w:tblPrEx>
          <w:tblCellMar>
            <w:top w:w="0" w:type="dxa"/>
            <w:bottom w:w="0" w:type="dxa"/>
          </w:tblCellMar>
        </w:tblPrEx>
        <w:tc>
          <w:tcPr>
            <w:tcW w:w="20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53A17391" w14:textId="77777777" w:rsidR="003E40C5" w:rsidRDefault="00A52B78">
            <w:pPr>
              <w:jc w:val="center"/>
            </w:pPr>
            <w:r>
              <w:rPr>
                <w:b/>
                <w:bCs/>
                <w:color w:val="FFFFFF"/>
                <w:sz w:val="22"/>
                <w:szCs w:val="22"/>
              </w:rPr>
              <w:t>المحور</w:t>
            </w:r>
          </w:p>
        </w:tc>
        <w:tc>
          <w:tcPr>
            <w:tcW w:w="2453"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73DB718A" w14:textId="77777777" w:rsidR="003E40C5" w:rsidRDefault="00A52B78">
            <w:pPr>
              <w:jc w:val="center"/>
            </w:pPr>
            <w:r>
              <w:rPr>
                <w:b/>
                <w:bCs/>
                <w:color w:val="FFFFFF"/>
                <w:sz w:val="22"/>
                <w:szCs w:val="22"/>
              </w:rPr>
              <w:t>التعريف</w:t>
            </w:r>
          </w:p>
        </w:tc>
        <w:tc>
          <w:tcPr>
            <w:tcW w:w="2454"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449FC29A" w14:textId="77777777" w:rsidR="003E40C5" w:rsidRDefault="00A52B78">
            <w:pPr>
              <w:jc w:val="center"/>
            </w:pPr>
            <w:r>
              <w:rPr>
                <w:b/>
                <w:bCs/>
                <w:color w:val="FFFFFF"/>
                <w:sz w:val="22"/>
                <w:szCs w:val="22"/>
              </w:rPr>
              <w:t>التجلي في الظاهرة</w:t>
            </w:r>
          </w:p>
        </w:tc>
        <w:tc>
          <w:tcPr>
            <w:tcW w:w="2453"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3FF9775F" w14:textId="77777777" w:rsidR="003E40C5" w:rsidRDefault="00A52B78">
            <w:pPr>
              <w:jc w:val="center"/>
            </w:pPr>
            <w:r>
              <w:rPr>
                <w:b/>
                <w:bCs/>
                <w:color w:val="FFFFFF"/>
                <w:sz w:val="22"/>
                <w:szCs w:val="22"/>
              </w:rPr>
              <w:t>الأداة التحليلية المقابلة</w:t>
            </w:r>
          </w:p>
        </w:tc>
      </w:tr>
      <w:tr w:rsidR="003E40C5" w14:paraId="27CA9B01"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77377F3" w14:textId="77777777" w:rsidR="003E40C5" w:rsidRDefault="00A52B78">
            <w:pPr>
              <w:jc w:val="right"/>
            </w:pPr>
            <w:r>
              <w:rPr>
                <w:b/>
                <w:bCs/>
                <w:color w:val="1A3A5C"/>
                <w:sz w:val="21"/>
                <w:szCs w:val="21"/>
              </w:rPr>
              <w:t>الوكالة المكثّفة</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3CD74B4" w14:textId="77777777" w:rsidR="003E40C5" w:rsidRDefault="00A52B78">
            <w:pPr>
              <w:jc w:val="right"/>
            </w:pPr>
            <w:r>
              <w:rPr>
                <w:sz w:val="21"/>
                <w:szCs w:val="21"/>
              </w:rPr>
              <w:t>الشعور بالحياة عبر تكثيف الحضور الجسدي</w:t>
            </w:r>
          </w:p>
        </w:tc>
        <w:tc>
          <w:tcPr>
            <w:tcW w:w="2454"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C02E58C" w14:textId="77777777" w:rsidR="003E40C5" w:rsidRDefault="00A52B78">
            <w:pPr>
              <w:jc w:val="right"/>
            </w:pPr>
            <w:r>
              <w:rPr>
                <w:sz w:val="21"/>
                <w:szCs w:val="21"/>
              </w:rPr>
              <w:t>لحظة التوازن على عجلة واحدة</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62D02A1" w14:textId="77777777" w:rsidR="003E40C5" w:rsidRDefault="00A52B78">
            <w:pPr>
              <w:jc w:val="right"/>
            </w:pPr>
            <w:r>
              <w:rPr>
                <w:sz w:val="21"/>
                <w:szCs w:val="21"/>
              </w:rPr>
              <w:t>Edgework — لينغ</w:t>
            </w:r>
          </w:p>
        </w:tc>
      </w:tr>
      <w:tr w:rsidR="003E40C5" w14:paraId="5E864064"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2A937E7" w14:textId="77777777" w:rsidR="003E40C5" w:rsidRDefault="00A52B78">
            <w:pPr>
              <w:jc w:val="right"/>
            </w:pPr>
            <w:r>
              <w:rPr>
                <w:b/>
                <w:bCs/>
                <w:color w:val="1A3A5C"/>
                <w:sz w:val="21"/>
                <w:szCs w:val="21"/>
              </w:rPr>
              <w:t>الوكالة المرئية</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0D257C8" w14:textId="77777777" w:rsidR="003E40C5" w:rsidRDefault="00A52B78">
            <w:pPr>
              <w:jc w:val="right"/>
            </w:pPr>
            <w:r>
              <w:rPr>
                <w:sz w:val="21"/>
                <w:szCs w:val="21"/>
              </w:rPr>
              <w:t>الوجود عبر الاعتراف الاجتماعي</w:t>
            </w:r>
          </w:p>
        </w:tc>
        <w:tc>
          <w:tcPr>
            <w:tcW w:w="2454"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307E7CB5" w14:textId="77777777" w:rsidR="003E40C5" w:rsidRDefault="00A52B78">
            <w:pPr>
              <w:jc w:val="right"/>
            </w:pPr>
            <w:r>
              <w:rPr>
                <w:sz w:val="21"/>
                <w:szCs w:val="21"/>
              </w:rPr>
              <w:t>الفيديو والمشاهدات والشهرة</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7F82F88D" w14:textId="77777777" w:rsidR="003E40C5" w:rsidRDefault="00A52B78">
            <w:pPr>
              <w:jc w:val="right"/>
            </w:pPr>
            <w:r>
              <w:rPr>
                <w:sz w:val="21"/>
                <w:szCs w:val="21"/>
              </w:rPr>
              <w:t>Goffman — أداء الذات</w:t>
            </w:r>
          </w:p>
        </w:tc>
      </w:tr>
      <w:tr w:rsidR="003E40C5" w14:paraId="74077936"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F61303E" w14:textId="77777777" w:rsidR="003E40C5" w:rsidRDefault="00A52B78">
            <w:pPr>
              <w:jc w:val="right"/>
            </w:pPr>
            <w:r>
              <w:rPr>
                <w:b/>
                <w:bCs/>
                <w:color w:val="1A3A5C"/>
                <w:sz w:val="21"/>
                <w:szCs w:val="21"/>
              </w:rPr>
              <w:t>الوكالة التحريرية</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E84944A" w14:textId="77777777" w:rsidR="003E40C5" w:rsidRDefault="00A52B78">
            <w:pPr>
              <w:jc w:val="right"/>
            </w:pPr>
            <w:r>
              <w:rPr>
                <w:sz w:val="21"/>
                <w:szCs w:val="21"/>
              </w:rPr>
              <w:t>تحرير الذات من قيود العقد الاجتماعي المُجحف</w:t>
            </w:r>
          </w:p>
        </w:tc>
        <w:tc>
          <w:tcPr>
            <w:tcW w:w="2454"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F39A596" w14:textId="77777777" w:rsidR="003E40C5" w:rsidRDefault="00A52B78">
            <w:pPr>
              <w:jc w:val="right"/>
            </w:pPr>
            <w:r>
              <w:rPr>
                <w:sz w:val="21"/>
                <w:szCs w:val="21"/>
              </w:rPr>
              <w:t>تجاهل القانون، رفض الخوذة</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1924900" w14:textId="77777777" w:rsidR="003E40C5" w:rsidRDefault="00A52B78">
            <w:pPr>
              <w:jc w:val="right"/>
            </w:pPr>
            <w:r>
              <w:rPr>
                <w:sz w:val="21"/>
                <w:szCs w:val="21"/>
              </w:rPr>
              <w:t>Foucault / Mbembe</w:t>
            </w:r>
          </w:p>
        </w:tc>
      </w:tr>
      <w:tr w:rsidR="003E40C5" w14:paraId="4B92A51D"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DC20241" w14:textId="77777777" w:rsidR="003E40C5" w:rsidRDefault="00A52B78">
            <w:pPr>
              <w:jc w:val="right"/>
            </w:pPr>
            <w:r>
              <w:rPr>
                <w:b/>
                <w:bCs/>
                <w:color w:val="1A3A5C"/>
                <w:sz w:val="21"/>
                <w:szCs w:val="21"/>
              </w:rPr>
              <w:t>الوكالة الأخوية</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76DD5831" w14:textId="77777777" w:rsidR="003E40C5" w:rsidRDefault="00A52B78">
            <w:pPr>
              <w:jc w:val="right"/>
            </w:pPr>
            <w:r>
              <w:rPr>
                <w:sz w:val="21"/>
                <w:szCs w:val="21"/>
              </w:rPr>
              <w:t>تأكيد الهوية عبر الثقة المُشترَكة</w:t>
            </w:r>
          </w:p>
        </w:tc>
        <w:tc>
          <w:tcPr>
            <w:tcW w:w="2454"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48D552D" w14:textId="77777777" w:rsidR="003E40C5" w:rsidRDefault="00A52B78">
            <w:pPr>
              <w:jc w:val="right"/>
            </w:pPr>
            <w:r>
              <w:rPr>
                <w:sz w:val="21"/>
                <w:szCs w:val="21"/>
              </w:rPr>
              <w:t>الراكب الخلفي كطقس إيداع الثقة</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D095F1C" w14:textId="77777777" w:rsidR="003E40C5" w:rsidRDefault="00A52B78">
            <w:pPr>
              <w:jc w:val="right"/>
            </w:pPr>
            <w:r>
              <w:rPr>
                <w:sz w:val="21"/>
                <w:szCs w:val="21"/>
              </w:rPr>
              <w:t>Bourdieu — رأس المال الاجتماعي</w:t>
            </w:r>
          </w:p>
        </w:tc>
      </w:tr>
    </w:tbl>
    <w:p w14:paraId="53D5319C" w14:textId="77777777" w:rsidR="003E40C5" w:rsidRDefault="003E40C5">
      <w:pPr>
        <w:spacing w:before="80" w:after="60"/>
      </w:pPr>
    </w:p>
    <w:p w14:paraId="34DD12FA" w14:textId="77777777" w:rsidR="003E40C5" w:rsidRDefault="00A52B78">
      <w:pPr>
        <w:spacing w:before="240" w:after="140" w:line="340" w:lineRule="auto"/>
        <w:jc w:val="right"/>
      </w:pPr>
      <w:r>
        <w:rPr>
          <w:b/>
          <w:bCs/>
          <w:color w:val="2E6DA4"/>
          <w:sz w:val="27"/>
          <w:szCs w:val="27"/>
        </w:rPr>
        <w:t>7.3 الرابط بين الهشاشة الاقتصادية والوكالة الجنائزية</w:t>
      </w:r>
    </w:p>
    <w:p w14:paraId="202DCA7A" w14:textId="77777777" w:rsidR="003E40C5" w:rsidRDefault="00A52B78">
      <w:pPr>
        <w:spacing w:before="80" w:after="100" w:line="340" w:lineRule="auto"/>
        <w:jc w:val="both"/>
      </w:pPr>
      <w:r>
        <w:rPr>
          <w:sz w:val="23"/>
          <w:szCs w:val="23"/>
        </w:rPr>
        <w:t>تُقدّم الدراسات الاجتماعية الحديثة حول الهشاشة (Precarity) مفهوماً محورياً لفهم العلاقة بين الإقصاء الاقتصادي والمجازفة الجسدية. يُجادل الباحثون بأن انعدام الأمن الوجودي (Existential Insecurity)، لا يُؤدّي إلى الانسحاب والانكسار فحسب، بل يُولِّد أيضاً ردود فعل تعويضية تتجلى في رياضات المجازفة وثقافات التحدي الجسدي، وهي ردود تُكرّس الجسد بوصفه الملاذ الوحيد للفاعلية في عالم يسدّ كل أبواب التحقق الاجتماعي المُعترف به.</w:t>
      </w:r>
    </w:p>
    <w:p w14:paraId="17BD7301" w14:textId="77777777" w:rsidR="003E40C5" w:rsidRDefault="00A52B78">
      <w:r>
        <w:br w:type="page"/>
      </w:r>
    </w:p>
    <w:p w14:paraId="59F1A82E" w14:textId="77777777" w:rsidR="003E40C5" w:rsidRDefault="00A52B78">
      <w:pPr>
        <w:pBdr>
          <w:bottom w:val="single" w:sz="8" w:space="4" w:color="2E6DA4"/>
        </w:pBdr>
        <w:spacing w:before="320" w:after="200" w:line="360" w:lineRule="auto"/>
        <w:jc w:val="right"/>
      </w:pPr>
      <w:r>
        <w:rPr>
          <w:b/>
          <w:bCs/>
          <w:color w:val="1A3A5C"/>
          <w:sz w:val="32"/>
          <w:szCs w:val="32"/>
        </w:rPr>
        <w:t>8. نحو استراتيجية تدخل متعددة المستويات</w:t>
      </w:r>
    </w:p>
    <w:p w14:paraId="26CDDD1B" w14:textId="77777777" w:rsidR="003E40C5" w:rsidRDefault="003E40C5">
      <w:pPr>
        <w:spacing w:before="60" w:after="60"/>
      </w:pPr>
    </w:p>
    <w:p w14:paraId="42A819F8" w14:textId="77777777" w:rsidR="003E40C5" w:rsidRDefault="00A52B78">
      <w:pPr>
        <w:spacing w:before="240" w:after="140" w:line="340" w:lineRule="auto"/>
        <w:jc w:val="right"/>
      </w:pPr>
      <w:r>
        <w:rPr>
          <w:b/>
          <w:bCs/>
          <w:color w:val="2E6DA4"/>
          <w:sz w:val="27"/>
          <w:szCs w:val="27"/>
        </w:rPr>
        <w:t>8.1 نقد السياسات الحالية</w:t>
      </w:r>
    </w:p>
    <w:p w14:paraId="45F90BAC" w14:textId="77777777" w:rsidR="003E40C5" w:rsidRDefault="00A52B78">
      <w:pPr>
        <w:spacing w:before="80" w:after="100" w:line="340" w:lineRule="auto"/>
        <w:jc w:val="both"/>
      </w:pPr>
      <w:r>
        <w:rPr>
          <w:sz w:val="23"/>
          <w:szCs w:val="23"/>
        </w:rPr>
        <w:t>الحملات الحكومية التقليدية المبنية على منطق "الخوذة تحمي الرأس" تفشل بامتياز لأنها تخاطب منطق "البقاء" (Survival Logic) بينما الشاب يبحث عن "المعنى" (Meaning Logic). هذان منطقان غير مُتوازيان لا يلتقيان في نقطة واحدة ما لم تُعالَج الجذور البنيوية للمشكلة.</w:t>
      </w:r>
    </w:p>
    <w:p w14:paraId="7E419162" w14:textId="77777777" w:rsidR="003E40C5" w:rsidRDefault="00A52B78">
      <w:pPr>
        <w:shd w:val="clear" w:color="auto" w:fill="D6E8F7"/>
        <w:spacing w:before="80" w:after="120" w:line="320" w:lineRule="auto"/>
        <w:ind w:left="280" w:right="280"/>
        <w:jc w:val="both"/>
      </w:pPr>
      <w:r>
        <w:rPr>
          <w:color w:val="333333"/>
          <w:sz w:val="22"/>
          <w:szCs w:val="22"/>
        </w:rPr>
        <w:t>الخطأ المنهجي في السياسات الراهنة: تُعالج الأعراض (السلوك الخطر) دون المسبّبات (الإقصاء الاقتصادي وأزمة المعنى والذكورة الهشة). النتيجة الحتمية: حملات توعوية بلا أثر مُجتمعي مُقاس.</w:t>
      </w:r>
    </w:p>
    <w:p w14:paraId="34735CE1" w14:textId="77777777" w:rsidR="003E40C5" w:rsidRDefault="003E40C5">
      <w:pPr>
        <w:spacing w:before="60" w:after="60"/>
      </w:pPr>
    </w:p>
    <w:p w14:paraId="48BEFC61" w14:textId="77777777" w:rsidR="003E40C5" w:rsidRDefault="00A52B78">
      <w:pPr>
        <w:spacing w:before="240" w:after="140" w:line="340" w:lineRule="auto"/>
        <w:jc w:val="right"/>
      </w:pPr>
      <w:r>
        <w:rPr>
          <w:b/>
          <w:bCs/>
          <w:color w:val="2E6DA4"/>
          <w:sz w:val="27"/>
          <w:szCs w:val="27"/>
        </w:rPr>
        <w:t>8.2 مقترحات تدخل متعددة المستويات</w:t>
      </w:r>
    </w:p>
    <w:p w14:paraId="61E4EA81" w14:textId="77777777" w:rsidR="003E40C5" w:rsidRDefault="00A52B78">
      <w:pPr>
        <w:spacing w:before="200" w:after="100" w:line="320" w:lineRule="auto"/>
        <w:jc w:val="right"/>
      </w:pPr>
      <w:r>
        <w:rPr>
          <w:b/>
          <w:bCs/>
          <w:color w:val="C0392B"/>
        </w:rPr>
        <w:t>المستوى الأول: إعادة تأطير النموذج الثقافي</w:t>
      </w:r>
    </w:p>
    <w:p w14:paraId="26054BD4" w14:textId="77777777" w:rsidR="003E40C5" w:rsidRDefault="00A52B78">
      <w:pPr>
        <w:spacing w:before="80" w:after="80" w:line="320" w:lineRule="auto"/>
        <w:jc w:val="both"/>
      </w:pPr>
      <w:r>
        <w:rPr>
          <w:sz w:val="23"/>
          <w:szCs w:val="23"/>
        </w:rPr>
        <w:t>الاستعانة بـ"أبطال التوانسة" من الدراجيين المحترفين في الحلبات المغلقة وتحويلهم إلى سفراء ثقافيين. الرسالة الرئيسية يجب أن تقول: "الرجل الحقيقي يرفع الدراجة في الحلبة، وليس في شارع فيه أمي وأختك".</w:t>
      </w:r>
    </w:p>
    <w:p w14:paraId="343ACC3F" w14:textId="77777777" w:rsidR="003E40C5" w:rsidRDefault="00A52B78">
      <w:pPr>
        <w:spacing w:before="200" w:after="100" w:line="320" w:lineRule="auto"/>
        <w:jc w:val="right"/>
      </w:pPr>
      <w:r>
        <w:rPr>
          <w:b/>
          <w:bCs/>
          <w:color w:val="C0392B"/>
        </w:rPr>
        <w:t>المستوى الثاني: إعادة تعريف الصداقة</w:t>
      </w:r>
    </w:p>
    <w:p w14:paraId="4EBA6A9F" w14:textId="77777777" w:rsidR="003E40C5" w:rsidRDefault="00A52B78">
      <w:pPr>
        <w:spacing w:before="80" w:after="80" w:line="320" w:lineRule="auto"/>
        <w:jc w:val="both"/>
      </w:pPr>
      <w:r>
        <w:rPr>
          <w:sz w:val="23"/>
          <w:szCs w:val="23"/>
        </w:rPr>
        <w:t>حملة مُوجَّهة للراكب الخلفي تحت شعار: "صاحبك الحقيقي ما يحطش حياتك في كف عفريت" — الهدف تفكيك الربط الزائف بين الثقة الأخوية والمخاطرة الجسدية.</w:t>
      </w:r>
    </w:p>
    <w:p w14:paraId="60993884" w14:textId="77777777" w:rsidR="003E40C5" w:rsidRDefault="00A52B78">
      <w:pPr>
        <w:spacing w:before="200" w:after="100" w:line="320" w:lineRule="auto"/>
        <w:jc w:val="right"/>
      </w:pPr>
      <w:r>
        <w:rPr>
          <w:b/>
          <w:bCs/>
          <w:color w:val="C0392B"/>
        </w:rPr>
        <w:t>المستوى الثالث: بديل الفضاء المؤسسي</w:t>
      </w:r>
    </w:p>
    <w:p w14:paraId="711A093A" w14:textId="77777777" w:rsidR="003E40C5" w:rsidRDefault="00A52B78">
      <w:pPr>
        <w:spacing w:before="80" w:after="80" w:line="320" w:lineRule="auto"/>
        <w:jc w:val="both"/>
      </w:pPr>
      <w:r>
        <w:rPr>
          <w:sz w:val="23"/>
          <w:szCs w:val="23"/>
        </w:rPr>
        <w:t>إنشاء فضاءات قانونية للمهارات الحركية (مضامير، حلبات، مساحات مُخصَّصة). الشاب الذي يستطيع رفع الدراجة لعشرات الأمتار هو رياضي بالفطرة. توجيه هذه الطاقة عبر مؤسسات رياضية معترف بها سيُنقذ الأرواح ويُنتج أبطالاً رياضيين حقيقيين.</w:t>
      </w:r>
    </w:p>
    <w:p w14:paraId="0EE0D7C8" w14:textId="77777777" w:rsidR="003E40C5" w:rsidRDefault="00A52B78">
      <w:pPr>
        <w:spacing w:before="200" w:after="100" w:line="320" w:lineRule="auto"/>
        <w:jc w:val="right"/>
      </w:pPr>
      <w:r>
        <w:rPr>
          <w:b/>
          <w:bCs/>
          <w:color w:val="C0392B"/>
        </w:rPr>
        <w:t>المستوى الرابع: التدخل في البيئة الرقمية</w:t>
      </w:r>
    </w:p>
    <w:p w14:paraId="62C2C1BC" w14:textId="77777777" w:rsidR="003E40C5" w:rsidRDefault="00A52B78">
      <w:pPr>
        <w:spacing w:before="80" w:after="80" w:line="320" w:lineRule="auto"/>
        <w:jc w:val="both"/>
      </w:pPr>
      <w:r>
        <w:rPr>
          <w:sz w:val="23"/>
          <w:szCs w:val="23"/>
        </w:rPr>
        <w:t>العمل مع منصات التواصل الاجتماعي على تطوير سياسات محتوى تُميّز بين "الخطر الاستعراضي" و"الأداء الرياضي المُؤطَّر"، مع إنتاج محتوى بديل جذاب يُعيد تعريف الذكورة في سياق أكثر صحة وأقل عنفاً.</w:t>
      </w:r>
    </w:p>
    <w:p w14:paraId="648F3E55" w14:textId="77777777" w:rsidR="003E40C5" w:rsidRDefault="00A52B78">
      <w:pPr>
        <w:spacing w:before="200" w:after="100" w:line="320" w:lineRule="auto"/>
        <w:jc w:val="right"/>
      </w:pPr>
      <w:r>
        <w:rPr>
          <w:b/>
          <w:bCs/>
          <w:color w:val="C0392B"/>
        </w:rPr>
        <w:t>المستوى الخامس: السياسة الاقتصادية</w:t>
      </w:r>
    </w:p>
    <w:p w14:paraId="66573870" w14:textId="77777777" w:rsidR="003E40C5" w:rsidRDefault="00A52B78">
      <w:pPr>
        <w:spacing w:before="80" w:after="100" w:line="320" w:lineRule="auto"/>
        <w:jc w:val="both"/>
      </w:pPr>
      <w:r>
        <w:rPr>
          <w:sz w:val="23"/>
          <w:szCs w:val="23"/>
        </w:rPr>
        <w:t>لا يمكن لأي تدخل ثقافي أن ينجح في غياب إصلاح اقتصادي جوهري يفتح أفق التشغيل والكرامة أمام الشباب. الطاقة المُبدَّدة في الشوارع هي طاقة خلق وابتكار وبناء تبحث عن قنوات مُنتجة.</w:t>
      </w:r>
    </w:p>
    <w:p w14:paraId="3B1D20AA" w14:textId="77777777" w:rsidR="003E40C5" w:rsidRDefault="003E40C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453"/>
        <w:gridCol w:w="2454"/>
        <w:gridCol w:w="2453"/>
      </w:tblGrid>
      <w:tr w:rsidR="003E40C5" w14:paraId="6142EF3C" w14:textId="77777777">
        <w:tblPrEx>
          <w:tblCellMar>
            <w:top w:w="0" w:type="dxa"/>
            <w:bottom w:w="0" w:type="dxa"/>
          </w:tblCellMar>
        </w:tblPrEx>
        <w:tc>
          <w:tcPr>
            <w:tcW w:w="2000"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677AFCE3" w14:textId="77777777" w:rsidR="003E40C5" w:rsidRDefault="00A52B78">
            <w:pPr>
              <w:jc w:val="center"/>
            </w:pPr>
            <w:r>
              <w:rPr>
                <w:b/>
                <w:bCs/>
                <w:color w:val="FFFFFF"/>
                <w:sz w:val="22"/>
                <w:szCs w:val="22"/>
              </w:rPr>
              <w:t>مستوى التدخل</w:t>
            </w:r>
          </w:p>
        </w:tc>
        <w:tc>
          <w:tcPr>
            <w:tcW w:w="2453"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74447637" w14:textId="77777777" w:rsidR="003E40C5" w:rsidRDefault="00A52B78">
            <w:pPr>
              <w:jc w:val="center"/>
            </w:pPr>
            <w:r>
              <w:rPr>
                <w:b/>
                <w:bCs/>
                <w:color w:val="FFFFFF"/>
                <w:sz w:val="22"/>
                <w:szCs w:val="22"/>
              </w:rPr>
              <w:t>الجهة المسؤولة</w:t>
            </w:r>
          </w:p>
        </w:tc>
        <w:tc>
          <w:tcPr>
            <w:tcW w:w="2454"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01780F73" w14:textId="77777777" w:rsidR="003E40C5" w:rsidRDefault="00A52B78">
            <w:pPr>
              <w:jc w:val="center"/>
            </w:pPr>
            <w:r>
              <w:rPr>
                <w:b/>
                <w:bCs/>
                <w:color w:val="FFFFFF"/>
                <w:sz w:val="22"/>
                <w:szCs w:val="22"/>
              </w:rPr>
              <w:t>الأدوات والآليات</w:t>
            </w:r>
          </w:p>
        </w:tc>
        <w:tc>
          <w:tcPr>
            <w:tcW w:w="2453" w:type="dxa"/>
            <w:tcBorders>
              <w:top w:val="single" w:sz="12" w:space="0" w:color="2E6DA4"/>
              <w:left w:val="single" w:sz="12" w:space="0" w:color="2E6DA4"/>
              <w:bottom w:val="single" w:sz="12" w:space="0" w:color="2E6DA4"/>
              <w:right w:val="single" w:sz="12" w:space="0" w:color="2E6DA4"/>
            </w:tcBorders>
            <w:shd w:val="clear" w:color="auto" w:fill="1A3A5C"/>
            <w:tcMar>
              <w:top w:w="100" w:type="dxa"/>
              <w:left w:w="140" w:type="dxa"/>
              <w:bottom w:w="100" w:type="dxa"/>
              <w:right w:w="140" w:type="dxa"/>
            </w:tcMar>
          </w:tcPr>
          <w:p w14:paraId="75F55ECE" w14:textId="77777777" w:rsidR="003E40C5" w:rsidRDefault="00A52B78">
            <w:pPr>
              <w:jc w:val="center"/>
            </w:pPr>
            <w:r>
              <w:rPr>
                <w:b/>
                <w:bCs/>
                <w:color w:val="FFFFFF"/>
                <w:sz w:val="22"/>
                <w:szCs w:val="22"/>
              </w:rPr>
              <w:t>مؤشرات النجاح</w:t>
            </w:r>
          </w:p>
        </w:tc>
      </w:tr>
      <w:tr w:rsidR="003E40C5" w14:paraId="476A7850"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FE0B37A" w14:textId="77777777" w:rsidR="003E40C5" w:rsidRDefault="00A52B78">
            <w:pPr>
              <w:jc w:val="right"/>
            </w:pPr>
            <w:r>
              <w:rPr>
                <w:b/>
                <w:bCs/>
                <w:color w:val="1A3A5C"/>
                <w:sz w:val="21"/>
                <w:szCs w:val="21"/>
              </w:rPr>
              <w:t>التأطير الثقافي</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A5231A0" w14:textId="77777777" w:rsidR="003E40C5" w:rsidRDefault="00A52B78">
            <w:pPr>
              <w:jc w:val="right"/>
            </w:pPr>
            <w:r>
              <w:rPr>
                <w:sz w:val="21"/>
                <w:szCs w:val="21"/>
              </w:rPr>
              <w:t>وزارة الشباب والرياضة + إعلاميون</w:t>
            </w:r>
          </w:p>
        </w:tc>
        <w:tc>
          <w:tcPr>
            <w:tcW w:w="2454"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E46ACF4" w14:textId="77777777" w:rsidR="003E40C5" w:rsidRDefault="00A52B78">
            <w:pPr>
              <w:jc w:val="right"/>
            </w:pPr>
            <w:r>
              <w:rPr>
                <w:sz w:val="21"/>
                <w:szCs w:val="21"/>
              </w:rPr>
              <w:t>حملات رقمية، نماذج إيجابية بديلة</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865E0B7" w14:textId="77777777" w:rsidR="003E40C5" w:rsidRDefault="00A52B78">
            <w:pPr>
              <w:jc w:val="right"/>
            </w:pPr>
            <w:r>
              <w:rPr>
                <w:sz w:val="21"/>
                <w:szCs w:val="21"/>
              </w:rPr>
              <w:t>انخفاض المحتوى الخطر على المنصات</w:t>
            </w:r>
          </w:p>
        </w:tc>
      </w:tr>
      <w:tr w:rsidR="003E40C5" w14:paraId="05B3AE5E"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A9678DE" w14:textId="77777777" w:rsidR="003E40C5" w:rsidRDefault="00A52B78">
            <w:pPr>
              <w:jc w:val="right"/>
            </w:pPr>
            <w:r>
              <w:rPr>
                <w:b/>
                <w:bCs/>
                <w:color w:val="1A3A5C"/>
                <w:sz w:val="21"/>
                <w:szCs w:val="21"/>
              </w:rPr>
              <w:t>الفضاء المؤسسي</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9A7B463" w14:textId="77777777" w:rsidR="003E40C5" w:rsidRDefault="00A52B78">
            <w:pPr>
              <w:jc w:val="right"/>
            </w:pPr>
            <w:r>
              <w:rPr>
                <w:sz w:val="21"/>
                <w:szCs w:val="21"/>
              </w:rPr>
              <w:t>البلديات + القطاع الخاص</w:t>
            </w:r>
          </w:p>
        </w:tc>
        <w:tc>
          <w:tcPr>
            <w:tcW w:w="2454"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1C02EB5" w14:textId="77777777" w:rsidR="003E40C5" w:rsidRDefault="00A52B78">
            <w:pPr>
              <w:jc w:val="right"/>
            </w:pPr>
            <w:r>
              <w:rPr>
                <w:sz w:val="21"/>
                <w:szCs w:val="21"/>
              </w:rPr>
              <w:t>حلبات، مضامير، بطولات رسمية</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14CC8915" w14:textId="77777777" w:rsidR="003E40C5" w:rsidRDefault="00A52B78">
            <w:pPr>
              <w:jc w:val="right"/>
            </w:pPr>
            <w:r>
              <w:rPr>
                <w:sz w:val="21"/>
                <w:szCs w:val="21"/>
              </w:rPr>
              <w:t>ارتفاع المشاركة في الرياضات الدراجية الرسمية</w:t>
            </w:r>
          </w:p>
        </w:tc>
      </w:tr>
      <w:tr w:rsidR="003E40C5" w14:paraId="3CC9DEB3"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5935076A" w14:textId="77777777" w:rsidR="003E40C5" w:rsidRDefault="00A52B78">
            <w:pPr>
              <w:jc w:val="right"/>
            </w:pPr>
            <w:r>
              <w:rPr>
                <w:b/>
                <w:bCs/>
                <w:color w:val="1A3A5C"/>
                <w:sz w:val="21"/>
                <w:szCs w:val="21"/>
              </w:rPr>
              <w:t>التدخل النفسي-التربوي</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626A6158" w14:textId="77777777" w:rsidR="003E40C5" w:rsidRDefault="00A52B78">
            <w:pPr>
              <w:jc w:val="right"/>
            </w:pPr>
            <w:r>
              <w:rPr>
                <w:sz w:val="21"/>
                <w:szCs w:val="21"/>
              </w:rPr>
              <w:t>مدارس + مرشدون اجتماعيون</w:t>
            </w:r>
          </w:p>
        </w:tc>
        <w:tc>
          <w:tcPr>
            <w:tcW w:w="2454"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6256621" w14:textId="77777777" w:rsidR="003E40C5" w:rsidRDefault="00A52B78">
            <w:pPr>
              <w:jc w:val="right"/>
            </w:pPr>
            <w:r>
              <w:rPr>
                <w:sz w:val="21"/>
                <w:szCs w:val="21"/>
              </w:rPr>
              <w:t>برامج إدارة المخاطر، ورش الذكورة الصحية</w:t>
            </w:r>
          </w:p>
        </w:tc>
        <w:tc>
          <w:tcPr>
            <w:tcW w:w="2453" w:type="dxa"/>
            <w:tcBorders>
              <w:top w:val="single" w:sz="6" w:space="0" w:color="CCCCCC"/>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3CBCED1" w14:textId="77777777" w:rsidR="003E40C5" w:rsidRDefault="00A52B78">
            <w:pPr>
              <w:jc w:val="right"/>
            </w:pPr>
            <w:r>
              <w:rPr>
                <w:sz w:val="21"/>
                <w:szCs w:val="21"/>
              </w:rPr>
              <w:t>مؤشرات تغيير الاتجاهات لدى الشباب</w:t>
            </w:r>
          </w:p>
        </w:tc>
      </w:tr>
      <w:tr w:rsidR="003E40C5" w14:paraId="19F13752" w14:textId="77777777">
        <w:tblPrEx>
          <w:tblCellMar>
            <w:top w:w="0" w:type="dxa"/>
            <w:bottom w:w="0" w:type="dxa"/>
          </w:tblCellMar>
        </w:tblPrEx>
        <w:tc>
          <w:tcPr>
            <w:tcW w:w="2000"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27714A67" w14:textId="77777777" w:rsidR="003E40C5" w:rsidRDefault="00A52B78">
            <w:pPr>
              <w:jc w:val="right"/>
            </w:pPr>
            <w:r>
              <w:rPr>
                <w:b/>
                <w:bCs/>
                <w:color w:val="1A3A5C"/>
                <w:sz w:val="21"/>
                <w:szCs w:val="21"/>
              </w:rPr>
              <w:t>الإصلاح القانوني</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40400EEF" w14:textId="77777777" w:rsidR="003E40C5" w:rsidRDefault="00A52B78">
            <w:pPr>
              <w:jc w:val="right"/>
            </w:pPr>
            <w:r>
              <w:rPr>
                <w:sz w:val="21"/>
                <w:szCs w:val="21"/>
              </w:rPr>
              <w:t>الحكومة + مؤسسات مروريه</w:t>
            </w:r>
          </w:p>
        </w:tc>
        <w:tc>
          <w:tcPr>
            <w:tcW w:w="2454"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7489C588" w14:textId="77777777" w:rsidR="003E40C5" w:rsidRDefault="00A52B78">
            <w:pPr>
              <w:jc w:val="right"/>
            </w:pPr>
            <w:r>
              <w:rPr>
                <w:sz w:val="21"/>
                <w:szCs w:val="21"/>
              </w:rPr>
              <w:t>تطبيق صارم + إصلاح منظومة التراخيص</w:t>
            </w:r>
          </w:p>
        </w:tc>
        <w:tc>
          <w:tcPr>
            <w:tcW w:w="2453" w:type="dxa"/>
            <w:tcBorders>
              <w:top w:val="single" w:sz="6" w:space="0" w:color="CCCCCC"/>
              <w:left w:val="single" w:sz="6" w:space="0" w:color="CCCCCC"/>
              <w:bottom w:val="single" w:sz="6" w:space="0" w:color="CCCCCC"/>
              <w:right w:val="single" w:sz="6" w:space="0" w:color="CCCCCC"/>
            </w:tcBorders>
            <w:shd w:val="clear" w:color="auto" w:fill="D6E8F7"/>
            <w:tcMar>
              <w:top w:w="80" w:type="dxa"/>
              <w:left w:w="120" w:type="dxa"/>
              <w:bottom w:w="80" w:type="dxa"/>
              <w:right w:w="120" w:type="dxa"/>
            </w:tcMar>
          </w:tcPr>
          <w:p w14:paraId="646BE306" w14:textId="77777777" w:rsidR="003E40C5" w:rsidRDefault="00A52B78">
            <w:pPr>
              <w:jc w:val="right"/>
            </w:pPr>
            <w:r>
              <w:rPr>
                <w:sz w:val="21"/>
                <w:szCs w:val="21"/>
              </w:rPr>
              <w:t>انخفاض حوادث الدراجات النارية</w:t>
            </w:r>
          </w:p>
        </w:tc>
      </w:tr>
    </w:tbl>
    <w:p w14:paraId="55E40BF8" w14:textId="77777777" w:rsidR="003E40C5" w:rsidRDefault="003E40C5">
      <w:pPr>
        <w:spacing w:before="80" w:after="60"/>
      </w:pPr>
    </w:p>
    <w:p w14:paraId="28AC185D" w14:textId="77777777" w:rsidR="003E40C5" w:rsidRDefault="00A52B78">
      <w:r>
        <w:br w:type="page"/>
      </w:r>
    </w:p>
    <w:p w14:paraId="6D2F7782" w14:textId="77777777" w:rsidR="003E40C5" w:rsidRDefault="00A52B78">
      <w:pPr>
        <w:pBdr>
          <w:bottom w:val="single" w:sz="8" w:space="4" w:color="2E6DA4"/>
        </w:pBdr>
        <w:spacing w:before="320" w:after="200" w:line="360" w:lineRule="auto"/>
        <w:jc w:val="right"/>
      </w:pPr>
      <w:r>
        <w:rPr>
          <w:b/>
          <w:bCs/>
          <w:color w:val="1A3A5C"/>
          <w:sz w:val="32"/>
          <w:szCs w:val="32"/>
        </w:rPr>
        <w:t>9. الخاتمة: قراءة في المرايا المُتكسّرة</w:t>
      </w:r>
    </w:p>
    <w:p w14:paraId="51089A41" w14:textId="77777777" w:rsidR="003E40C5" w:rsidRDefault="003E40C5">
      <w:pPr>
        <w:spacing w:before="60" w:after="60"/>
      </w:pPr>
    </w:p>
    <w:p w14:paraId="52129C55" w14:textId="77777777" w:rsidR="003E40C5" w:rsidRDefault="00A52B78">
      <w:pPr>
        <w:spacing w:before="100" w:after="120" w:line="360" w:lineRule="auto"/>
        <w:jc w:val="both"/>
      </w:pPr>
      <w:r>
        <w:rPr>
          <w:sz w:val="23"/>
          <w:szCs w:val="23"/>
        </w:rPr>
        <w:t>الظاهرة الموصوفة في هذه الدراسة هي مرآة صادقة ومؤلمة لمرحلة تاريخية فارقة في تونس والمنطقة العربية. إنها صرخة وجودية مُرمَّزة يطلقها شباب يرفض الانصياع لموت بطيء في طوابير الخبز أو مكاتب التشغيل، فيختار مواجهة موت سريع ومُثير على عجلة خلفية.</w:t>
      </w:r>
    </w:p>
    <w:p w14:paraId="2F045839" w14:textId="77777777" w:rsidR="003E40C5" w:rsidRDefault="00A52B78">
      <w:pPr>
        <w:spacing w:before="100" w:after="120" w:line="360" w:lineRule="auto"/>
        <w:jc w:val="both"/>
      </w:pPr>
      <w:r>
        <w:rPr>
          <w:sz w:val="23"/>
          <w:szCs w:val="23"/>
        </w:rPr>
        <w:t>الثقة المطلقة في الصديق ليست غباءً، بل هي الوجه الآخر لانعدام الثقة في الدولة والمستقبل. والجرأة الجسدية ليست هروباً من الواقع بل هي محاولة لصياغة واقع بديل في مساحة الشارع الضيقة.</w:t>
      </w:r>
    </w:p>
    <w:p w14:paraId="54B95966" w14:textId="77777777" w:rsidR="003E40C5" w:rsidRDefault="00A52B78">
      <w:pPr>
        <w:spacing w:before="100" w:after="120" w:line="360" w:lineRule="auto"/>
        <w:jc w:val="both"/>
      </w:pPr>
      <w:r>
        <w:rPr>
          <w:sz w:val="23"/>
          <w:szCs w:val="23"/>
        </w:rPr>
        <w:t>والحل لا يكمن في المزيد من القمع أو المناشير التوعوية الجوفاء، بل في فتح أفق أوسع للحياة — أفق يكون فيه رفع العجلة الأمامية في حلبة رياضية أكثر رجولةً وربحاً ومعنىً من رفعها في شارع مكتظ بالأبرياء.</w:t>
      </w:r>
    </w:p>
    <w:p w14:paraId="65A77DF6" w14:textId="77777777" w:rsidR="003E40C5" w:rsidRDefault="00A52B78">
      <w:pPr>
        <w:spacing w:before="100" w:after="120" w:line="360" w:lineRule="auto"/>
        <w:jc w:val="both"/>
      </w:pPr>
      <w:r>
        <w:rPr>
          <w:sz w:val="23"/>
          <w:szCs w:val="23"/>
        </w:rPr>
        <w:t>المعضلة الأخيرة: لا يمكن لأي سياسة ثقافية مهما بلغت حرفتها أن تُعوّض الشباب عن غياب الكرامة الاقتصادية. ما نُشاهده في شوارع تونس هو نتيجة حتمية لعقد اجتماعي مكسور — ومسؤولية إصلاح هذا العقد تقع على الدولة قبل أن تقع على الشباب.</w:t>
      </w:r>
    </w:p>
    <w:p w14:paraId="65983363" w14:textId="77777777" w:rsidR="003E40C5" w:rsidRDefault="003E40C5">
      <w:pPr>
        <w:pBdr>
          <w:bottom w:val="single" w:sz="6" w:space="2" w:color="B8860B"/>
        </w:pBdr>
        <w:spacing w:before="120" w:after="120"/>
      </w:pPr>
    </w:p>
    <w:p w14:paraId="1AF841D2" w14:textId="77777777" w:rsidR="003E40C5" w:rsidRDefault="003E40C5">
      <w:pPr>
        <w:spacing w:before="120" w:after="60"/>
      </w:pPr>
    </w:p>
    <w:p w14:paraId="4101DB7F" w14:textId="77777777" w:rsidR="003E40C5" w:rsidRDefault="00A52B78">
      <w:pPr>
        <w:spacing w:before="160" w:after="80"/>
        <w:jc w:val="center"/>
      </w:pPr>
      <w:r>
        <w:rPr>
          <w:b/>
          <w:bCs/>
          <w:color w:val="1A3A5C"/>
          <w:sz w:val="26"/>
          <w:szCs w:val="26"/>
        </w:rPr>
        <w:t>وما توفيقي إلا بالله، عليه توكلت وإليه أنيب</w:t>
      </w:r>
    </w:p>
    <w:p w14:paraId="7F4E788A" w14:textId="77777777" w:rsidR="003E40C5" w:rsidRDefault="00A52B78">
      <w:pPr>
        <w:spacing w:before="80" w:after="200"/>
        <w:jc w:val="center"/>
      </w:pPr>
      <w:r>
        <w:rPr>
          <w:color w:val="C0392B"/>
        </w:rPr>
        <w:t>﴿وَمَا أُوتِيتُمْ مِنَ الْعِلْمِ إِلَّا قَلِيلًا﴾</w:t>
      </w:r>
    </w:p>
    <w:p w14:paraId="00734B6F" w14:textId="77777777" w:rsidR="003E40C5" w:rsidRDefault="00A52B78">
      <w:r>
        <w:br w:type="page"/>
      </w:r>
    </w:p>
    <w:p w14:paraId="62219A31" w14:textId="77777777" w:rsidR="003E40C5" w:rsidRDefault="00A52B78">
      <w:pPr>
        <w:pBdr>
          <w:bottom w:val="single" w:sz="8" w:space="4" w:color="2E6DA4"/>
        </w:pBdr>
        <w:spacing w:before="320" w:after="200" w:line="360" w:lineRule="auto"/>
        <w:jc w:val="right"/>
      </w:pPr>
      <w:r>
        <w:rPr>
          <w:b/>
          <w:bCs/>
          <w:color w:val="1A3A5C"/>
          <w:sz w:val="32"/>
          <w:szCs w:val="32"/>
        </w:rPr>
        <w:t>المراجع والمصادر — References</w:t>
      </w:r>
    </w:p>
    <w:p w14:paraId="3E2544D6" w14:textId="77777777" w:rsidR="003E40C5" w:rsidRDefault="003E40C5">
      <w:pPr>
        <w:spacing w:before="80" w:after="60"/>
      </w:pPr>
    </w:p>
    <w:p w14:paraId="36CE8E6C" w14:textId="77777777" w:rsidR="003E40C5" w:rsidRDefault="00A52B78">
      <w:pPr>
        <w:spacing w:before="80" w:after="80" w:line="320" w:lineRule="auto"/>
        <w:jc w:val="right"/>
      </w:pPr>
      <w:r>
        <w:rPr>
          <w:b/>
          <w:bCs/>
          <w:color w:val="1A3A5C"/>
        </w:rPr>
        <w:t>أولاً: المراجع الأجنبية</w:t>
      </w:r>
    </w:p>
    <w:p w14:paraId="2D3AA66B" w14:textId="77777777" w:rsidR="003E40C5" w:rsidRDefault="003E40C5">
      <w:pPr>
        <w:spacing w:before="40" w:after="60"/>
      </w:pPr>
    </w:p>
    <w:p w14:paraId="3E0F20E7" w14:textId="77777777" w:rsidR="003E40C5" w:rsidRDefault="00A52B78">
      <w:pPr>
        <w:spacing w:before="60" w:after="60" w:line="300" w:lineRule="auto"/>
        <w:ind w:left="360" w:hanging="360"/>
      </w:pPr>
      <w:r>
        <w:rPr>
          <w:color w:val="333333"/>
          <w:sz w:val="21"/>
          <w:szCs w:val="21"/>
        </w:rPr>
        <w:t>Bauman, Zygmunt. Liquid Modernity. Cambridge: Polity Press, 2000.</w:t>
      </w:r>
    </w:p>
    <w:p w14:paraId="656E0313" w14:textId="77777777" w:rsidR="003E40C5" w:rsidRDefault="00A52B78">
      <w:pPr>
        <w:spacing w:before="60" w:after="60" w:line="300" w:lineRule="auto"/>
        <w:ind w:left="360" w:hanging="360"/>
      </w:pPr>
      <w:r>
        <w:rPr>
          <w:color w:val="333333"/>
          <w:sz w:val="21"/>
          <w:szCs w:val="21"/>
        </w:rPr>
        <w:t>Bhabha, Homi K. The Location of Culture. London: Routledge, 1994.</w:t>
      </w:r>
    </w:p>
    <w:p w14:paraId="4878E2D8" w14:textId="77777777" w:rsidR="003E40C5" w:rsidRDefault="00A52B78">
      <w:pPr>
        <w:spacing w:before="60" w:after="60" w:line="300" w:lineRule="auto"/>
        <w:ind w:left="360" w:hanging="360"/>
      </w:pPr>
      <w:r>
        <w:rPr>
          <w:color w:val="333333"/>
          <w:sz w:val="21"/>
          <w:szCs w:val="21"/>
        </w:rPr>
        <w:t>Bourdieu, Pierre. Masculine Domination. Stanford: Stanford University Press, 2001.</w:t>
      </w:r>
    </w:p>
    <w:p w14:paraId="60A3445F" w14:textId="77777777" w:rsidR="003E40C5" w:rsidRDefault="00A52B78">
      <w:pPr>
        <w:spacing w:before="60" w:after="60" w:line="300" w:lineRule="auto"/>
        <w:ind w:left="360" w:hanging="360"/>
      </w:pPr>
      <w:r>
        <w:rPr>
          <w:color w:val="333333"/>
          <w:sz w:val="21"/>
          <w:szCs w:val="21"/>
        </w:rPr>
        <w:t>Bourdieu, Pierre. The Logic of Practice. Stanford: Stanford University Press, 1990.</w:t>
      </w:r>
    </w:p>
    <w:p w14:paraId="7282CA6C" w14:textId="77777777" w:rsidR="003E40C5" w:rsidRDefault="00A52B78">
      <w:pPr>
        <w:spacing w:before="60" w:after="60" w:line="300" w:lineRule="auto"/>
        <w:ind w:left="360" w:hanging="360"/>
      </w:pPr>
      <w:r>
        <w:rPr>
          <w:color w:val="333333"/>
          <w:sz w:val="21"/>
          <w:szCs w:val="21"/>
        </w:rPr>
        <w:t>Connell, Raewyn. Masculinities. Cambridge: Polity Press, 1995.</w:t>
      </w:r>
    </w:p>
    <w:p w14:paraId="1E9C903D" w14:textId="77777777" w:rsidR="003E40C5" w:rsidRDefault="00A52B78">
      <w:pPr>
        <w:spacing w:before="60" w:after="60" w:line="300" w:lineRule="auto"/>
        <w:ind w:left="360" w:hanging="360"/>
      </w:pPr>
      <w:r>
        <w:rPr>
          <w:color w:val="333333"/>
          <w:sz w:val="21"/>
          <w:szCs w:val="21"/>
        </w:rPr>
        <w:t>Davis, Mike. Planet of Slums. London: Verso, 2006.</w:t>
      </w:r>
    </w:p>
    <w:p w14:paraId="77564980" w14:textId="77777777" w:rsidR="003E40C5" w:rsidRDefault="00A52B78">
      <w:pPr>
        <w:spacing w:before="60" w:after="60" w:line="300" w:lineRule="auto"/>
        <w:ind w:left="360" w:hanging="360"/>
      </w:pPr>
      <w:r>
        <w:rPr>
          <w:color w:val="333333"/>
          <w:sz w:val="21"/>
          <w:szCs w:val="21"/>
        </w:rPr>
        <w:t>Debord, Guy. The Society of the Spectacle. New York: Zone Books, 1994.</w:t>
      </w:r>
    </w:p>
    <w:p w14:paraId="444EAF6E" w14:textId="77777777" w:rsidR="003E40C5" w:rsidRDefault="00A52B78">
      <w:pPr>
        <w:spacing w:before="60" w:after="60" w:line="300" w:lineRule="auto"/>
        <w:ind w:left="360" w:hanging="360"/>
      </w:pPr>
      <w:r>
        <w:rPr>
          <w:color w:val="333333"/>
          <w:sz w:val="21"/>
          <w:szCs w:val="21"/>
        </w:rPr>
        <w:t>Fanon, Frantz. The Wretched of the Earth. New York: Grove Press, 1963.</w:t>
      </w:r>
    </w:p>
    <w:p w14:paraId="19ACF970" w14:textId="77777777" w:rsidR="003E40C5" w:rsidRDefault="00A52B78">
      <w:pPr>
        <w:spacing w:before="60" w:after="60" w:line="300" w:lineRule="auto"/>
        <w:ind w:left="360" w:hanging="360"/>
      </w:pPr>
      <w:r>
        <w:rPr>
          <w:color w:val="333333"/>
          <w:sz w:val="21"/>
          <w:szCs w:val="21"/>
        </w:rPr>
        <w:t>Foucault, Michel. Discipline and Punish: The Birth of the Prison. New York: Vintage Books, 1977.</w:t>
      </w:r>
    </w:p>
    <w:p w14:paraId="1BE9F570" w14:textId="77777777" w:rsidR="003E40C5" w:rsidRDefault="00A52B78">
      <w:pPr>
        <w:spacing w:before="60" w:after="60" w:line="300" w:lineRule="auto"/>
        <w:ind w:left="360" w:hanging="360"/>
      </w:pPr>
      <w:r>
        <w:rPr>
          <w:color w:val="333333"/>
          <w:sz w:val="21"/>
          <w:szCs w:val="21"/>
        </w:rPr>
        <w:t>Goffman, Erving. The Presentation of Self in Everyday Life. New York: Anchor Books, 1959.</w:t>
      </w:r>
    </w:p>
    <w:p w14:paraId="7979828E" w14:textId="77777777" w:rsidR="003E40C5" w:rsidRDefault="00A52B78">
      <w:pPr>
        <w:spacing w:before="60" w:after="60" w:line="300" w:lineRule="auto"/>
        <w:ind w:left="360" w:hanging="360"/>
      </w:pPr>
      <w:r>
        <w:rPr>
          <w:color w:val="333333"/>
          <w:sz w:val="21"/>
          <w:szCs w:val="21"/>
        </w:rPr>
        <w:t>Gramsci, Antonio. Selections from the Prison Notebooks. London: Lawrence &amp; Wishart, 1971.</w:t>
      </w:r>
    </w:p>
    <w:p w14:paraId="45927C9E" w14:textId="77777777" w:rsidR="003E40C5" w:rsidRDefault="00A52B78">
      <w:pPr>
        <w:spacing w:before="60" w:after="60" w:line="300" w:lineRule="auto"/>
        <w:ind w:left="360" w:hanging="360"/>
      </w:pPr>
      <w:r>
        <w:rPr>
          <w:color w:val="333333"/>
          <w:sz w:val="21"/>
          <w:szCs w:val="21"/>
        </w:rPr>
        <w:t>Han, Byung-Chul. In the Swarm: Digital Prospects. Cambridge: MIT Press, 2017.</w:t>
      </w:r>
    </w:p>
    <w:p w14:paraId="1FC39CFB" w14:textId="77777777" w:rsidR="003E40C5" w:rsidRDefault="00A52B78">
      <w:pPr>
        <w:spacing w:before="60" w:after="60" w:line="300" w:lineRule="auto"/>
        <w:ind w:left="360" w:hanging="360"/>
      </w:pPr>
      <w:r>
        <w:rPr>
          <w:color w:val="333333"/>
          <w:sz w:val="21"/>
          <w:szCs w:val="21"/>
        </w:rPr>
        <w:t>Katz, Jack. Seductions of Crime: Moral and Sensual Attractions in Doing Evil. New York: Basic Books, 1988.</w:t>
      </w:r>
    </w:p>
    <w:p w14:paraId="2E6A0C05" w14:textId="77777777" w:rsidR="003E40C5" w:rsidRDefault="00A52B78">
      <w:pPr>
        <w:spacing w:before="60" w:after="60" w:line="300" w:lineRule="auto"/>
        <w:ind w:left="360" w:hanging="360"/>
      </w:pPr>
      <w:r>
        <w:rPr>
          <w:color w:val="333333"/>
          <w:sz w:val="21"/>
          <w:szCs w:val="21"/>
        </w:rPr>
        <w:t>Lyng, Stephen. 'Edgework: A Social Psychological Analysis of Voluntary Risk Taking.' American Journal of Sociology 95 (1990): 851–886.</w:t>
      </w:r>
    </w:p>
    <w:p w14:paraId="355BF68E" w14:textId="77777777" w:rsidR="003E40C5" w:rsidRDefault="00A52B78">
      <w:pPr>
        <w:spacing w:before="60" w:after="60" w:line="300" w:lineRule="auto"/>
        <w:ind w:left="360" w:hanging="360"/>
      </w:pPr>
      <w:r>
        <w:rPr>
          <w:color w:val="333333"/>
          <w:sz w:val="21"/>
          <w:szCs w:val="21"/>
        </w:rPr>
        <w:t>Lyng, Stephen, ed. Edgework: The Sociology of Risk-Taking. New York: Routledge, 2005.</w:t>
      </w:r>
    </w:p>
    <w:p w14:paraId="240E7E27" w14:textId="77777777" w:rsidR="003E40C5" w:rsidRDefault="00A52B78">
      <w:pPr>
        <w:spacing w:before="60" w:after="60" w:line="300" w:lineRule="auto"/>
        <w:ind w:left="360" w:hanging="360"/>
      </w:pPr>
      <w:r>
        <w:rPr>
          <w:color w:val="333333"/>
          <w:sz w:val="21"/>
          <w:szCs w:val="21"/>
        </w:rPr>
        <w:t>Mbembe, Achille. Necropolitics. Durham: Duke University Press, 2019.</w:t>
      </w:r>
    </w:p>
    <w:p w14:paraId="5B0A6C77" w14:textId="77777777" w:rsidR="003E40C5" w:rsidRDefault="00A52B78">
      <w:pPr>
        <w:spacing w:before="60" w:after="60" w:line="300" w:lineRule="auto"/>
        <w:ind w:left="360" w:hanging="360"/>
      </w:pPr>
      <w:r>
        <w:rPr>
          <w:color w:val="333333"/>
          <w:sz w:val="21"/>
          <w:szCs w:val="21"/>
        </w:rPr>
        <w:t>Parsons, Talcott. The Social System. New York: Free Press, 1951.</w:t>
      </w:r>
    </w:p>
    <w:p w14:paraId="39F00A51" w14:textId="77777777" w:rsidR="003E40C5" w:rsidRDefault="00A52B78">
      <w:pPr>
        <w:spacing w:before="60" w:after="60" w:line="300" w:lineRule="auto"/>
        <w:ind w:left="360" w:hanging="360"/>
      </w:pPr>
      <w:r>
        <w:rPr>
          <w:color w:val="333333"/>
          <w:sz w:val="21"/>
          <w:szCs w:val="21"/>
        </w:rPr>
        <w:t>Organisation Mondiale de la Santé. Rapport sur la sécurité routière en Afrique du Nord. Genève: OMS, 2022.</w:t>
      </w:r>
    </w:p>
    <w:sectPr w:rsidR="003E40C5">
      <w:headerReference w:type="default" r:id="rId7"/>
      <w:footerReference w:type="default" r:id="rId8"/>
      <w:pgSz w:w="11906" w:h="16838"/>
      <w:pgMar w:top="1440" w:right="180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69D6A" w14:textId="77777777" w:rsidR="00A52B78" w:rsidRDefault="00A52B78">
      <w:r>
        <w:separator/>
      </w:r>
    </w:p>
  </w:endnote>
  <w:endnote w:type="continuationSeparator" w:id="0">
    <w:p w14:paraId="62D91C70" w14:textId="77777777" w:rsidR="00A52B78" w:rsidRDefault="00A5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6809" w14:textId="77777777" w:rsidR="003E40C5" w:rsidRDefault="00A52B78">
    <w:pPr>
      <w:pBdr>
        <w:top w:val="single" w:sz="4" w:space="4" w:color="E0E0E0"/>
      </w:pBdr>
      <w:spacing w:before="80"/>
      <w:jc w:val="center"/>
    </w:pPr>
    <w:r>
      <w:rPr>
        <w:color w:val="666666"/>
        <w:sz w:val="18"/>
        <w:szCs w:val="18"/>
      </w:rPr>
      <w:t xml:space="preserve">صفحة </w:t>
    </w:r>
    <w:r>
      <w:rPr>
        <w:color w:val="2E6DA4"/>
        <w:sz w:val="18"/>
        <w:szCs w:val="18"/>
      </w:rPr>
      <w:fldChar w:fldCharType="begin"/>
    </w:r>
    <w:r>
      <w:rPr>
        <w:color w:val="2E6DA4"/>
        <w:sz w:val="18"/>
        <w:szCs w:val="18"/>
      </w:rPr>
      <w:instrText>PAGE</w:instrText>
    </w:r>
    <w:r>
      <w:rPr>
        <w:color w:val="2E6DA4"/>
        <w:sz w:val="18"/>
        <w:szCs w:val="18"/>
      </w:rPr>
      <w:fldChar w:fldCharType="separate"/>
    </w:r>
    <w:r>
      <w:rPr>
        <w:color w:val="2E6DA4"/>
        <w:sz w:val="18"/>
        <w:szCs w:val="18"/>
      </w:rPr>
      <w:fldChar w:fldCharType="end"/>
    </w:r>
    <w:r>
      <w:rPr>
        <w:color w:val="666666"/>
        <w:sz w:val="18"/>
        <w:szCs w:val="18"/>
      </w:rPr>
      <w:t xml:space="preserve"> | علم الاجتماع الحضري • علم النفس الاجتماعي • الدراسات الثقافية النقدية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E46A" w14:textId="77777777" w:rsidR="00A52B78" w:rsidRDefault="00A52B78">
      <w:r>
        <w:separator/>
      </w:r>
    </w:p>
  </w:footnote>
  <w:footnote w:type="continuationSeparator" w:id="0">
    <w:p w14:paraId="5C064743" w14:textId="77777777" w:rsidR="00A52B78" w:rsidRDefault="00A52B78">
      <w:r>
        <w:continuationSeparator/>
      </w:r>
    </w:p>
  </w:footnote>
  <w:footnote w:id="1">
    <w:p w14:paraId="5EDE04CA" w14:textId="77777777" w:rsidR="003E40C5" w:rsidRDefault="00A52B78">
      <w:pPr>
        <w:jc w:val="right"/>
      </w:pPr>
      <w:r>
        <w:rPr>
          <w:rStyle w:val="a5"/>
        </w:rPr>
        <w:footnoteRef/>
      </w:r>
      <w:r>
        <w:rPr>
          <w:sz w:val="18"/>
          <w:szCs w:val="18"/>
        </w:rPr>
        <w:t>Stephen Lyng, "Edgework: A Social Psychological Analysis of Voluntary Risk Taking," American Journal of Sociology 95 (1990): 851–886.</w:t>
      </w:r>
    </w:p>
  </w:footnote>
  <w:footnote w:id="2">
    <w:p w14:paraId="066AAEE0" w14:textId="77777777" w:rsidR="003E40C5" w:rsidRDefault="00A52B78">
      <w:pPr>
        <w:jc w:val="right"/>
      </w:pPr>
      <w:r>
        <w:rPr>
          <w:rStyle w:val="a5"/>
        </w:rPr>
        <w:footnoteRef/>
      </w:r>
      <w:r>
        <w:rPr>
          <w:sz w:val="18"/>
          <w:szCs w:val="18"/>
        </w:rPr>
        <w:t>Erving Goffman, The Presentation of Self in Everyday Life (New York: Anchor Books, 1959).</w:t>
      </w:r>
    </w:p>
  </w:footnote>
  <w:footnote w:id="3">
    <w:p w14:paraId="45C373A8" w14:textId="77777777" w:rsidR="003E40C5" w:rsidRDefault="00A52B78">
      <w:pPr>
        <w:jc w:val="right"/>
      </w:pPr>
      <w:r>
        <w:rPr>
          <w:rStyle w:val="a5"/>
        </w:rPr>
        <w:footnoteRef/>
      </w:r>
      <w:r>
        <w:rPr>
          <w:sz w:val="18"/>
          <w:szCs w:val="18"/>
        </w:rPr>
        <w:t>Raewyn Connell, Masculinities (Cambridge: Polity Press, 1995).</w:t>
      </w:r>
    </w:p>
  </w:footnote>
  <w:footnote w:id="4">
    <w:p w14:paraId="7638DB48" w14:textId="77777777" w:rsidR="003E40C5" w:rsidRDefault="00A52B78">
      <w:pPr>
        <w:jc w:val="right"/>
      </w:pPr>
      <w:r>
        <w:rPr>
          <w:rStyle w:val="a5"/>
        </w:rPr>
        <w:footnoteRef/>
      </w:r>
      <w:r>
        <w:rPr>
          <w:sz w:val="18"/>
          <w:szCs w:val="18"/>
        </w:rPr>
        <w:t>Homi K. Bhabha, The Location of Culture (London: Routledge, 1994).</w:t>
      </w:r>
    </w:p>
  </w:footnote>
  <w:footnote w:id="5">
    <w:p w14:paraId="7E413E88" w14:textId="77777777" w:rsidR="003E40C5" w:rsidRDefault="00A52B78">
      <w:pPr>
        <w:jc w:val="right"/>
      </w:pPr>
      <w:r>
        <w:rPr>
          <w:rStyle w:val="a5"/>
        </w:rPr>
        <w:footnoteRef/>
      </w:r>
      <w:r>
        <w:rPr>
          <w:sz w:val="18"/>
          <w:szCs w:val="18"/>
        </w:rPr>
        <w:t>Institut National de la Statistique (INS) Tunisie, Enquête nationale sur l'emploi 2023.</w:t>
      </w:r>
    </w:p>
  </w:footnote>
  <w:footnote w:id="6">
    <w:p w14:paraId="2808DE78" w14:textId="77777777" w:rsidR="003E40C5" w:rsidRDefault="00A52B78">
      <w:pPr>
        <w:jc w:val="right"/>
      </w:pPr>
      <w:r>
        <w:rPr>
          <w:rStyle w:val="a5"/>
        </w:rPr>
        <w:footnoteRef/>
      </w:r>
      <w:r>
        <w:rPr>
          <w:sz w:val="18"/>
          <w:szCs w:val="18"/>
        </w:rPr>
        <w:t>Organisation Mondiale de la Santé, Rapport sur la sécurité routière en Afrique du Nord, Genève: OMS,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C6C8" w14:textId="77777777" w:rsidR="003E40C5" w:rsidRDefault="00A52B78">
    <w:pPr>
      <w:pBdr>
        <w:bottom w:val="single" w:sz="6" w:space="4" w:color="2E6DA4"/>
      </w:pBdr>
      <w:spacing w:after="80"/>
      <w:jc w:val="center"/>
    </w:pPr>
    <w:r>
      <w:rPr>
        <w:color w:val="2E6DA4"/>
        <w:sz w:val="18"/>
        <w:szCs w:val="18"/>
      </w:rPr>
      <w:t>التحديق في الموت بعجلة واحدة — بحث أكاديمي محكّم | عبد السلام الزراع | 2025م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F370B"/>
    <w:multiLevelType w:val="hybridMultilevel"/>
    <w:tmpl w:val="FFFFFFFF"/>
    <w:lvl w:ilvl="0" w:tplc="9D96F566">
      <w:start w:val="1"/>
      <w:numFmt w:val="bullet"/>
      <w:lvlText w:val="●"/>
      <w:lvlJc w:val="left"/>
      <w:pPr>
        <w:ind w:left="720" w:hanging="360"/>
      </w:pPr>
    </w:lvl>
    <w:lvl w:ilvl="1" w:tplc="F09C3714">
      <w:start w:val="1"/>
      <w:numFmt w:val="bullet"/>
      <w:lvlText w:val="○"/>
      <w:lvlJc w:val="left"/>
      <w:pPr>
        <w:ind w:left="1440" w:hanging="360"/>
      </w:pPr>
    </w:lvl>
    <w:lvl w:ilvl="2" w:tplc="85883658">
      <w:start w:val="1"/>
      <w:numFmt w:val="bullet"/>
      <w:lvlText w:val="■"/>
      <w:lvlJc w:val="left"/>
      <w:pPr>
        <w:ind w:left="2160" w:hanging="360"/>
      </w:pPr>
    </w:lvl>
    <w:lvl w:ilvl="3" w:tplc="40707B46">
      <w:start w:val="1"/>
      <w:numFmt w:val="bullet"/>
      <w:lvlText w:val="●"/>
      <w:lvlJc w:val="left"/>
      <w:pPr>
        <w:ind w:left="2880" w:hanging="360"/>
      </w:pPr>
    </w:lvl>
    <w:lvl w:ilvl="4" w:tplc="C16011EC">
      <w:start w:val="1"/>
      <w:numFmt w:val="bullet"/>
      <w:lvlText w:val="○"/>
      <w:lvlJc w:val="left"/>
      <w:pPr>
        <w:ind w:left="3600" w:hanging="360"/>
      </w:pPr>
    </w:lvl>
    <w:lvl w:ilvl="5" w:tplc="E438F114">
      <w:start w:val="1"/>
      <w:numFmt w:val="bullet"/>
      <w:lvlText w:val="■"/>
      <w:lvlJc w:val="left"/>
      <w:pPr>
        <w:ind w:left="4320" w:hanging="360"/>
      </w:pPr>
    </w:lvl>
    <w:lvl w:ilvl="6" w:tplc="53764DA6">
      <w:start w:val="1"/>
      <w:numFmt w:val="bullet"/>
      <w:lvlText w:val="●"/>
      <w:lvlJc w:val="left"/>
      <w:pPr>
        <w:ind w:left="5040" w:hanging="360"/>
      </w:pPr>
    </w:lvl>
    <w:lvl w:ilvl="7" w:tplc="5854139E">
      <w:start w:val="1"/>
      <w:numFmt w:val="bullet"/>
      <w:lvlText w:val="●"/>
      <w:lvlJc w:val="left"/>
      <w:pPr>
        <w:ind w:left="5760" w:hanging="360"/>
      </w:pPr>
    </w:lvl>
    <w:lvl w:ilvl="8" w:tplc="F26A850A">
      <w:start w:val="1"/>
      <w:numFmt w:val="bullet"/>
      <w:lvlText w:val="●"/>
      <w:lvlJc w:val="left"/>
      <w:pPr>
        <w:ind w:left="6480" w:hanging="360"/>
      </w:pPr>
    </w:lvl>
  </w:abstractNum>
  <w:num w:numId="1" w16cid:durableId="13645543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C5"/>
    <w:rsid w:val="003270DB"/>
    <w:rsid w:val="003E40C5"/>
    <w:rsid w:val="00A52B78"/>
    <w:rsid w:val="00AA00AC"/>
    <w:rsid w:val="00E245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4C7D2CD"/>
  <w15:docId w15:val="{9C636533-B993-964F-B3ED-D6850A90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3416</Words>
  <Characters>19472</Characters>
  <Application>Microsoft Office Word</Application>
  <DocSecurity>0</DocSecurity>
  <Lines>162</Lines>
  <Paragraphs>45</Paragraphs>
  <ScaleCrop>false</ScaleCrop>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2026-04-21T19:18:00Z</dcterms:created>
  <dcterms:modified xsi:type="dcterms:W3CDTF">2026-04-21T19:21:00Z</dcterms:modified>
</cp:coreProperties>
</file>