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300" w:after="300"/>
      </w:pPr>
    </w:p>
    <w:p>
      <w:pPr>
        <w:bidi/>
        <w:spacing w:before="80" w:after="60"/>
        <w:jc w:val="center"/>
      </w:pPr>
      <w:r>
        <w:rPr>
          <w:rFonts w:ascii="Arial" w:cs="Arial" w:eastAsia="Arial" w:hAnsi="Arial"/>
          <w:b/>
          <w:bCs/>
          <w:color w:val="8B6914"/>
          <w:sz w:val="26"/>
          <w:szCs w:val="26"/>
        </w:rPr>
        <w:t xml:space="preserve">الجزء الأول — المقدمة</w:t>
      </w:r>
    </w:p>
    <w:p>
      <w:pPr>
        <w:bidi/>
        <w:spacing w:before="60" w:after="60"/>
        <w:jc w:val="center"/>
      </w:pPr>
      <w:r>
        <w:rPr>
          <w:rFonts w:ascii="Arial" w:cs="Arial" w:eastAsia="Arial" w:hAnsi="Arial"/>
          <w:color w:val="666666"/>
          <w:sz w:val="32"/>
          <w:szCs w:val="32"/>
        </w:rPr>
        <w:t xml:space="preserve">الفصل الرابع</w:t>
      </w:r>
    </w:p>
    <w:p>
      <w:pPr>
        <w:bidi/>
        <w:spacing w:before="60" w:after="60"/>
        <w:jc w:val="center"/>
      </w:pPr>
      <w:r>
        <w:rPr>
          <w:rFonts w:ascii="Arial" w:cs="Arial" w:eastAsia="Arial" w:hAnsi="Arial"/>
          <w:b/>
          <w:bCs/>
          <w:color w:val="1A3C5E"/>
          <w:sz w:val="52"/>
          <w:szCs w:val="52"/>
        </w:rPr>
        <w:t xml:space="preserve">القرآن كمرجعية متعالية فريدة</w:t>
      </w:r>
    </w:p>
    <w:p>
      <w:pPr>
        <w:bidi/>
        <w:spacing w:before="60" w:after="60"/>
        <w:jc w:val="center"/>
      </w:pPr>
      <w:r>
        <w:rPr>
          <w:rFonts w:ascii="Arial" w:cs="Arial" w:eastAsia="Arial" w:hAnsi="Arial"/>
          <w:b/>
          <w:bCs/>
          <w:color w:val="2E6DA4"/>
          <w:sz w:val="30"/>
          <w:szCs w:val="30"/>
        </w:rPr>
        <w:t xml:space="preserve">ما يتجاوز به كل البدائل الإنسانية</w:t>
      </w:r>
    </w:p>
    <w:p>
      <w:pPr>
        <w:pBdr>
          <w:bottom w:val="single" w:color="B8860B" w:sz="8" w:space="1"/>
        </w:pBdr>
        <w:spacing w:before="60" w:after="400"/>
        <w:jc w:val="center"/>
      </w:pPr>
      <w:r>
        <w:rPr>
          <w:rFonts w:ascii="Arial" w:cs="Arial" w:eastAsia="Arial" w:hAnsi="Arial"/>
          <w:color w:val="8B6914"/>
          <w:sz w:val="22"/>
          <w:szCs w:val="22"/>
        </w:rPr>
        <w:t xml:space="preserve">تحليل مسهب للمحاور الثلاثة التي يتجاوز بها القرآن سقف البدائل الغربية</w:t>
      </w:r>
    </w:p>
    <w:p>
      <w:pPr>
        <w:pBdr>
          <w:top w:val="single" w:color="B8860B" w:sz="3"/>
          <w:bottom w:val="single" w:color="B8860B" w:sz="3"/>
          <w:left w:val="single" w:color="B8860B" w:sz="22"/>
          <w:right w:val="single" w:color="B8860B" w:sz="22"/>
        </w:pBdr>
        <w:bidi/>
        <w:spacing w:before="240" w:after="160"/>
        <w:jc w:val="center"/>
      </w:pPr>
      <w:r>
        <w:rPr>
          <w:rFonts w:ascii="Arial" w:cs="Arial" w:eastAsia="Arial" w:hAnsi="Arial"/>
          <w:b/>
          <w:bCs/>
          <w:color w:val="5C3D11"/>
          <w:sz w:val="28"/>
          <w:szCs w:val="28"/>
        </w:rPr>
        <w:t xml:space="preserve">وَنُنَزِّلُ مِنَ الْقُرْآنِ مَا هُوَ شِفَاءٌ وَرَحْمَةٌ لِّلْمُؤْمِنِينَ وَلَا يَزِيدُ الظَّالِمِينَ إِلَّا خَسَارًا</w:t>
      </w:r>
      <w:r>
        <w:rPr>
          <w:rFonts w:ascii="Arial" w:cs="Arial" w:eastAsia="Arial" w:hAnsi="Arial"/>
          <w:color w:val="8B6914"/>
          <w:sz w:val="20"/>
          <w:szCs w:val="20"/>
        </w:rPr>
        <w:br/>
        <w:t xml:space="preserve">
— الإسراء: ٨٢</w:t>
      </w:r>
    </w:p>
    <w:p>
      <w:pPr>
        <w:spacing w:before="100" w:after="100"/>
      </w:pPr>
    </w:p>
    <w:p>
      <w:pPr>
        <w:bidi/>
        <w:spacing w:before="150" w:after="170" w:line="400"/>
        <w:ind w:firstLine="720"/>
      </w:pPr>
      <w:r>
        <w:rPr>
          <w:rFonts w:ascii="Arial" w:cs="Arial" w:eastAsia="Arial" w:hAnsi="Arial"/>
          <w:b w:val="false"/>
          <w:bCs w:val="false"/>
          <w:color w:val="1A1A1A"/>
          <w:sz w:val="24"/>
          <w:szCs w:val="24"/>
        </w:rPr>
        <w:t xml:space="preserve">خلص الفصل الثالث إلى أن البدائل الغربية الأربعة — على تنوعها وثراء إسهاماتها — تصطدم جميعها بسقف واحد: عجزها عن تقديم مرجعية متعالية حاضرة فاعلة تُجيب على الأسئلة الوجودية الكبرى. وكان ذلك توطئةً ضرورية لهذا الفصل الذي يُجيب على السؤال المحوري: ما الذي يُقدّمه القرآن بالضبط مما يتجاوز هذا السقف؟</w:t>
      </w:r>
    </w:p>
    <w:p>
      <w:pPr>
        <w:bidi/>
        <w:spacing w:before="150" w:after="170" w:line="400"/>
        <w:ind w:firstLine="720"/>
      </w:pPr>
      <w:r>
        <w:rPr>
          <w:rFonts w:ascii="Arial" w:cs="Arial" w:eastAsia="Arial" w:hAnsi="Arial"/>
          <w:b w:val="false"/>
          <w:bCs w:val="false"/>
          <w:color w:val="1A1A1A"/>
          <w:sz w:val="24"/>
          <w:szCs w:val="24"/>
        </w:rPr>
        <w:t xml:space="preserve">الإجابة تتكشّف عبر ثلاثة محاور كبرى — كل واحد منها فارق جوهري لا مجرد فارق درجة. وهذه المحاور الثلاثة هي بالضبط الأضلاع التي تُميّز النموذج القرآني عن كل ما عرفه تاريخ الفكر الإنساني في معالجة النفس البشرية.</w:t>
      </w:r>
    </w:p>
    <w:p>
      <w:pPr>
        <w:spacing w:before="80" w:after="80"/>
      </w:pPr>
    </w:p>
    <w:p>
      <w:pPr>
        <w:pBdr>
          <w:bottom w:val="single" w:color="1A3C5E" w:sz="10" w:space="3"/>
          <w:right w:val="single" w:color="B8860B" w:sz="28" w:space="7"/>
        </w:pBdr>
        <w:bidi/>
        <w:spacing w:before="500" w:after="240"/>
        <w:jc w:val="right"/>
      </w:pPr>
      <w:r>
        <w:rPr>
          <w:rFonts w:ascii="Arial" w:cs="Arial" w:eastAsia="Arial" w:hAnsi="Arial"/>
          <w:b/>
          <w:bCs/>
          <w:color w:val="1A3C5E"/>
          <w:sz w:val="40"/>
          <w:szCs w:val="40"/>
        </w:rPr>
        <w:t xml:space="preserve">١ — المحور الأول: المرجعية الحاضرة الفاعلة</w:t>
      </w:r>
    </w:p>
    <w:p>
      <w:pPr>
        <w:bidi/>
        <w:spacing w:before="320" w:after="160"/>
        <w:jc w:val="right"/>
      </w:pPr>
      <w:r>
        <w:rPr>
          <w:rFonts w:ascii="Arial" w:cs="Arial" w:eastAsia="Arial" w:hAnsi="Arial"/>
          <w:b/>
          <w:bCs/>
          <w:color w:val="2E6DA4"/>
          <w:sz w:val="30"/>
          <w:szCs w:val="30"/>
        </w:rPr>
        <w:t xml:space="preserve">١-١ الفارق بين الوظيفة والعلاقة</w:t>
      </w:r>
    </w:p>
    <w:p>
      <w:pPr>
        <w:bidi/>
        <w:spacing w:before="150" w:after="170" w:line="400"/>
        <w:ind w:firstLine="720"/>
      </w:pPr>
      <w:r>
        <w:rPr>
          <w:rFonts w:ascii="Arial" w:cs="Arial" w:eastAsia="Arial" w:hAnsi="Arial"/>
          <w:b w:val="false"/>
          <w:bCs w:val="false"/>
          <w:color w:val="1A1A1A"/>
          <w:sz w:val="24"/>
          <w:szCs w:val="24"/>
        </w:rPr>
        <w:t xml:space="preserve">أثبت الفصل الثالث أن لاكان كان على حق حين قال إن النفس تحتاج إلى مرجعية منظِّمة خارجها — لكنه أخطأ حين اكتفى بـ'الاسم' و'الأثر'. فالنفس لا تطمئن لمن يُنظّمها فحسب — بل تطمئن لمن يُحبّها ويسمعها ويستجيب لها. وبين الوظيفة والعلاقة فارق وجودي لا يُردم بأي تقنية نفسية.</w:t>
      </w:r>
    </w:p>
    <w:p>
      <w:pPr>
        <w:bidi/>
        <w:spacing w:before="150" w:after="170" w:line="400"/>
        <w:ind w:firstLine="720"/>
      </w:pPr>
      <w:r>
        <w:rPr>
          <w:rFonts w:ascii="Arial" w:cs="Arial" w:eastAsia="Arial" w:hAnsi="Arial"/>
          <w:b w:val="false"/>
          <w:bCs w:val="false"/>
          <w:color w:val="1A1A1A"/>
          <w:sz w:val="24"/>
          <w:szCs w:val="24"/>
        </w:rPr>
        <w:t xml:space="preserve">القرآن لا يُقدّم مرجعيةً وظيفية — بل يُقدّم علاقةً حيّة. وهذا الفارق ليس لاهوتياً بل نفسي في جوهره: النفس الإنسانية بُنيت على الحاجة إلى العلاقة لا على الحاجة إلى التنظيم. ولهذا الشعور بالوحدة الوجودية — حتى وسط الجموع — لا يُشفيه نظام بل يُشفيه حضور.</w:t>
      </w:r>
    </w:p>
    <w:p>
      <w:pPr>
        <w:pBdr>
          <w:top w:val="single" w:color="B8860B" w:sz="3"/>
          <w:bottom w:val="single" w:color="B8860B" w:sz="3"/>
          <w:left w:val="single" w:color="B8860B" w:sz="22"/>
          <w:right w:val="single" w:color="B8860B" w:sz="22"/>
        </w:pBdr>
        <w:bidi/>
        <w:spacing w:before="240" w:after="160"/>
        <w:jc w:val="center"/>
      </w:pPr>
      <w:r>
        <w:rPr>
          <w:rFonts w:ascii="Arial" w:cs="Arial" w:eastAsia="Arial" w:hAnsi="Arial"/>
          <w:b/>
          <w:bCs/>
          <w:color w:val="5C3D11"/>
          <w:sz w:val="28"/>
          <w:szCs w:val="28"/>
        </w:rPr>
        <w:t xml:space="preserve">وَهُوَ مَعَكُمْ أَيْنَ مَا كُنتُمْ وَاللَّهُ بِمَا تَعْمَلُونَ بَصِيرٌ</w:t>
      </w:r>
      <w:r>
        <w:rPr>
          <w:rFonts w:ascii="Arial" w:cs="Arial" w:eastAsia="Arial" w:hAnsi="Arial"/>
          <w:color w:val="8B6914"/>
          <w:sz w:val="20"/>
          <w:szCs w:val="20"/>
        </w:rPr>
        <w:br/>
        <w:t xml:space="preserve">
— الحديد: ٤</w:t>
      </w:r>
    </w:p>
    <w:p>
      <w:pPr>
        <w:bidi/>
        <w:spacing w:before="150" w:after="170" w:line="400"/>
        <w:ind w:firstLine="720"/>
      </w:pPr>
      <w:r>
        <w:rPr>
          <w:rFonts w:ascii="Arial" w:cs="Arial" w:eastAsia="Arial" w:hAnsi="Arial"/>
          <w:b w:val="false"/>
          <w:bCs w:val="false"/>
          <w:color w:val="1A1A1A"/>
          <w:sz w:val="24"/>
          <w:szCs w:val="24"/>
        </w:rPr>
        <w:t xml:space="preserve">'وهو معكم أين ما كنتم' — هذه الجملة القرآنية القصيرة تُطلق أعمق ردٍّ على الوحدة الوجودية الحديثة. ليست وعداً بأن الله سيكون معك في المستقبل — بل إخبار بأنه معك الآن، في هذه اللحظة، في هذا المكان. وهذا الحضور غير المشروط وغير المحدود لا يُقدّمه أي نظام نفسي غربي لأنه لا يملكه.</w:t>
      </w:r>
    </w:p>
    <w:p>
      <w:pPr>
        <w:bidi/>
        <w:spacing w:before="320" w:after="160"/>
        <w:jc w:val="right"/>
      </w:pPr>
      <w:r>
        <w:rPr>
          <w:rFonts w:ascii="Arial" w:cs="Arial" w:eastAsia="Arial" w:hAnsi="Arial"/>
          <w:b/>
          <w:bCs/>
          <w:color w:val="2E6DA4"/>
          <w:sz w:val="30"/>
          <w:szCs w:val="30"/>
        </w:rPr>
        <w:t xml:space="preserve">١-٢ ثلاثة أبعاد لهذا الحضور</w:t>
      </w:r>
    </w:p>
    <w:p>
      <w:pPr>
        <w:bidi/>
        <w:spacing w:before="220" w:after="110"/>
        <w:jc w:val="right"/>
      </w:pPr>
      <w:r>
        <w:rPr>
          <w:rFonts w:ascii="Arial" w:cs="Arial" w:eastAsia="Arial" w:hAnsi="Arial"/>
          <w:b/>
          <w:bCs/>
          <w:color w:val="4A8FC1"/>
          <w:sz w:val="26"/>
          <w:szCs w:val="26"/>
        </w:rPr>
        <w:t xml:space="preserve">أ — الحضور السامع</w:t>
      </w:r>
    </w:p>
    <w:p>
      <w:pPr>
        <w:bidi/>
        <w:spacing w:before="150" w:after="170" w:line="400"/>
        <w:ind w:firstLine="720"/>
      </w:pPr>
      <w:r>
        <w:rPr>
          <w:rFonts w:ascii="Arial" w:cs="Arial" w:eastAsia="Arial" w:hAnsi="Arial"/>
          <w:b w:val="false"/>
          <w:bCs w:val="false"/>
          <w:color w:val="1A1A1A"/>
          <w:sz w:val="24"/>
          <w:szCs w:val="24"/>
        </w:rPr>
        <w:t xml:space="preserve">البُعد الأول هو أن هذا الحضور يسمع — وليس سماعاً مجازياً بل سماعاً وجودياً يُغيّر طبيعة الألم حين يُعلَم أنه مسموع. علم النفس الحديث يعرف هذه الحقيقة من زاوية علاجية: الشعور بأن ألمك مسموع يُغيّر الكيمياء العصبية للألم ذاته.</w:t>
      </w:r>
    </w:p>
    <w:p>
      <w:pPr>
        <w:pBdr>
          <w:left w:val="single" w:color="2E6DA4" w:sz="20" w:space="6"/>
        </w:pBdr>
        <w:spacing w:before="200" w:after="160"/>
        <w:ind w:left="800" w:right="200"/>
        <w:jc w:val="left"/>
      </w:pPr>
      <w:r>
        <w:rPr>
          <w:rFonts w:ascii="Arial" w:cs="Arial" w:eastAsia="Arial" w:hAnsi="Arial"/>
          <w:color w:val="2A2A2A"/>
          <w:sz w:val="22"/>
          <w:szCs w:val="22"/>
        </w:rPr>
        <w:t xml:space="preserve">« Être entendu est si proche d'être aimé que pour le commun des mortels, c'est presque indiscernable. Quand je sens que je suis vraiment entendu, mes perceptions du monde se modifient. »</w:t>
      </w:r>
      <w:r>
        <w:rPr>
          <w:rFonts w:ascii="Arial" w:cs="Arial" w:eastAsia="Arial" w:hAnsi="Arial"/>
          <w:color w:val="666666"/>
          <w:sz w:val="19"/>
          <w:szCs w:val="19"/>
        </w:rPr>
        <w:br/>
        <w:t xml:space="preserve">
— Carl Rogers — Le Développement de la personne (1961), Dunod, Paris, 1998, p. 7</w:t>
      </w:r>
    </w:p>
    <w:p>
      <w:pPr>
        <w:bidi/>
        <w:spacing w:before="150" w:after="170" w:line="400"/>
        <w:ind w:firstLine="720"/>
      </w:pPr>
      <w:r>
        <w:rPr>
          <w:rFonts w:ascii="Arial" w:cs="Arial" w:eastAsia="Arial" w:hAnsi="Arial"/>
          <w:b w:val="false"/>
          <w:bCs w:val="false"/>
          <w:color w:val="1A1A1A"/>
          <w:sz w:val="24"/>
          <w:szCs w:val="24"/>
        </w:rPr>
        <w:t xml:space="preserve">ما يصفه كارل روجرز كمُثُل علاجي يُقدّمه القرآن كحقيقة كونية: الله سميع دائماً لا في ساعة العيادة فحسب. ولهذا الدعاء — في جوهره — ليس مجرد طقس ديني بل هو أداة نفسية بالغة الأثر: الإفصاح عن الألم لمن يسمع حقاً.</w:t>
      </w:r>
    </w:p>
    <w:p>
      <w:pPr>
        <w:pBdr>
          <w:top w:val="single" w:color="B8860B" w:sz="3"/>
          <w:bottom w:val="single" w:color="B8860B" w:sz="3"/>
          <w:left w:val="single" w:color="B8860B" w:sz="22"/>
          <w:right w:val="single" w:color="B8860B" w:sz="22"/>
        </w:pBdr>
        <w:bidi/>
        <w:spacing w:before="240" w:after="160"/>
        <w:jc w:val="center"/>
      </w:pPr>
      <w:r>
        <w:rPr>
          <w:rFonts w:ascii="Arial" w:cs="Arial" w:eastAsia="Arial" w:hAnsi="Arial"/>
          <w:b/>
          <w:bCs/>
          <w:color w:val="5C3D11"/>
          <w:sz w:val="28"/>
          <w:szCs w:val="28"/>
        </w:rPr>
        <w:t xml:space="preserve">وَإِذَا سَأَلَكَ عِبَادِي عَنِّي فَإِنِّي قَرِيبٌ أُجِيبُ دَعْوَةَ الدَّاعِ إِذَا دَعَانِ فَلْيَسْتَجِيبُوا لِي وَلْيُؤْمِنُوا بِي لَعَلَّهُمْ يَرْشُدُونَ</w:t>
      </w:r>
      <w:r>
        <w:rPr>
          <w:rFonts w:ascii="Arial" w:cs="Arial" w:eastAsia="Arial" w:hAnsi="Arial"/>
          <w:color w:val="8B6914"/>
          <w:sz w:val="20"/>
          <w:szCs w:val="20"/>
        </w:rPr>
        <w:br/>
        <w:t xml:space="preserve">
— البقرة: ١٨٦</w:t>
      </w:r>
    </w:p>
    <w:p>
      <w:pPr>
        <w:bidi/>
        <w:spacing w:before="150" w:after="170" w:line="400"/>
        <w:ind w:firstLine="720"/>
      </w:pPr>
      <w:r>
        <w:rPr>
          <w:rFonts w:ascii="Arial" w:cs="Arial" w:eastAsia="Arial" w:hAnsi="Arial"/>
          <w:b w:val="false"/>
          <w:bCs w:val="false"/>
          <w:color w:val="1A1A1A"/>
          <w:sz w:val="24"/>
          <w:szCs w:val="24"/>
        </w:rPr>
        <w:t xml:space="preserve">الدقة البلاغية في هذه الآية مُذهلة: لم يقل 'قل لهم إني قريب' بل أجاب الله مباشرةً دون وسيط — 'فإني قريب'. وكأن الله سبحانه يُريد أن يُوصل الرسالة بلا وسيط: الحضور مباشر والقرب حقيقي.</w:t>
      </w:r>
    </w:p>
    <w:p>
      <w:pPr>
        <w:bidi/>
        <w:spacing w:before="220" w:after="110"/>
        <w:jc w:val="right"/>
      </w:pPr>
      <w:r>
        <w:rPr>
          <w:rFonts w:ascii="Arial" w:cs="Arial" w:eastAsia="Arial" w:hAnsi="Arial"/>
          <w:b/>
          <w:bCs/>
          <w:color w:val="4A8FC1"/>
          <w:sz w:val="26"/>
          <w:szCs w:val="26"/>
        </w:rPr>
        <w:t xml:space="preserve">ب — الحضور العالِم</w:t>
      </w:r>
    </w:p>
    <w:p>
      <w:pPr>
        <w:bidi/>
        <w:spacing w:before="150" w:after="170" w:line="400"/>
        <w:ind w:firstLine="720"/>
      </w:pPr>
      <w:r>
        <w:rPr>
          <w:rFonts w:ascii="Arial" w:cs="Arial" w:eastAsia="Arial" w:hAnsi="Arial"/>
          <w:b w:val="false"/>
          <w:bCs w:val="false"/>
          <w:color w:val="1A1A1A"/>
          <w:sz w:val="24"/>
          <w:szCs w:val="24"/>
        </w:rPr>
        <w:t xml:space="preserve">البُعد الثاني هو أن هذا الحضور يعلم — ليس فقط ما يُقال بل ما لا يُقال، ما في الصدور وما في الخواطر. وهذا يُحوّل الوحدة النفسية من جذورها: فالإنسان الذي يعرف أن ألمه الداخلي الأعمق معلوم ومُدرَك لا يشعر بالوحدة التي يشعر بها من يظن أن داخله مظلم لا يراه أحد.</w:t>
      </w:r>
    </w:p>
    <w:p>
      <w:pPr>
        <w:pBdr>
          <w:top w:val="single" w:color="B8860B" w:sz="3"/>
          <w:bottom w:val="single" w:color="B8860B" w:sz="3"/>
          <w:left w:val="single" w:color="B8860B" w:sz="22"/>
          <w:right w:val="single" w:color="B8860B" w:sz="22"/>
        </w:pBdr>
        <w:bidi/>
        <w:spacing w:before="240" w:after="160"/>
        <w:jc w:val="center"/>
      </w:pPr>
      <w:r>
        <w:rPr>
          <w:rFonts w:ascii="Arial" w:cs="Arial" w:eastAsia="Arial" w:hAnsi="Arial"/>
          <w:b/>
          <w:bCs/>
          <w:color w:val="5C3D11"/>
          <w:sz w:val="28"/>
          <w:szCs w:val="28"/>
        </w:rPr>
        <w:t xml:space="preserve">وَنَحْنُ أَقْرَبُ إِلَيْهِ مِنْ حَبْلِ الْوَرِيدِ</w:t>
      </w:r>
      <w:r>
        <w:rPr>
          <w:rFonts w:ascii="Arial" w:cs="Arial" w:eastAsia="Arial" w:hAnsi="Arial"/>
          <w:color w:val="8B6914"/>
          <w:sz w:val="20"/>
          <w:szCs w:val="20"/>
        </w:rPr>
        <w:br/>
        <w:t xml:space="preserve">
— ق: ١٦</w:t>
      </w:r>
    </w:p>
    <w:p>
      <w:pPr>
        <w:bidi/>
        <w:spacing w:before="150" w:after="170" w:line="400"/>
        <w:ind w:firstLine="720"/>
      </w:pPr>
      <w:r>
        <w:rPr>
          <w:rFonts w:ascii="Arial" w:cs="Arial" w:eastAsia="Arial" w:hAnsi="Arial"/>
          <w:b w:val="false"/>
          <w:bCs w:val="false"/>
          <w:color w:val="1A1A1A"/>
          <w:sz w:val="24"/>
          <w:szCs w:val="24"/>
        </w:rPr>
        <w:t xml:space="preserve">'حبل الوريد' — الوريد الوداجي الذي ينقل الدم إلى القلب. الله أقرب من هذا الوريد — أي أقرب من داخل جسد الإنسان ذاته. وهذه الصورة القرآنية تُعبّر عن قُرب لا مثيل له في أي خطاب نفسي أو فلسفي: أقرب من نفسك إليك.</w:t>
      </w:r>
    </w:p>
    <w:p>
      <w:pPr>
        <w:bidi/>
        <w:spacing w:before="220" w:after="110"/>
        <w:jc w:val="right"/>
      </w:pPr>
      <w:r>
        <w:rPr>
          <w:rFonts w:ascii="Arial" w:cs="Arial" w:eastAsia="Arial" w:hAnsi="Arial"/>
          <w:b/>
          <w:bCs/>
          <w:color w:val="4A8FC1"/>
          <w:sz w:val="26"/>
          <w:szCs w:val="26"/>
        </w:rPr>
        <w:t xml:space="preserve">ج — الحضور المستجيب</w:t>
      </w:r>
    </w:p>
    <w:p>
      <w:pPr>
        <w:bidi/>
        <w:spacing w:before="150" w:after="170" w:line="400"/>
        <w:ind w:firstLine="720"/>
      </w:pPr>
      <w:r>
        <w:rPr>
          <w:rFonts w:ascii="Arial" w:cs="Arial" w:eastAsia="Arial" w:hAnsi="Arial"/>
          <w:b w:val="false"/>
          <w:bCs w:val="false"/>
          <w:color w:val="1A1A1A"/>
          <w:sz w:val="24"/>
          <w:szCs w:val="24"/>
        </w:rPr>
        <w:t xml:space="preserve">البُعد الثالث والأهم: هذا الحضور يستجيب. وهذا هو ما يُميّز العلاقة الحية عن كل البدائل الرمزية والوظيفية. الدعاء لا يُقدّمه القرآن كممارسة نفسية لتفريغ المشاعر — بل كتواصل حقيقي مع حضور يستجيب فعلاً.</w:t>
      </w:r>
    </w:p>
    <w:p>
      <w:pPr>
        <w:pBdr>
          <w:left w:val="single" w:color="2E6DA4" w:sz="20" w:space="6"/>
        </w:pBdr>
        <w:spacing w:before="200" w:after="160"/>
        <w:ind w:left="800" w:right="200"/>
        <w:jc w:val="left"/>
      </w:pPr>
      <w:r>
        <w:rPr>
          <w:rFonts w:ascii="Arial" w:cs="Arial" w:eastAsia="Arial" w:hAnsi="Arial"/>
          <w:color w:val="2A2A2A"/>
          <w:sz w:val="22"/>
          <w:szCs w:val="22"/>
        </w:rPr>
        <w:t xml:space="preserve">« La prière n'est pas un monologue thérapeutique — c'est un dialogue avec une présence réelle. Et c'est précisément cette croyance en la réponse qui produit les effets psychologiques les plus profonds. »</w:t>
      </w:r>
      <w:r>
        <w:rPr>
          <w:rFonts w:ascii="Arial" w:cs="Arial" w:eastAsia="Arial" w:hAnsi="Arial"/>
          <w:color w:val="666666"/>
          <w:sz w:val="19"/>
          <w:szCs w:val="19"/>
        </w:rPr>
        <w:br/>
        <w:t xml:space="preserve">
— Kenneth Pargament — The Psychology of Religion and Coping (1997), Guilford Press, New York, p. 164</w:t>
      </w:r>
    </w:p>
    <w:p>
      <w:pPr>
        <w:bidi/>
        <w:spacing w:before="150" w:after="170" w:line="400"/>
        <w:ind w:firstLine="720"/>
      </w:pPr>
      <w:r>
        <w:rPr>
          <w:rFonts w:ascii="Arial" w:cs="Arial" w:eastAsia="Arial" w:hAnsi="Arial"/>
          <w:b w:val="false"/>
          <w:bCs w:val="false"/>
          <w:color w:val="1A1A1A"/>
          <w:sz w:val="24"/>
          <w:szCs w:val="24"/>
        </w:rPr>
        <w:t xml:space="preserve">عالم النفس الديني كينيث بارجامنت — وهو باحث علماني — توصّل بعد عقود من البحث إلى أن الإيمان بالاستجابة الإلهية هو المتغير الأقوى في تحقيق الصلابة النفسية (Resilience). وهذا ما يُؤكد من الزاوية العلمية ما يُقرّره القرآن من الزاوية الوجودية.</w:t>
      </w:r>
    </w:p>
    <w:p>
      <w:pPr>
        <w:bidi/>
        <w:spacing w:before="320" w:after="160"/>
        <w:jc w:val="right"/>
      </w:pPr>
      <w:r>
        <w:rPr>
          <w:rFonts w:ascii="Arial" w:cs="Arial" w:eastAsia="Arial" w:hAnsi="Arial"/>
          <w:b/>
          <w:bCs/>
          <w:color w:val="2E6DA4"/>
          <w:sz w:val="30"/>
          <w:szCs w:val="30"/>
        </w:rPr>
        <w:t xml:space="preserve">١-٣ الدعاء: أداة نفسية كاملة</w:t>
      </w:r>
    </w:p>
    <w:p>
      <w:pPr>
        <w:bidi/>
        <w:spacing w:before="150" w:after="170" w:line="400"/>
        <w:ind w:firstLine="720"/>
      </w:pPr>
      <w:r>
        <w:rPr>
          <w:rFonts w:ascii="Arial" w:cs="Arial" w:eastAsia="Arial" w:hAnsi="Arial"/>
          <w:b w:val="false"/>
          <w:bCs w:val="false"/>
          <w:color w:val="1A1A1A"/>
          <w:sz w:val="24"/>
          <w:szCs w:val="24"/>
        </w:rPr>
        <w:t xml:space="preserve">الدعاء في الإسلام ليس مجرد طقس ديني — بل هو نظام نفسي متكامل يجمع ما تفرّق في جميع التيارات الغربية معاً:</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800"/>
        <w:gridCol w:w="2800"/>
        <w:gridCol w:w="3426"/>
      </w:tblGrid>
      <w:tr>
        <w:tc>
          <w:tcPr>
            <w:tcW w:type="dxa" w:w="2800"/>
            <w:tcBorders>
              <w:top w:val="single" w:color="1A3C5E" w:sz="4"/>
              <w:left w:val="single" w:color="1A3C5E" w:sz="4"/>
              <w:bottom w:val="single" w:color="1A3C5E" w:sz="4"/>
              <w:right w:val="single" w:color="1A3C5E" w:sz="4"/>
            </w:tcBorders>
            <w:shd w:fill="1A3C5E" w:val="clear"/>
            <w:tcMar>
              <w:top w:type="dxa" w:w="90"/>
              <w:left w:type="dxa" w:w="130"/>
              <w:bottom w:type="dxa" w:w="90"/>
              <w:right w:type="dxa" w:w="130"/>
            </w:tcMar>
          </w:tcPr>
          <w:p>
            <w:pPr>
              <w:bidi/>
              <w:jc w:val="center"/>
            </w:pPr>
            <w:r>
              <w:rPr>
                <w:rFonts w:ascii="Arial" w:cs="Arial" w:eastAsia="Arial" w:hAnsi="Arial"/>
                <w:b/>
                <w:bCs/>
                <w:color w:val="FFFFFF"/>
                <w:sz w:val="20"/>
                <w:szCs w:val="20"/>
              </w:rPr>
              <w:t xml:space="preserve">ما يفعله الدعاء</w:t>
            </w:r>
          </w:p>
        </w:tc>
        <w:tc>
          <w:tcPr>
            <w:tcW w:type="dxa" w:w="2800"/>
            <w:tcBorders>
              <w:top w:val="single" w:color="1A3C5E" w:sz="4"/>
              <w:left w:val="single" w:color="1A3C5E" w:sz="4"/>
              <w:bottom w:val="single" w:color="1A3C5E" w:sz="4"/>
              <w:right w:val="single" w:color="1A3C5E" w:sz="4"/>
            </w:tcBorders>
            <w:shd w:fill="1A3C5E" w:val="clear"/>
            <w:tcMar>
              <w:top w:type="dxa" w:w="90"/>
              <w:left w:type="dxa" w:w="130"/>
              <w:bottom w:type="dxa" w:w="90"/>
              <w:right w:type="dxa" w:w="130"/>
            </w:tcMar>
          </w:tcPr>
          <w:p>
            <w:pPr>
              <w:bidi/>
              <w:jc w:val="center"/>
            </w:pPr>
            <w:r>
              <w:rPr>
                <w:rFonts w:ascii="Arial" w:cs="Arial" w:eastAsia="Arial" w:hAnsi="Arial"/>
                <w:b/>
                <w:bCs/>
                <w:color w:val="FFFFFF"/>
                <w:sz w:val="20"/>
                <w:szCs w:val="20"/>
              </w:rPr>
              <w:t xml:space="preserve">التيار الغربي المقابل</w:t>
            </w:r>
          </w:p>
        </w:tc>
        <w:tc>
          <w:tcPr>
            <w:tcW w:type="dxa" w:w="3426"/>
            <w:tcBorders>
              <w:top w:val="single" w:color="1A3C5E" w:sz="4"/>
              <w:left w:val="single" w:color="1A3C5E" w:sz="4"/>
              <w:bottom w:val="single" w:color="1A3C5E" w:sz="4"/>
              <w:right w:val="single" w:color="1A3C5E" w:sz="4"/>
            </w:tcBorders>
            <w:shd w:fill="1A3C5E" w:val="clear"/>
            <w:tcMar>
              <w:top w:type="dxa" w:w="90"/>
              <w:left w:type="dxa" w:w="130"/>
              <w:bottom w:type="dxa" w:w="90"/>
              <w:right w:type="dxa" w:w="130"/>
            </w:tcMar>
          </w:tcPr>
          <w:p>
            <w:pPr>
              <w:bidi/>
              <w:jc w:val="center"/>
            </w:pPr>
            <w:r>
              <w:rPr>
                <w:rFonts w:ascii="Arial" w:cs="Arial" w:eastAsia="Arial" w:hAnsi="Arial"/>
                <w:b/>
                <w:bCs/>
                <w:color w:val="FFFFFF"/>
                <w:sz w:val="20"/>
                <w:szCs w:val="20"/>
              </w:rPr>
              <w:t xml:space="preserve">ما يزيد عليه الدعاء</w:t>
            </w:r>
          </w:p>
        </w:tc>
      </w:tr>
      <w:tr>
        <w:tc>
          <w:tcPr>
            <w:tcW w:type="dxa" w:w="2800"/>
            <w:tcBorders>
              <w:top w:val="single" w:color="CCCCCC" w:sz="1"/>
              <w:left w:val="single" w:color="CCCCCC" w:sz="1"/>
              <w:bottom w:val="single" w:color="CCCCCC" w:sz="1"/>
              <w:right w:val="single" w:color="CCCCCC" w:sz="1"/>
            </w:tcBorders>
            <w:shd w:fill="FFFFFF"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الإفصاح عن الألم</w:t>
            </w:r>
          </w:p>
        </w:tc>
        <w:tc>
          <w:tcPr>
            <w:tcW w:type="dxa" w:w="2800"/>
            <w:tcBorders>
              <w:top w:val="single" w:color="CCCCCC" w:sz="1"/>
              <w:left w:val="single" w:color="CCCCCC" w:sz="1"/>
              <w:bottom w:val="single" w:color="CCCCCC" w:sz="1"/>
              <w:right w:val="single" w:color="CCCCCC" w:sz="1"/>
            </w:tcBorders>
            <w:shd w:fill="FFFFFF"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العلاج النفسي (روجرز)</w:t>
            </w:r>
          </w:p>
        </w:tc>
        <w:tc>
          <w:tcPr>
            <w:tcW w:type="dxa" w:w="3426"/>
            <w:tcBorders>
              <w:top w:val="single" w:color="CCCCCC" w:sz="1"/>
              <w:left w:val="single" w:color="CCCCCC" w:sz="1"/>
              <w:bottom w:val="single" w:color="CCCCCC" w:sz="1"/>
              <w:right w:val="single" w:color="CCCCCC" w:sz="1"/>
            </w:tcBorders>
            <w:shd w:fill="FFFFFF"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لمن يسمع حقاً لا مُعالج بشري</w:t>
            </w:r>
          </w:p>
        </w:tc>
      </w:tr>
      <w:tr>
        <w:tc>
          <w:tcPr>
            <w:tcW w:type="dxa" w:w="2800"/>
            <w:tcBorders>
              <w:top w:val="single" w:color="CCCCCC" w:sz="1"/>
              <w:left w:val="single" w:color="CCCCCC" w:sz="1"/>
              <w:bottom w:val="single" w:color="CCCCCC" w:sz="1"/>
              <w:right w:val="single" w:color="CCCCCC" w:sz="1"/>
            </w:tcBorders>
            <w:shd w:fill="F0F5FA"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الحضور في اللحظة</w:t>
            </w:r>
          </w:p>
        </w:tc>
        <w:tc>
          <w:tcPr>
            <w:tcW w:type="dxa" w:w="2800"/>
            <w:tcBorders>
              <w:top w:val="single" w:color="CCCCCC" w:sz="1"/>
              <w:left w:val="single" w:color="CCCCCC" w:sz="1"/>
              <w:bottom w:val="single" w:color="CCCCCC" w:sz="1"/>
              <w:right w:val="single" w:color="CCCCCC" w:sz="1"/>
            </w:tcBorders>
            <w:shd w:fill="F0F5FA"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اليقظة الذهنية</w:t>
            </w:r>
          </w:p>
        </w:tc>
        <w:tc>
          <w:tcPr>
            <w:tcW w:type="dxa" w:w="3426"/>
            <w:tcBorders>
              <w:top w:val="single" w:color="CCCCCC" w:sz="1"/>
              <w:left w:val="single" w:color="CCCCCC" w:sz="1"/>
              <w:bottom w:val="single" w:color="CCCCCC" w:sz="1"/>
              <w:right w:val="single" w:color="CCCCCC" w:sz="1"/>
            </w:tcBorders>
            <w:shd w:fill="F0F5FA"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مع وجهة وحضور إلهي</w:t>
            </w:r>
          </w:p>
        </w:tc>
      </w:tr>
      <w:tr>
        <w:tc>
          <w:tcPr>
            <w:tcW w:type="dxa" w:w="2800"/>
            <w:tcBorders>
              <w:top w:val="single" w:color="CCCCCC" w:sz="1"/>
              <w:left w:val="single" w:color="CCCCCC" w:sz="1"/>
              <w:bottom w:val="single" w:color="CCCCCC" w:sz="1"/>
              <w:right w:val="single" w:color="CCCCCC" w:sz="1"/>
            </w:tcBorders>
            <w:shd w:fill="FFFFFF"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قبول ما لا يُتحكم فيه</w:t>
            </w:r>
          </w:p>
        </w:tc>
        <w:tc>
          <w:tcPr>
            <w:tcW w:type="dxa" w:w="2800"/>
            <w:tcBorders>
              <w:top w:val="single" w:color="CCCCCC" w:sz="1"/>
              <w:left w:val="single" w:color="CCCCCC" w:sz="1"/>
              <w:bottom w:val="single" w:color="CCCCCC" w:sz="1"/>
              <w:right w:val="single" w:color="CCCCCC" w:sz="1"/>
            </w:tcBorders>
            <w:shd w:fill="FFFFFF"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الرواقية</w:t>
            </w:r>
          </w:p>
        </w:tc>
        <w:tc>
          <w:tcPr>
            <w:tcW w:type="dxa" w:w="3426"/>
            <w:tcBorders>
              <w:top w:val="single" w:color="CCCCCC" w:sz="1"/>
              <w:left w:val="single" w:color="CCCCCC" w:sz="1"/>
              <w:bottom w:val="single" w:color="CCCCCC" w:sz="1"/>
              <w:right w:val="single" w:color="CCCCCC" w:sz="1"/>
            </w:tcBorders>
            <w:shd w:fill="FFFFFF"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مع ثقة بالحكمة الإلهية وراء القدر</w:t>
            </w:r>
          </w:p>
        </w:tc>
      </w:tr>
      <w:tr>
        <w:tc>
          <w:tcPr>
            <w:tcW w:type="dxa" w:w="2800"/>
            <w:tcBorders>
              <w:top w:val="single" w:color="CCCCCC" w:sz="1"/>
              <w:left w:val="single" w:color="CCCCCC" w:sz="1"/>
              <w:bottom w:val="single" w:color="CCCCCC" w:sz="1"/>
              <w:right w:val="single" w:color="CCCCCC" w:sz="1"/>
            </w:tcBorders>
            <w:shd w:fill="F0F5FA"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البحث عن المعنى</w:t>
            </w:r>
          </w:p>
        </w:tc>
        <w:tc>
          <w:tcPr>
            <w:tcW w:type="dxa" w:w="2800"/>
            <w:tcBorders>
              <w:top w:val="single" w:color="CCCCCC" w:sz="1"/>
              <w:left w:val="single" w:color="CCCCCC" w:sz="1"/>
              <w:bottom w:val="single" w:color="CCCCCC" w:sz="1"/>
              <w:right w:val="single" w:color="CCCCCC" w:sz="1"/>
            </w:tcBorders>
            <w:shd w:fill="F0F5FA"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علم النفس الإيجابي</w:t>
            </w:r>
          </w:p>
        </w:tc>
        <w:tc>
          <w:tcPr>
            <w:tcW w:type="dxa" w:w="3426"/>
            <w:tcBorders>
              <w:top w:val="single" w:color="CCCCCC" w:sz="1"/>
              <w:left w:val="single" w:color="CCCCCC" w:sz="1"/>
              <w:bottom w:val="single" w:color="CCCCCC" w:sz="1"/>
              <w:right w:val="single" w:color="CCCCCC" w:sz="1"/>
            </w:tcBorders>
            <w:shd w:fill="F0F5FA"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المعنى مُعطى من مرجعية مطلقة</w:t>
            </w:r>
          </w:p>
        </w:tc>
      </w:tr>
      <w:tr>
        <w:tc>
          <w:tcPr>
            <w:tcW w:type="dxa" w:w="2800"/>
            <w:tcBorders>
              <w:top w:val="single" w:color="CCCCCC" w:sz="1"/>
              <w:left w:val="single" w:color="CCCCCC" w:sz="1"/>
              <w:bottom w:val="single" w:color="CCCCCC" w:sz="1"/>
              <w:right w:val="single" w:color="CCCCCC" w:sz="1"/>
            </w:tcBorders>
            <w:shd w:fill="FFFFFF"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مواجهة الخوف من الموت</w:t>
            </w:r>
          </w:p>
        </w:tc>
        <w:tc>
          <w:tcPr>
            <w:tcW w:type="dxa" w:w="2800"/>
            <w:tcBorders>
              <w:top w:val="single" w:color="CCCCCC" w:sz="1"/>
              <w:left w:val="single" w:color="CCCCCC" w:sz="1"/>
              <w:bottom w:val="single" w:color="CCCCCC" w:sz="1"/>
              <w:right w:val="single" w:color="CCCCCC" w:sz="1"/>
            </w:tcBorders>
            <w:shd w:fill="FFFFFF"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العلاج الوجودي</w:t>
            </w:r>
          </w:p>
        </w:tc>
        <w:tc>
          <w:tcPr>
            <w:tcW w:type="dxa" w:w="3426"/>
            <w:tcBorders>
              <w:top w:val="single" w:color="CCCCCC" w:sz="1"/>
              <w:left w:val="single" w:color="CCCCCC" w:sz="1"/>
              <w:bottom w:val="single" w:color="CCCCCC" w:sz="1"/>
              <w:right w:val="single" w:color="CCCCCC" w:sz="1"/>
            </w:tcBorders>
            <w:shd w:fill="FFFFFF"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مع يقين بالبعث والعدالة المطلقة</w:t>
            </w:r>
          </w:p>
        </w:tc>
      </w:tr>
    </w:tbl>
    <w:p>
      <w:pPr>
        <w:spacing w:before="120" w:after="120"/>
      </w:pPr>
    </w:p>
    <w:p>
      <w:pPr>
        <w:pBdr>
          <w:bottom w:val="single" w:color="1A3C5E" w:sz="10" w:space="3"/>
          <w:right w:val="single" w:color="B8860B" w:sz="28" w:space="7"/>
        </w:pBdr>
        <w:bidi/>
        <w:spacing w:before="500" w:after="240"/>
        <w:jc w:val="right"/>
      </w:pPr>
      <w:r>
        <w:rPr>
          <w:rFonts w:ascii="Arial" w:cs="Arial" w:eastAsia="Arial" w:hAnsi="Arial"/>
          <w:b/>
          <w:bCs/>
          <w:color w:val="1A3C5E"/>
          <w:sz w:val="40"/>
          <w:szCs w:val="40"/>
        </w:rPr>
        <w:t xml:space="preserve">٢ — المحور الثاني: الخلاص من الذنب — التوبة</w:t>
      </w:r>
    </w:p>
    <w:p>
      <w:pPr>
        <w:bidi/>
        <w:spacing w:before="320" w:after="160"/>
        <w:jc w:val="right"/>
      </w:pPr>
      <w:r>
        <w:rPr>
          <w:rFonts w:ascii="Arial" w:cs="Arial" w:eastAsia="Arial" w:hAnsi="Arial"/>
          <w:b/>
          <w:bCs/>
          <w:color w:val="2E6DA4"/>
          <w:sz w:val="30"/>
          <w:szCs w:val="30"/>
        </w:rPr>
        <w:t xml:space="preserve">٢-١ الذنب: الجرح الأعمق</w:t>
      </w:r>
    </w:p>
    <w:p>
      <w:pPr>
        <w:bidi/>
        <w:spacing w:before="150" w:after="170" w:line="400"/>
        <w:ind w:firstLine="720"/>
      </w:pPr>
      <w:r>
        <w:rPr>
          <w:rFonts w:ascii="Arial" w:cs="Arial" w:eastAsia="Arial" w:hAnsi="Arial"/>
          <w:b w:val="false"/>
          <w:bCs w:val="false"/>
          <w:color w:val="1A1A1A"/>
          <w:sz w:val="24"/>
          <w:szCs w:val="24"/>
        </w:rPr>
        <w:t xml:space="preserve">الذنب هو الجرح النفسي الأعمق والأكثر مقاومةً للعلاج في تاريخ علم النفس. فرويد بنى عليه نظريته عن العصاب. يالوم جعله أحد أركان القلق الوجودي الأربعة. وعلم النفس الحديث يُخصص له أكثر من مائة بروتوكول علاجي مختلف.</w:t>
      </w:r>
    </w:p>
    <w:p>
      <w:pPr>
        <w:bidi/>
        <w:spacing w:before="150" w:after="170" w:line="400"/>
        <w:ind w:firstLine="720"/>
      </w:pPr>
      <w:r>
        <w:rPr>
          <w:rFonts w:ascii="Arial" w:cs="Arial" w:eastAsia="Arial" w:hAnsi="Arial"/>
          <w:b w:val="false"/>
          <w:bCs w:val="false"/>
          <w:color w:val="1A1A1A"/>
          <w:sz w:val="24"/>
          <w:szCs w:val="24"/>
        </w:rPr>
        <w:t xml:space="preserve">لكن كل هذه البروتوكولات تشترك في إشكالية واحدة: تعمل على تخفيف الذنب أو إعادة تأطيره أو قبوله — لكنها لا تستطيع إلغاءه. لأن الذنب الحقيقي ليس مجرد شعور مؤلم — بل هو إدراك للمسافة بين ما فعلت وما كان يجب أن تفعل. وهذه المسافة حقيقية ولا تُلغى بالإقناع.</w:t>
      </w:r>
    </w:p>
    <w:p>
      <w:pPr>
        <w:pBdr>
          <w:left w:val="single" w:color="2E6DA4" w:sz="20" w:space="6"/>
        </w:pBdr>
        <w:spacing w:before="200" w:after="160"/>
        <w:ind w:left="800" w:right="200"/>
        <w:jc w:val="left"/>
      </w:pPr>
      <w:r>
        <w:rPr>
          <w:rFonts w:ascii="Arial" w:cs="Arial" w:eastAsia="Arial" w:hAnsi="Arial"/>
          <w:color w:val="2A2A2A"/>
          <w:sz w:val="22"/>
          <w:szCs w:val="22"/>
        </w:rPr>
        <w:t xml:space="preserve">« La culpabilité authentique — à distinguer de la culpabilité névrotique — est la reconnaissance d'une dette morale réelle. Elle ne peut être résolue que par la réparation ou le pardon, jamais par la simple réinterprétation cognitive. »</w:t>
      </w:r>
      <w:r>
        <w:rPr>
          <w:rFonts w:ascii="Arial" w:cs="Arial" w:eastAsia="Arial" w:hAnsi="Arial"/>
          <w:color w:val="666666"/>
          <w:sz w:val="19"/>
          <w:szCs w:val="19"/>
        </w:rPr>
        <w:br/>
        <w:t xml:space="preserve">
— Irvin Yalom — Psychothérapie existentielle (2008), Calmann-Lévy, Paris, p. 277</w:t>
      </w:r>
    </w:p>
    <w:p>
      <w:pPr>
        <w:bidi/>
        <w:spacing w:before="150" w:after="170" w:line="400"/>
        <w:ind w:firstLine="720"/>
      </w:pPr>
      <w:r>
        <w:rPr>
          <w:rFonts w:ascii="Arial" w:cs="Arial" w:eastAsia="Arial" w:hAnsi="Arial"/>
          <w:b w:val="false"/>
          <w:bCs w:val="false"/>
          <w:color w:val="1A1A1A"/>
          <w:sz w:val="24"/>
          <w:szCs w:val="24"/>
        </w:rPr>
        <w:t xml:space="preserve">يالوم هنا يُشير إلى الحل دون أن يملكه: 'المغفرة'. لكن من يملك سلطة المغفرة الحقيقية؟ ليس المُعالج. وليس المجتمع. وليس الذات نفسها لأنها محلّ المحاكمة. المغفرة الحقيقية لا تصدر إلا من مرجعية تعلو على كل هذه الأطراف — وهذا بالضبط ما يُقدّمه القرآن.</w:t>
      </w:r>
    </w:p>
    <w:p>
      <w:pPr>
        <w:bidi/>
        <w:spacing w:before="320" w:after="160"/>
        <w:jc w:val="right"/>
      </w:pPr>
      <w:r>
        <w:rPr>
          <w:rFonts w:ascii="Arial" w:cs="Arial" w:eastAsia="Arial" w:hAnsi="Arial"/>
          <w:b/>
          <w:bCs/>
          <w:color w:val="2E6DA4"/>
          <w:sz w:val="30"/>
          <w:szCs w:val="30"/>
        </w:rPr>
        <w:t xml:space="preserve">٢-٢ التوبة: تحويل الذنب من سجن إلى باب</w:t>
      </w:r>
    </w:p>
    <w:p>
      <w:pPr>
        <w:bidi/>
        <w:spacing w:before="150" w:after="170" w:line="400"/>
        <w:ind w:firstLine="720"/>
      </w:pPr>
      <w:r>
        <w:rPr>
          <w:rFonts w:ascii="Arial" w:cs="Arial" w:eastAsia="Arial" w:hAnsi="Arial"/>
          <w:b w:val="false"/>
          <w:bCs w:val="false"/>
          <w:color w:val="1A1A1A"/>
          <w:sz w:val="24"/>
          <w:szCs w:val="24"/>
        </w:rPr>
        <w:t xml:space="preserve">التوبة في القرآن ليست بروتوكولاً علاجياً لتخفيف الشعور بالذنب — بل هي حدث وجودي يُعيد تعريف علاقة الإنسان بذنبه ومستقبله ومع الله كلياً. ولفهم عظمة هذا الحدث لا بد من تفصيل مراحله:</w:t>
      </w:r>
    </w:p>
    <w:p>
      <w:pPr>
        <w:bidi/>
        <w:spacing w:before="220" w:after="110"/>
        <w:jc w:val="right"/>
      </w:pPr>
      <w:r>
        <w:rPr>
          <w:rFonts w:ascii="Arial" w:cs="Arial" w:eastAsia="Arial" w:hAnsi="Arial"/>
          <w:b/>
          <w:bCs/>
          <w:color w:val="4A8FC1"/>
          <w:sz w:val="26"/>
          <w:szCs w:val="26"/>
        </w:rPr>
        <w:t xml:space="preserve">أ — الاعتراف: اللوامة تُكمل دورتها</w:t>
      </w:r>
    </w:p>
    <w:p>
      <w:pPr>
        <w:bidi/>
        <w:spacing w:before="150" w:after="170" w:line="400"/>
        <w:ind w:firstLine="720"/>
      </w:pPr>
      <w:r>
        <w:rPr>
          <w:rFonts w:ascii="Arial" w:cs="Arial" w:eastAsia="Arial" w:hAnsi="Arial"/>
          <w:b w:val="false"/>
          <w:bCs w:val="false"/>
          <w:color w:val="1A1A1A"/>
          <w:sz w:val="24"/>
          <w:szCs w:val="24"/>
        </w:rPr>
        <w:t xml:space="preserve">التوبة تبدأ باللوامة — بإدراك المسافة بين ما فُعل وما كان يجب. لكنها لا تتركها تتحول إلى محاكمة عبثية بلا أفق. بل تُكمل دورة اللوامة وتُحوّلها إلى خطوة أولى نحو الباب المفتوح.</w:t>
      </w:r>
    </w:p>
    <w:p>
      <w:pPr>
        <w:bidi/>
        <w:spacing w:before="220" w:after="110"/>
        <w:jc w:val="right"/>
      </w:pPr>
      <w:r>
        <w:rPr>
          <w:rFonts w:ascii="Arial" w:cs="Arial" w:eastAsia="Arial" w:hAnsi="Arial"/>
          <w:b/>
          <w:bCs/>
          <w:color w:val="4A8FC1"/>
          <w:sz w:val="26"/>
          <w:szCs w:val="26"/>
        </w:rPr>
        <w:t xml:space="preserve">ب — الندم: الطاقة النفسية المُحوَّلة</w:t>
      </w:r>
    </w:p>
    <w:p>
      <w:pPr>
        <w:bidi/>
        <w:spacing w:before="150" w:after="170" w:line="400"/>
        <w:ind w:firstLine="720"/>
      </w:pPr>
      <w:r>
        <w:rPr>
          <w:rFonts w:ascii="Arial" w:cs="Arial" w:eastAsia="Arial" w:hAnsi="Arial"/>
          <w:b w:val="false"/>
          <w:bCs w:val="false"/>
          <w:color w:val="1A1A1A"/>
          <w:sz w:val="24"/>
          <w:szCs w:val="24"/>
        </w:rPr>
        <w:t xml:space="preserve">الندم في التوبة ليس تعذيباً للذات بل طاقة نفسية حقيقية — إدراك جاد بأن ما جرى لم يكن ينبغي أن يجري. وهذا الإدراك، حين يُوجَّه نحو الله لا نحو الذات فقط، يتحوّل من ثقل يُجثم إلى دافع ينطلق.</w:t>
      </w:r>
    </w:p>
    <w:p>
      <w:pPr>
        <w:bidi/>
        <w:spacing w:before="220" w:after="110"/>
        <w:jc w:val="right"/>
      </w:pPr>
      <w:r>
        <w:rPr>
          <w:rFonts w:ascii="Arial" w:cs="Arial" w:eastAsia="Arial" w:hAnsi="Arial"/>
          <w:b/>
          <w:bCs/>
          <w:color w:val="4A8FC1"/>
          <w:sz w:val="26"/>
          <w:szCs w:val="26"/>
        </w:rPr>
        <w:t xml:space="preserve">ج — الإقلاع والعزم: استعادة الإرادة</w:t>
      </w:r>
    </w:p>
    <w:p>
      <w:pPr>
        <w:bidi/>
        <w:spacing w:before="150" w:after="170" w:line="400"/>
        <w:ind w:firstLine="720"/>
      </w:pPr>
      <w:r>
        <w:rPr>
          <w:rFonts w:ascii="Arial" w:cs="Arial" w:eastAsia="Arial" w:hAnsi="Arial"/>
          <w:b w:val="false"/>
          <w:bCs w:val="false"/>
          <w:color w:val="1A1A1A"/>
          <w:sz w:val="24"/>
          <w:szCs w:val="24"/>
        </w:rPr>
        <w:t xml:space="preserve">ثم يأتي الإقلاع — القرار الإرادي الحر بعدم العودة. وهذا القرار ليس مجرد حل نفسي بل هو استعادة الإنسان لصفة الخليفة المختار — أن يقرر بإرادته، لا أن يسقط مرةً أخرى تحت سلطة الأمارة.</w:t>
      </w:r>
    </w:p>
    <w:p>
      <w:pPr>
        <w:bidi/>
        <w:spacing w:before="220" w:after="110"/>
        <w:jc w:val="right"/>
      </w:pPr>
      <w:r>
        <w:rPr>
          <w:rFonts w:ascii="Arial" w:cs="Arial" w:eastAsia="Arial" w:hAnsi="Arial"/>
          <w:b/>
          <w:bCs/>
          <w:color w:val="4A8FC1"/>
          <w:sz w:val="26"/>
          <w:szCs w:val="26"/>
        </w:rPr>
        <w:t xml:space="preserve">د — المغفرة الإلهية: الحدث الوجودي الفريد</w:t>
      </w:r>
    </w:p>
    <w:p>
      <w:pPr>
        <w:bidi/>
        <w:spacing w:before="150" w:after="170" w:line="400"/>
        <w:ind w:firstLine="720"/>
      </w:pPr>
      <w:r>
        <w:rPr>
          <w:rFonts w:ascii="Arial" w:cs="Arial" w:eastAsia="Arial" w:hAnsi="Arial"/>
          <w:b w:val="false"/>
          <w:bCs w:val="false"/>
          <w:color w:val="1A1A1A"/>
          <w:sz w:val="24"/>
          <w:szCs w:val="24"/>
        </w:rPr>
        <w:t xml:space="preserve">والأعظم من كل ذلك: المغفرة. ليست وعداً بأن الله سيتجاهل ما جرى — بل وعد بمحوه من السجل الكوني. وهذا المحو لا يملك سلطته أي كيان بشري، ولا يُقدّمه أي نظام علماني:</w:t>
      </w:r>
    </w:p>
    <w:p>
      <w:pPr>
        <w:pBdr>
          <w:top w:val="single" w:color="B8860B" w:sz="3"/>
          <w:bottom w:val="single" w:color="B8860B" w:sz="3"/>
          <w:left w:val="single" w:color="B8860B" w:sz="22"/>
          <w:right w:val="single" w:color="B8860B" w:sz="22"/>
        </w:pBdr>
        <w:bidi/>
        <w:spacing w:before="240" w:after="160"/>
        <w:jc w:val="center"/>
      </w:pPr>
      <w:r>
        <w:rPr>
          <w:rFonts w:ascii="Arial" w:cs="Arial" w:eastAsia="Arial" w:hAnsi="Arial"/>
          <w:b/>
          <w:bCs/>
          <w:color w:val="5C3D11"/>
          <w:sz w:val="28"/>
          <w:szCs w:val="28"/>
        </w:rPr>
        <w:t xml:space="preserve">قُلْ يَا عِبَادِيَ الَّذِينَ أَسْرَفُوا عَلَىٰ أَنفُسِهِمْ لَا تَقْنَطُوا مِن رَّحْمَةِ اللَّهِ إِنَّ اللَّهَ يَغْفِرُ الذُّنُوبَ جَمِيعًا إِنَّهُ هُوَ الْغَفُورُ الرَّحِيمُ</w:t>
      </w:r>
      <w:r>
        <w:rPr>
          <w:rFonts w:ascii="Arial" w:cs="Arial" w:eastAsia="Arial" w:hAnsi="Arial"/>
          <w:color w:val="8B6914"/>
          <w:sz w:val="20"/>
          <w:szCs w:val="20"/>
        </w:rPr>
        <w:br/>
        <w:t xml:space="preserve">
— الزمر: ٥٣</w:t>
      </w:r>
    </w:p>
    <w:p>
      <w:pPr>
        <w:bidi/>
        <w:spacing w:before="150" w:after="170" w:line="400"/>
        <w:ind w:firstLine="720"/>
      </w:pPr>
      <w:r>
        <w:rPr>
          <w:rFonts w:ascii="Arial" w:cs="Arial" w:eastAsia="Arial" w:hAnsi="Arial"/>
          <w:b w:val="false"/>
          <w:bCs w:val="false"/>
          <w:color w:val="1A1A1A"/>
          <w:sz w:val="24"/>
          <w:szCs w:val="24"/>
        </w:rPr>
        <w:t xml:space="preserve">'الذنوب جميعاً' — لا استثناء. 'لا تقنطوا' — النهي عن اليأس بقوة. وهذا يعني أن الذنب مهما بلغ لا يستطيع أن يكون أكبر من رحمة الله — وهذه المعادلة تُعيد للنفس المذنبة إمكانية الصعود في الهرم مهما هبطت.</w:t>
      </w:r>
    </w:p>
    <w:p>
      <w:pPr>
        <w:bidi/>
        <w:spacing w:before="320" w:after="160"/>
        <w:jc w:val="right"/>
      </w:pPr>
      <w:r>
        <w:rPr>
          <w:rFonts w:ascii="Arial" w:cs="Arial" w:eastAsia="Arial" w:hAnsi="Arial"/>
          <w:b/>
          <w:bCs/>
          <w:color w:val="2E6DA4"/>
          <w:sz w:val="30"/>
          <w:szCs w:val="30"/>
        </w:rPr>
        <w:t xml:space="preserve">٢-٣ التوبة والهرم النفسي: الضلع الخامس يعمل</w:t>
      </w:r>
    </w:p>
    <w:p>
      <w:pPr>
        <w:bidi/>
        <w:spacing w:before="150" w:after="170" w:line="400"/>
        <w:ind w:firstLine="720"/>
      </w:pPr>
      <w:r>
        <w:rPr>
          <w:rFonts w:ascii="Arial" w:cs="Arial" w:eastAsia="Arial" w:hAnsi="Arial"/>
          <w:b w:val="false"/>
          <w:bCs w:val="false"/>
          <w:color w:val="1A1A1A"/>
          <w:sz w:val="24"/>
          <w:szCs w:val="24"/>
        </w:rPr>
        <w:t xml:space="preserve">في النموذج الهرمي، التوبة هي الضلع الخامس: مسار الانتقال من الأمارة إلى اللوامة. وما يُقدّمه هذا الفصل هو أن هذا الضلع لا يعمل بمفرده — بل يعمل باتصاله بالمرجعية المتعالية التي تُتيح المغفرة الحقيقية. فبدون هذا الاتصال تظل اللوامة دوامة مغلقة من الذنب والمحاسبة بلا مخرج.</w:t>
      </w:r>
    </w:p>
    <w:p>
      <w:pPr>
        <w:pBdr>
          <w:left w:val="single" w:color="2E6DA4" w:sz="20" w:space="6"/>
        </w:pBdr>
        <w:spacing w:before="200" w:after="160"/>
        <w:ind w:left="800" w:right="200"/>
        <w:jc w:val="left"/>
      </w:pPr>
      <w:r>
        <w:rPr>
          <w:rFonts w:ascii="Arial" w:cs="Arial" w:eastAsia="Arial" w:hAnsi="Arial"/>
          <w:color w:val="2A2A2A"/>
          <w:sz w:val="22"/>
          <w:szCs w:val="22"/>
        </w:rPr>
        <w:t xml:space="preserve">« Le sentiment de culpabilité sans résolution est l'une des causes les plus fréquentes de la dépression chronique. La résolution nécessite soit la réparation, soit le pardon — et le pardon transcendant est le plus efficace. »</w:t>
      </w:r>
      <w:r>
        <w:rPr>
          <w:rFonts w:ascii="Arial" w:cs="Arial" w:eastAsia="Arial" w:hAnsi="Arial"/>
          <w:color w:val="666666"/>
          <w:sz w:val="19"/>
          <w:szCs w:val="19"/>
        </w:rPr>
        <w:br/>
        <w:t xml:space="preserve">
— Kenneth Pargament — Spiritually Integrated Psychotherapy (2007), Guilford Press, New York, p. 199</w:t>
      </w:r>
    </w:p>
    <w:p>
      <w:pPr>
        <w:pBdr>
          <w:top w:val="single" w:color="B8860B" w:sz="2"/>
          <w:bottom w:val="single" w:color="B8860B" w:sz="2"/>
          <w:left w:val="single" w:color="B8860B" w:sz="14"/>
          <w:right w:val="single" w:color="B8860B" w:sz="14"/>
        </w:pBdr>
        <w:shd w:fill="FFFBEC" w:val="clear"/>
        <w:bidi/>
        <w:spacing w:before="200" w:after="160"/>
      </w:pPr>
      <w:r>
        <w:rPr>
          <w:rFonts w:ascii="Arial" w:cs="Arial" w:eastAsia="Arial" w:hAnsi="Arial"/>
          <w:color w:val="7A5000"/>
          <w:sz w:val="22"/>
          <w:szCs w:val="22"/>
        </w:rPr>
        <w:t xml:space="preserve">التوبة = اللوامة التي تجد مخرجاً. وهذا المخرج لا يوجد إلا حين توجد مرجعية تملك سلطة المغفرة الحقيقية. بدونها: دوامة ذنب لا نهاية لها.</w:t>
      </w:r>
    </w:p>
    <w:p>
      <w:pPr>
        <w:bidi/>
        <w:spacing w:before="320" w:after="160"/>
        <w:jc w:val="right"/>
      </w:pPr>
      <w:r>
        <w:rPr>
          <w:rFonts w:ascii="Arial" w:cs="Arial" w:eastAsia="Arial" w:hAnsi="Arial"/>
          <w:b/>
          <w:bCs/>
          <w:color w:val="2E6DA4"/>
          <w:sz w:val="30"/>
          <w:szCs w:val="30"/>
        </w:rPr>
        <w:t xml:space="preserve">٢-٤ الذنب كجسر لا كسجن</w:t>
      </w:r>
    </w:p>
    <w:p>
      <w:pPr>
        <w:bidi/>
        <w:spacing w:before="150" w:after="170" w:line="400"/>
        <w:ind w:firstLine="720"/>
      </w:pPr>
      <w:r>
        <w:rPr>
          <w:rFonts w:ascii="Arial" w:cs="Arial" w:eastAsia="Arial" w:hAnsi="Arial"/>
          <w:b w:val="false"/>
          <w:bCs w:val="false"/>
          <w:color w:val="1A1A1A"/>
          <w:sz w:val="24"/>
          <w:szCs w:val="24"/>
        </w:rPr>
        <w:t xml:space="preserve">من أعمق ما يُقدّمه النموذج القرآني أن الذنب والتوبة يُحوّلان الضالّ إلى أعمق إيماناً من الذي لم يُجرّب الانكسار. فالذي تاب حقاً لا يعود إلى حيث كان — بل يعود إلى مكان أعمق. وهذه الفكرة تُعبّر عنها أحاديث كثيرة، أبلغها:</w:t>
      </w:r>
    </w:p>
    <w:p>
      <w:pPr>
        <w:pBdr>
          <w:right w:val="single" w:color="2E6DA4" w:sz="20" w:space="6"/>
        </w:pBdr>
        <w:bidi/>
        <w:spacing w:before="220" w:after="160"/>
        <w:ind w:left="500" w:right="900"/>
      </w:pPr>
      <w:r>
        <w:rPr>
          <w:rFonts w:ascii="Arial" w:cs="Arial" w:eastAsia="Arial" w:hAnsi="Arial"/>
          <w:color w:val="2A2A2A"/>
          <w:sz w:val="23"/>
          <w:szCs w:val="23"/>
        </w:rPr>
        <w:t xml:space="preserve">"لَلَّهُ أَشَدُّ فَرَحاً بِتَوبَةِ عَبدِهِ حِينَ يَتُوبُ إِلَيهِ مِن أَحَدِكُم كَانَ عَلَى رَاحِلَتِهِ بِأَرضِ فَلَاةٍ فَانفَلَتَت مِنهُ وَعَلَيهَا طَعَامُهُ وَشَرَابُهُ"</w:t>
      </w:r>
      <w:r>
        <w:rPr>
          <w:rFonts w:ascii="Arial" w:cs="Arial" w:eastAsia="Arial" w:hAnsi="Arial"/>
          <w:color w:val="555555"/>
          <w:sz w:val="20"/>
          <w:szCs w:val="20"/>
        </w:rPr>
        <w:br/>
        <w:t xml:space="preserve">
— صحيح مسلم، كتاب التوبة، ص. حديث ٢٧٤٧</w:t>
      </w:r>
    </w:p>
    <w:p>
      <w:pPr>
        <w:bidi/>
        <w:spacing w:before="150" w:after="170" w:line="400"/>
        <w:ind w:firstLine="720"/>
      </w:pPr>
      <w:r>
        <w:rPr>
          <w:rFonts w:ascii="Arial" w:cs="Arial" w:eastAsia="Arial" w:hAnsi="Arial"/>
          <w:b w:val="false"/>
          <w:bCs w:val="false"/>
          <w:color w:val="1A1A1A"/>
          <w:sz w:val="24"/>
          <w:szCs w:val="24"/>
        </w:rPr>
        <w:t xml:space="preserve">هذا الفرح الإلهي بالتوبة يُعلن أن المُذنب التائب ليس إنساناً منقوصاً بل إنساناً استكمل دورة حقيقية من التجربة الإنسانية. وهذا بالضبط ما يُغيّر علاقة الإنسان بذنبه: من عار يحمله إلى جسر يعبره.</w:t>
      </w:r>
    </w:p>
    <w:p>
      <w:pPr>
        <w:pBdr>
          <w:bottom w:val="single" w:color="1A3C5E" w:sz="10" w:space="3"/>
          <w:right w:val="single" w:color="B8860B" w:sz="28" w:space="7"/>
        </w:pBdr>
        <w:bidi/>
        <w:spacing w:before="500" w:after="240"/>
        <w:jc w:val="right"/>
      </w:pPr>
      <w:r>
        <w:rPr>
          <w:rFonts w:ascii="Arial" w:cs="Arial" w:eastAsia="Arial" w:hAnsi="Arial"/>
          <w:b/>
          <w:bCs/>
          <w:color w:val="1A3C5E"/>
          <w:sz w:val="40"/>
          <w:szCs w:val="40"/>
        </w:rPr>
        <w:t xml:space="preserve">٣ — المحور الثالث: الأفق اللانهائي — ما وراء الموت</w:t>
      </w:r>
    </w:p>
    <w:p>
      <w:pPr>
        <w:bidi/>
        <w:spacing w:before="320" w:after="160"/>
        <w:jc w:val="right"/>
      </w:pPr>
      <w:r>
        <w:rPr>
          <w:rFonts w:ascii="Arial" w:cs="Arial" w:eastAsia="Arial" w:hAnsi="Arial"/>
          <w:b/>
          <w:bCs/>
          <w:color w:val="2E6DA4"/>
          <w:sz w:val="30"/>
          <w:szCs w:val="30"/>
        </w:rPr>
        <w:t xml:space="preserve">٣-١ الموت: السؤال الذي يُصمت أمامه كل شيء</w:t>
      </w:r>
    </w:p>
    <w:p>
      <w:pPr>
        <w:bidi/>
        <w:spacing w:before="150" w:after="170" w:line="400"/>
        <w:ind w:firstLine="720"/>
      </w:pPr>
      <w:r>
        <w:rPr>
          <w:rFonts w:ascii="Arial" w:cs="Arial" w:eastAsia="Arial" w:hAnsi="Arial"/>
          <w:b w:val="false"/>
          <w:bCs w:val="false"/>
          <w:color w:val="1A1A1A"/>
          <w:sz w:val="24"/>
          <w:szCs w:val="24"/>
        </w:rPr>
        <w:t xml:space="preserve">قال إيريك فروم: 'الوعي بالموت هو مصدر القلق الوجودي الأعمق'. وقال يالوم: 'كل قلق في جوهره قلق من الفناء'. وقال هايدجر: 'الموت هو الإمكانية التي تُعرّف وجود الإنسان'. ثلاثة مفكرين من ثلاثة تقاليد مختلفة يلتقون على حقيقة واحدة: الموت هو السؤال الذي تتحطم عنده كل الإجابات الجزئية.</w:t>
      </w:r>
    </w:p>
    <w:p>
      <w:pPr>
        <w:pBdr>
          <w:left w:val="single" w:color="2E6DA4" w:sz="20" w:space="6"/>
        </w:pBdr>
        <w:spacing w:before="200" w:after="160"/>
        <w:ind w:left="800" w:right="200"/>
        <w:jc w:val="left"/>
      </w:pPr>
      <w:r>
        <w:rPr>
          <w:rFonts w:ascii="Arial" w:cs="Arial" w:eastAsia="Arial" w:hAnsi="Arial"/>
          <w:color w:val="2A2A2A"/>
          <w:sz w:val="22"/>
          <w:szCs w:val="22"/>
        </w:rPr>
        <w:t xml:space="preserve">« La prise de conscience de la mortalité peut catalyser un changement majeur de perspective. Quand on cesse de nier la mort, on peut commencer à vivre pleinement. »</w:t>
      </w:r>
      <w:r>
        <w:rPr>
          <w:rFonts w:ascii="Arial" w:cs="Arial" w:eastAsia="Arial" w:hAnsi="Arial"/>
          <w:color w:val="666666"/>
          <w:sz w:val="19"/>
          <w:szCs w:val="19"/>
        </w:rPr>
        <w:br/>
        <w:t xml:space="preserve">
— Irvin Yalom — Regarder le soleil en face : Surmonter la terreur de la mort (2008), Galaade, Paris, p. 38</w:t>
      </w:r>
    </w:p>
    <w:p>
      <w:pPr>
        <w:bidi/>
        <w:spacing w:before="150" w:after="170" w:line="400"/>
        <w:ind w:firstLine="720"/>
      </w:pPr>
      <w:r>
        <w:rPr>
          <w:rFonts w:ascii="Arial" w:cs="Arial" w:eastAsia="Arial" w:hAnsi="Arial"/>
          <w:b w:val="false"/>
          <w:bCs w:val="false"/>
          <w:color w:val="1A1A1A"/>
          <w:sz w:val="24"/>
          <w:szCs w:val="24"/>
        </w:rPr>
        <w:t xml:space="preserve">يالوم يُقدّم 'قبول الموت' كحل علاجي — وهو حل نبيل لكنه ناقص. فقبول النهاية لا يُجيب على سؤال: ومن يُحاسب الظالم الذي مات ولم يُنصَف منه؟ ومن يُعوّض الضحية التي ذهبت دون أن ترى عدالة؟ ومن يمنح للمسيرة الإنسانية معنىً يتجاوز كونها مجرد حادثة عابرة في كون لا مبالٍ؟</w:t>
      </w:r>
    </w:p>
    <w:p>
      <w:pPr>
        <w:bidi/>
        <w:spacing w:before="320" w:after="160"/>
        <w:jc w:val="right"/>
      </w:pPr>
      <w:r>
        <w:rPr>
          <w:rFonts w:ascii="Arial" w:cs="Arial" w:eastAsia="Arial" w:hAnsi="Arial"/>
          <w:b/>
          <w:bCs/>
          <w:color w:val="2E6DA4"/>
          <w:sz w:val="30"/>
          <w:szCs w:val="30"/>
        </w:rPr>
        <w:t xml:space="preserve">٣-٢ الآخرة: أفق يُعيد قراءة الحياة كلها</w:t>
      </w:r>
    </w:p>
    <w:p>
      <w:pPr>
        <w:bidi/>
        <w:spacing w:before="150" w:after="170" w:line="400"/>
        <w:ind w:firstLine="720"/>
      </w:pPr>
      <w:r>
        <w:rPr>
          <w:rFonts w:ascii="Arial" w:cs="Arial" w:eastAsia="Arial" w:hAnsi="Arial"/>
          <w:b w:val="false"/>
          <w:bCs w:val="false"/>
          <w:color w:val="1A1A1A"/>
          <w:sz w:val="24"/>
          <w:szCs w:val="24"/>
        </w:rPr>
        <w:t xml:space="preserve">القرآن لا يتجاهل الموت ولا يطلب قبوله فحسب — بل يُقدّم ما هو أعمق: يُعيد تعريف الموت كلياً. الموت في القرآن ليس نهايةً بل عتبةً — انتقال من طور إلى طور، من دار إلى دار:</w:t>
      </w:r>
    </w:p>
    <w:p>
      <w:pPr>
        <w:pBdr>
          <w:top w:val="single" w:color="B8860B" w:sz="3"/>
          <w:bottom w:val="single" w:color="B8860B" w:sz="3"/>
          <w:left w:val="single" w:color="B8860B" w:sz="22"/>
          <w:right w:val="single" w:color="B8860B" w:sz="22"/>
        </w:pBdr>
        <w:bidi/>
        <w:spacing w:before="240" w:after="160"/>
        <w:jc w:val="center"/>
      </w:pPr>
      <w:r>
        <w:rPr>
          <w:rFonts w:ascii="Arial" w:cs="Arial" w:eastAsia="Arial" w:hAnsi="Arial"/>
          <w:b/>
          <w:bCs/>
          <w:color w:val="5C3D11"/>
          <w:sz w:val="28"/>
          <w:szCs w:val="28"/>
        </w:rPr>
        <w:t xml:space="preserve">كُلُّ نَفْسٍ ذَائِقَةُ الْمَوْتِ وَإِنَّمَا تُوَفَّوْنَ أُجُورَكُمْ يَوْمَ الْقِيَامَةِ فَمَن زُحْزِحَ عَنِ النَّارِ وَأُدْخِلَ الْجَنَّةَ فَقَدْ فَازَ</w:t>
      </w:r>
      <w:r>
        <w:rPr>
          <w:rFonts w:ascii="Arial" w:cs="Arial" w:eastAsia="Arial" w:hAnsi="Arial"/>
          <w:color w:val="8B6914"/>
          <w:sz w:val="20"/>
          <w:szCs w:val="20"/>
        </w:rPr>
        <w:br/>
        <w:t xml:space="preserve">
— آل عمران: ١٨٥</w:t>
      </w:r>
    </w:p>
    <w:p>
      <w:pPr>
        <w:bidi/>
        <w:spacing w:before="150" w:after="170" w:line="400"/>
        <w:ind w:firstLine="720"/>
      </w:pPr>
      <w:r>
        <w:rPr>
          <w:rFonts w:ascii="Arial" w:cs="Arial" w:eastAsia="Arial" w:hAnsi="Arial"/>
          <w:b w:val="false"/>
          <w:bCs w:val="false"/>
          <w:color w:val="1A1A1A"/>
          <w:sz w:val="24"/>
          <w:szCs w:val="24"/>
        </w:rPr>
        <w:t xml:space="preserve">'وإنما توفّون أجوركم يوم القيامة' — هذه الجملة تُغيّر معادلة الحياة كلها. فكل ما يُفعل في الدنيا لا يضيع — بل يُجمع في سجل دقيق سيُوفَّى عنه يوماً. وهذا لا يمنح الإنسان اطمئناناً فحسب بل يمنحه شيئاً أعظم: عدالة مضمونة لا تُعطّلها قوانين البشر.</w:t>
      </w:r>
    </w:p>
    <w:p>
      <w:pPr>
        <w:bidi/>
        <w:spacing w:before="320" w:after="160"/>
        <w:jc w:val="right"/>
      </w:pPr>
      <w:r>
        <w:rPr>
          <w:rFonts w:ascii="Arial" w:cs="Arial" w:eastAsia="Arial" w:hAnsi="Arial"/>
          <w:b/>
          <w:bCs/>
          <w:color w:val="2E6DA4"/>
          <w:sz w:val="30"/>
          <w:szCs w:val="30"/>
        </w:rPr>
        <w:t xml:space="preserve">٣-٣ العدالة الكونية: ما يعجز عنه كل نظام بشري</w:t>
      </w:r>
    </w:p>
    <w:p>
      <w:pPr>
        <w:bidi/>
        <w:spacing w:before="150" w:after="170" w:line="400"/>
        <w:ind w:firstLine="720"/>
      </w:pPr>
      <w:r>
        <w:rPr>
          <w:rFonts w:ascii="Arial" w:cs="Arial" w:eastAsia="Arial" w:hAnsi="Arial"/>
          <w:b w:val="false"/>
          <w:bCs w:val="false"/>
          <w:color w:val="1A1A1A"/>
          <w:sz w:val="24"/>
          <w:szCs w:val="24"/>
        </w:rPr>
        <w:t xml:space="preserve">من أعمق ما يُقدّمه القرآن وأكثره أثراً في بنية الهرم النفسي: ضمان العدالة الكونية الشاملة. فالظلم الذي لم يُحاسَب عليه في الدنيا لا يضيع — وهذا اليقين يُحرّر النفس من ثقل الغضب المزمن والحقد المتراكم.</w:t>
      </w:r>
    </w:p>
    <w:p>
      <w:pPr>
        <w:pBdr>
          <w:top w:val="single" w:color="B8860B" w:sz="3"/>
          <w:bottom w:val="single" w:color="B8860B" w:sz="3"/>
          <w:left w:val="single" w:color="B8860B" w:sz="22"/>
          <w:right w:val="single" w:color="B8860B" w:sz="22"/>
        </w:pBdr>
        <w:bidi/>
        <w:spacing w:before="240" w:after="160"/>
        <w:jc w:val="center"/>
      </w:pPr>
      <w:r>
        <w:rPr>
          <w:rFonts w:ascii="Arial" w:cs="Arial" w:eastAsia="Arial" w:hAnsi="Arial"/>
          <w:b/>
          <w:bCs/>
          <w:color w:val="5C3D11"/>
          <w:sz w:val="28"/>
          <w:szCs w:val="28"/>
        </w:rPr>
        <w:t xml:space="preserve">وَلَا تَحْسَبَنَّ اللَّهَ غَافِلًا عَمَّا يَعْمَلُ الظَّالِمُونَ إِنَّمَا يُؤَخِّرُهُمْ لِيَوْمٍ تَشْخَصُ فِيهِ الْأَبْصَارُ</w:t>
      </w:r>
      <w:r>
        <w:rPr>
          <w:rFonts w:ascii="Arial" w:cs="Arial" w:eastAsia="Arial" w:hAnsi="Arial"/>
          <w:color w:val="8B6914"/>
          <w:sz w:val="20"/>
          <w:szCs w:val="20"/>
        </w:rPr>
        <w:br/>
        <w:t xml:space="preserve">
— إبراهيم: ٤٢</w:t>
      </w:r>
    </w:p>
    <w:p>
      <w:pPr>
        <w:bidi/>
        <w:spacing w:before="150" w:after="170" w:line="400"/>
        <w:ind w:firstLine="720"/>
      </w:pPr>
      <w:r>
        <w:rPr>
          <w:rFonts w:ascii="Arial" w:cs="Arial" w:eastAsia="Arial" w:hAnsi="Arial"/>
          <w:b w:val="false"/>
          <w:bCs w:val="false"/>
          <w:color w:val="1A1A1A"/>
          <w:sz w:val="24"/>
          <w:szCs w:val="24"/>
        </w:rPr>
        <w:t xml:space="preserve">هذه الآية تُعالج أحد أعقد الأزمات النفسية: شهود الظلم دون إمكانية إيقافه. الإنسان الذي يرى الظالم يزدهر واليتيم يُقهَر دون رد يتراكم في نفسه إما غضب أو يأس. القرآن يُقدّم بديلاً ثالثاً: اليقين بأن العدالة قادمة مهما تأخّرت — وهذا اليقين يُحرّر النفس من حمل ما ليس في طاقتها.</w:t>
      </w:r>
    </w:p>
    <w:p>
      <w:pPr>
        <w:pBdr>
          <w:left w:val="single" w:color="2E6DA4" w:sz="20" w:space="6"/>
        </w:pBdr>
        <w:spacing w:before="200" w:after="160"/>
        <w:ind w:left="800" w:right="200"/>
        <w:jc w:val="left"/>
      </w:pPr>
      <w:r>
        <w:rPr>
          <w:rFonts w:ascii="Arial" w:cs="Arial" w:eastAsia="Arial" w:hAnsi="Arial"/>
          <w:color w:val="2A2A2A"/>
          <w:sz w:val="22"/>
          <w:szCs w:val="22"/>
        </w:rPr>
        <w:t xml:space="preserve">« L'espérance théologique — la certitude d'une justice transcendante — est l'un des mécanismes d'adaptation les plus puissants face à l'injustice vécue, bien plus efficace que la résignation ou la vengeance. »</w:t>
      </w:r>
      <w:r>
        <w:rPr>
          <w:rFonts w:ascii="Arial" w:cs="Arial" w:eastAsia="Arial" w:hAnsi="Arial"/>
          <w:color w:val="666666"/>
          <w:sz w:val="19"/>
          <w:szCs w:val="19"/>
        </w:rPr>
        <w:br/>
        <w:t xml:space="preserve">
— Kenneth Pargament — The Psychology of Religion and Coping (1997), Guilford Press, New York, p. 287</w:t>
      </w:r>
    </w:p>
    <w:p>
      <w:pPr>
        <w:bidi/>
        <w:spacing w:before="320" w:after="160"/>
        <w:jc w:val="right"/>
      </w:pPr>
      <w:r>
        <w:rPr>
          <w:rFonts w:ascii="Arial" w:cs="Arial" w:eastAsia="Arial" w:hAnsi="Arial"/>
          <w:b/>
          <w:bCs/>
          <w:color w:val="2E6DA4"/>
          <w:sz w:val="30"/>
          <w:szCs w:val="30"/>
        </w:rPr>
        <w:t xml:space="preserve">٣-٤ الأفق اللانهائي وأثره على الهرم النفسي</w:t>
      </w:r>
    </w:p>
    <w:p>
      <w:pPr>
        <w:bidi/>
        <w:spacing w:before="150" w:after="170" w:line="400"/>
        <w:ind w:firstLine="720"/>
      </w:pPr>
      <w:r>
        <w:rPr>
          <w:rFonts w:ascii="Arial" w:cs="Arial" w:eastAsia="Arial" w:hAnsi="Arial"/>
          <w:b w:val="false"/>
          <w:bCs w:val="false"/>
          <w:color w:val="1A1A1A"/>
          <w:sz w:val="24"/>
          <w:szCs w:val="24"/>
        </w:rPr>
        <w:t xml:space="preserve">حين يمتلك الإنسان يقين الآخرة، يتغير شيء جوهري في بنية الهرم النفسي: الضلع الثاني (التقوى ← المطمئنة) يكتسب طاقة لا تنضب. لأن التقوى في ضوء الآخرة لا تعني الامتناع المجرد عن اللذة — بل تعني الاستثمار الذكي في مستقبل أبدي. وحين تصبح التقوى استثماراً لا تضحية، يتغير كل شيء في دوافع الإنسان وصلابته.</w:t>
      </w:r>
    </w:p>
    <w:p>
      <w:pPr>
        <w:bidi/>
        <w:spacing w:before="150" w:after="170" w:line="400"/>
        <w:ind w:firstLine="720"/>
      </w:pPr>
      <w:r>
        <w:rPr>
          <w:rFonts w:ascii="Arial" w:cs="Arial" w:eastAsia="Arial" w:hAnsi="Arial"/>
          <w:b w:val="false"/>
          <w:bCs w:val="false"/>
          <w:color w:val="1A1A1A"/>
          <w:sz w:val="24"/>
          <w:szCs w:val="24"/>
        </w:rPr>
        <w:t xml:space="preserve">وكذلك الضلع الثامن (الرحمة الإلهية ← المطمئنة) يكتسب عمقاً إضافياً: فالرحمة في ضوء الآخرة لا تنتهي بالموت بل تمتد وتتجلّى في أكمل صورها يوم لا ظلم فيه ولا ضياع.</w:t>
      </w:r>
    </w:p>
    <w:p>
      <w:pPr>
        <w:pBdr>
          <w:top w:val="single" w:color="2E6DA4" w:sz="2"/>
          <w:bottom w:val="single" w:color="2E6DA4" w:sz="2"/>
          <w:left w:val="single" w:color="2E6DA4" w:sz="14"/>
          <w:right w:val="single" w:color="2E6DA4" w:sz="14"/>
        </w:pBdr>
        <w:shd w:fill="EBF3FB" w:val="clear"/>
        <w:bidi/>
        <w:spacing w:before="200" w:after="160"/>
      </w:pPr>
      <w:r>
        <w:rPr>
          <w:rFonts w:ascii="Arial" w:cs="Arial" w:eastAsia="Arial" w:hAnsi="Arial"/>
          <w:color w:val="1A3C5E"/>
          <w:sz w:val="22"/>
          <w:szCs w:val="22"/>
        </w:rPr>
        <w:t xml:space="preserve">الأفق اللانهائي لا يجعل الحياة الدنيا أقل أهمية — بل يُضفي عليها وزناً حقيقياً لم تكن تملكه: كل لحظة فيها تُكتب ولها أثر يمتد إلى الأبد.</w:t>
      </w:r>
    </w:p>
    <w:p>
      <w:pPr>
        <w:pBdr>
          <w:bottom w:val="single" w:color="1A3C5E" w:sz="10" w:space="3"/>
          <w:right w:val="single" w:color="B8860B" w:sz="28" w:space="7"/>
        </w:pBdr>
        <w:bidi/>
        <w:spacing w:before="500" w:after="240"/>
        <w:jc w:val="right"/>
      </w:pPr>
      <w:r>
        <w:rPr>
          <w:rFonts w:ascii="Arial" w:cs="Arial" w:eastAsia="Arial" w:hAnsi="Arial"/>
          <w:b/>
          <w:bCs/>
          <w:color w:val="1A3C5E"/>
          <w:sz w:val="40"/>
          <w:szCs w:val="40"/>
        </w:rPr>
        <w:t xml:space="preserve">٤ — التكامل الفريد: العقلاني والميتافيزيقي والفطري</w:t>
      </w:r>
    </w:p>
    <w:p>
      <w:pPr>
        <w:bidi/>
        <w:spacing w:before="320" w:after="160"/>
        <w:jc w:val="right"/>
      </w:pPr>
      <w:r>
        <w:rPr>
          <w:rFonts w:ascii="Arial" w:cs="Arial" w:eastAsia="Arial" w:hAnsi="Arial"/>
          <w:b/>
          <w:bCs/>
          <w:color w:val="2E6DA4"/>
          <w:sz w:val="30"/>
          <w:szCs w:val="30"/>
        </w:rPr>
        <w:t xml:space="preserve">٤-١ لماذا التكامل الثلاثي فريد؟</w:t>
      </w:r>
    </w:p>
    <w:p>
      <w:pPr>
        <w:bidi/>
        <w:spacing w:before="150" w:after="170" w:line="400"/>
        <w:ind w:firstLine="720"/>
      </w:pPr>
      <w:r>
        <w:rPr>
          <w:rFonts w:ascii="Arial" w:cs="Arial" w:eastAsia="Arial" w:hAnsi="Arial"/>
          <w:b w:val="false"/>
          <w:bCs w:val="false"/>
          <w:color w:val="1A1A1A"/>
          <w:sz w:val="24"/>
          <w:szCs w:val="24"/>
        </w:rPr>
        <w:t xml:space="preserve">ما يجعل القرآن مرجعيةً متعاليةً فريدة ليس كل واحد من هذه المحاور منفردةً — بل تكاملها الفريد في وحدة واحدة متناغمة. فكل نظام بشري يُقدّم واحداً أو اثنين منها في أفضل الأحوال:</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300"/>
        <w:gridCol w:w="2000"/>
        <w:gridCol w:w="2300"/>
        <w:gridCol w:w="2426"/>
      </w:tblGrid>
      <w:tr>
        <w:tc>
          <w:tcPr>
            <w:tcW w:type="dxa" w:w="2300"/>
            <w:tcBorders>
              <w:top w:val="single" w:color="1A3C5E" w:sz="4"/>
              <w:left w:val="single" w:color="1A3C5E" w:sz="4"/>
              <w:bottom w:val="single" w:color="1A3C5E" w:sz="4"/>
              <w:right w:val="single" w:color="1A3C5E" w:sz="4"/>
            </w:tcBorders>
            <w:shd w:fill="1A3C5E" w:val="clear"/>
            <w:tcMar>
              <w:top w:type="dxa" w:w="90"/>
              <w:left w:type="dxa" w:w="130"/>
              <w:bottom w:type="dxa" w:w="90"/>
              <w:right w:type="dxa" w:w="130"/>
            </w:tcMar>
          </w:tcPr>
          <w:p>
            <w:pPr>
              <w:bidi/>
              <w:jc w:val="center"/>
            </w:pPr>
            <w:r>
              <w:rPr>
                <w:rFonts w:ascii="Arial" w:cs="Arial" w:eastAsia="Arial" w:hAnsi="Arial"/>
                <w:b/>
                <w:bCs/>
                <w:color w:val="FFFFFF"/>
                <w:sz w:val="20"/>
                <w:szCs w:val="20"/>
              </w:rPr>
              <w:t xml:space="preserve">النظام</w:t>
            </w:r>
          </w:p>
        </w:tc>
        <w:tc>
          <w:tcPr>
            <w:tcW w:type="dxa" w:w="2000"/>
            <w:tcBorders>
              <w:top w:val="single" w:color="1A3C5E" w:sz="4"/>
              <w:left w:val="single" w:color="1A3C5E" w:sz="4"/>
              <w:bottom w:val="single" w:color="1A3C5E" w:sz="4"/>
              <w:right w:val="single" w:color="1A3C5E" w:sz="4"/>
            </w:tcBorders>
            <w:shd w:fill="1A3C5E" w:val="clear"/>
            <w:tcMar>
              <w:top w:type="dxa" w:w="90"/>
              <w:left w:type="dxa" w:w="130"/>
              <w:bottom w:type="dxa" w:w="90"/>
              <w:right w:type="dxa" w:w="130"/>
            </w:tcMar>
          </w:tcPr>
          <w:p>
            <w:pPr>
              <w:bidi/>
              <w:jc w:val="center"/>
            </w:pPr>
            <w:r>
              <w:rPr>
                <w:rFonts w:ascii="Arial" w:cs="Arial" w:eastAsia="Arial" w:hAnsi="Arial"/>
                <w:b/>
                <w:bCs/>
                <w:color w:val="FFFFFF"/>
                <w:sz w:val="20"/>
                <w:szCs w:val="20"/>
              </w:rPr>
              <w:t xml:space="preserve">العقلاني (يخاطب العقل)</w:t>
            </w:r>
          </w:p>
        </w:tc>
        <w:tc>
          <w:tcPr>
            <w:tcW w:type="dxa" w:w="2300"/>
            <w:tcBorders>
              <w:top w:val="single" w:color="1A3C5E" w:sz="4"/>
              <w:left w:val="single" w:color="1A3C5E" w:sz="4"/>
              <w:bottom w:val="single" w:color="1A3C5E" w:sz="4"/>
              <w:right w:val="single" w:color="1A3C5E" w:sz="4"/>
            </w:tcBorders>
            <w:shd w:fill="1A3C5E" w:val="clear"/>
            <w:tcMar>
              <w:top w:type="dxa" w:w="90"/>
              <w:left w:type="dxa" w:w="130"/>
              <w:bottom w:type="dxa" w:w="90"/>
              <w:right w:type="dxa" w:w="130"/>
            </w:tcMar>
          </w:tcPr>
          <w:p>
            <w:pPr>
              <w:bidi/>
              <w:jc w:val="center"/>
            </w:pPr>
            <w:r>
              <w:rPr>
                <w:rFonts w:ascii="Arial" w:cs="Arial" w:eastAsia="Arial" w:hAnsi="Arial"/>
                <w:b/>
                <w:bCs/>
                <w:color w:val="FFFFFF"/>
                <w:sz w:val="20"/>
                <w:szCs w:val="20"/>
              </w:rPr>
              <w:t xml:space="preserve">الميتافيزيقي (يُجيب على الكبرى)</w:t>
            </w:r>
          </w:p>
        </w:tc>
        <w:tc>
          <w:tcPr>
            <w:tcW w:type="dxa" w:w="2426"/>
            <w:tcBorders>
              <w:top w:val="single" w:color="1A3C5E" w:sz="4"/>
              <w:left w:val="single" w:color="1A3C5E" w:sz="4"/>
              <w:bottom w:val="single" w:color="1A3C5E" w:sz="4"/>
              <w:right w:val="single" w:color="1A3C5E" w:sz="4"/>
            </w:tcBorders>
            <w:shd w:fill="1A3C5E" w:val="clear"/>
            <w:tcMar>
              <w:top w:type="dxa" w:w="90"/>
              <w:left w:type="dxa" w:w="130"/>
              <w:bottom w:type="dxa" w:w="90"/>
              <w:right w:type="dxa" w:w="130"/>
            </w:tcMar>
          </w:tcPr>
          <w:p>
            <w:pPr>
              <w:bidi/>
              <w:jc w:val="center"/>
            </w:pPr>
            <w:r>
              <w:rPr>
                <w:rFonts w:ascii="Arial" w:cs="Arial" w:eastAsia="Arial" w:hAnsi="Arial"/>
                <w:b/>
                <w:bCs/>
                <w:color w:val="FFFFFF"/>
                <w:sz w:val="20"/>
                <w:szCs w:val="20"/>
              </w:rPr>
              <w:t xml:space="preserve">الفطري (يوقظ الداخل)</w:t>
            </w:r>
          </w:p>
        </w:tc>
      </w:tr>
      <w:tr>
        <w:tc>
          <w:tcPr>
            <w:tcW w:type="dxa" w:w="2300"/>
            <w:tcBorders>
              <w:top w:val="single" w:color="CCCCCC" w:sz="1"/>
              <w:left w:val="single" w:color="CCCCCC" w:sz="1"/>
              <w:bottom w:val="single" w:color="CCCCCC" w:sz="1"/>
              <w:right w:val="single" w:color="CCCCCC" w:sz="1"/>
            </w:tcBorders>
            <w:shd w:fill="FFFFFF"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الفلسفة الغربية</w:t>
            </w:r>
          </w:p>
        </w:tc>
        <w:tc>
          <w:tcPr>
            <w:tcW w:type="dxa" w:w="2000"/>
            <w:tcBorders>
              <w:top w:val="single" w:color="CCCCCC" w:sz="1"/>
              <w:left w:val="single" w:color="CCCCCC" w:sz="1"/>
              <w:bottom w:val="single" w:color="CCCCCC" w:sz="1"/>
              <w:right w:val="single" w:color="CCCCCC" w:sz="1"/>
            </w:tcBorders>
            <w:shd w:fill="FFFFFF"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نعم — بامتياز</w:t>
            </w:r>
          </w:p>
        </w:tc>
        <w:tc>
          <w:tcPr>
            <w:tcW w:type="dxa" w:w="2300"/>
            <w:tcBorders>
              <w:top w:val="single" w:color="CCCCCC" w:sz="1"/>
              <w:left w:val="single" w:color="CCCCCC" w:sz="1"/>
              <w:bottom w:val="single" w:color="CCCCCC" w:sz="1"/>
              <w:right w:val="single" w:color="CCCCCC" w:sz="1"/>
            </w:tcBorders>
            <w:shd w:fill="FFFFFF"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جزئياً فقط</w:t>
            </w:r>
          </w:p>
        </w:tc>
        <w:tc>
          <w:tcPr>
            <w:tcW w:type="dxa" w:w="2426"/>
            <w:tcBorders>
              <w:top w:val="single" w:color="CCCCCC" w:sz="1"/>
              <w:left w:val="single" w:color="CCCCCC" w:sz="1"/>
              <w:bottom w:val="single" w:color="CCCCCC" w:sz="1"/>
              <w:right w:val="single" w:color="CCCCCC" w:sz="1"/>
            </w:tcBorders>
            <w:shd w:fill="FFFFFF"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لا — يُهمله</w:t>
            </w:r>
          </w:p>
        </w:tc>
      </w:tr>
      <w:tr>
        <w:tc>
          <w:tcPr>
            <w:tcW w:type="dxa" w:w="2300"/>
            <w:tcBorders>
              <w:top w:val="single" w:color="CCCCCC" w:sz="1"/>
              <w:left w:val="single" w:color="CCCCCC" w:sz="1"/>
              <w:bottom w:val="single" w:color="CCCCCC" w:sz="1"/>
              <w:right w:val="single" w:color="CCCCCC" w:sz="1"/>
            </w:tcBorders>
            <w:shd w:fill="F0F5FA"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العلوم الطبيعية</w:t>
            </w:r>
          </w:p>
        </w:tc>
        <w:tc>
          <w:tcPr>
            <w:tcW w:type="dxa" w:w="2000"/>
            <w:tcBorders>
              <w:top w:val="single" w:color="CCCCCC" w:sz="1"/>
              <w:left w:val="single" w:color="CCCCCC" w:sz="1"/>
              <w:bottom w:val="single" w:color="CCCCCC" w:sz="1"/>
              <w:right w:val="single" w:color="CCCCCC" w:sz="1"/>
            </w:tcBorders>
            <w:shd w:fill="F0F5FA"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نعم — بامتياز</w:t>
            </w:r>
          </w:p>
        </w:tc>
        <w:tc>
          <w:tcPr>
            <w:tcW w:type="dxa" w:w="2300"/>
            <w:tcBorders>
              <w:top w:val="single" w:color="CCCCCC" w:sz="1"/>
              <w:left w:val="single" w:color="CCCCCC" w:sz="1"/>
              <w:bottom w:val="single" w:color="CCCCCC" w:sz="1"/>
              <w:right w:val="single" w:color="CCCCCC" w:sz="1"/>
            </w:tcBorders>
            <w:shd w:fill="F0F5FA"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لا — خارج نطاقها</w:t>
            </w:r>
          </w:p>
        </w:tc>
        <w:tc>
          <w:tcPr>
            <w:tcW w:type="dxa" w:w="2426"/>
            <w:tcBorders>
              <w:top w:val="single" w:color="CCCCCC" w:sz="1"/>
              <w:left w:val="single" w:color="CCCCCC" w:sz="1"/>
              <w:bottom w:val="single" w:color="CCCCCC" w:sz="1"/>
              <w:right w:val="single" w:color="CCCCCC" w:sz="1"/>
            </w:tcBorders>
            <w:shd w:fill="F0F5FA"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لا — يُهمله</w:t>
            </w:r>
          </w:p>
        </w:tc>
      </w:tr>
      <w:tr>
        <w:tc>
          <w:tcPr>
            <w:tcW w:type="dxa" w:w="2300"/>
            <w:tcBorders>
              <w:top w:val="single" w:color="CCCCCC" w:sz="1"/>
              <w:left w:val="single" w:color="CCCCCC" w:sz="1"/>
              <w:bottom w:val="single" w:color="CCCCCC" w:sz="1"/>
              <w:right w:val="single" w:color="CCCCCC" w:sz="1"/>
            </w:tcBorders>
            <w:shd w:fill="FFFFFF"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الأديان التقليدية</w:t>
            </w:r>
          </w:p>
        </w:tc>
        <w:tc>
          <w:tcPr>
            <w:tcW w:type="dxa" w:w="2000"/>
            <w:tcBorders>
              <w:top w:val="single" w:color="CCCCCC" w:sz="1"/>
              <w:left w:val="single" w:color="CCCCCC" w:sz="1"/>
              <w:bottom w:val="single" w:color="CCCCCC" w:sz="1"/>
              <w:right w:val="single" w:color="CCCCCC" w:sz="1"/>
            </w:tcBorders>
            <w:shd w:fill="FFFFFF"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جزئياً</w:t>
            </w:r>
          </w:p>
        </w:tc>
        <w:tc>
          <w:tcPr>
            <w:tcW w:type="dxa" w:w="2300"/>
            <w:tcBorders>
              <w:top w:val="single" w:color="CCCCCC" w:sz="1"/>
              <w:left w:val="single" w:color="CCCCCC" w:sz="1"/>
              <w:bottom w:val="single" w:color="CCCCCC" w:sz="1"/>
              <w:right w:val="single" w:color="CCCCCC" w:sz="1"/>
            </w:tcBorders>
            <w:shd w:fill="FFFFFF"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نعم</w:t>
            </w:r>
          </w:p>
        </w:tc>
        <w:tc>
          <w:tcPr>
            <w:tcW w:type="dxa" w:w="2426"/>
            <w:tcBorders>
              <w:top w:val="single" w:color="CCCCCC" w:sz="1"/>
              <w:left w:val="single" w:color="CCCCCC" w:sz="1"/>
              <w:bottom w:val="single" w:color="CCCCCC" w:sz="1"/>
              <w:right w:val="single" w:color="CCCCCC" w:sz="1"/>
            </w:tcBorders>
            <w:shd w:fill="FFFFFF"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نعم — لكن بشكل غير مكتمل</w:t>
            </w:r>
          </w:p>
        </w:tc>
      </w:tr>
      <w:tr>
        <w:tc>
          <w:tcPr>
            <w:tcW w:type="dxa" w:w="2300"/>
            <w:tcBorders>
              <w:top w:val="single" w:color="CCCCCC" w:sz="1"/>
              <w:left w:val="single" w:color="CCCCCC" w:sz="1"/>
              <w:bottom w:val="single" w:color="CCCCCC" w:sz="1"/>
              <w:right w:val="single" w:color="CCCCCC" w:sz="1"/>
            </w:tcBorders>
            <w:shd w:fill="F0F5FA"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التحليل النفسي</w:t>
            </w:r>
          </w:p>
        </w:tc>
        <w:tc>
          <w:tcPr>
            <w:tcW w:type="dxa" w:w="2000"/>
            <w:tcBorders>
              <w:top w:val="single" w:color="CCCCCC" w:sz="1"/>
              <w:left w:val="single" w:color="CCCCCC" w:sz="1"/>
              <w:bottom w:val="single" w:color="CCCCCC" w:sz="1"/>
              <w:right w:val="single" w:color="CCCCCC" w:sz="1"/>
            </w:tcBorders>
            <w:shd w:fill="F0F5FA"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نعم</w:t>
            </w:r>
          </w:p>
        </w:tc>
        <w:tc>
          <w:tcPr>
            <w:tcW w:type="dxa" w:w="2300"/>
            <w:tcBorders>
              <w:top w:val="single" w:color="CCCCCC" w:sz="1"/>
              <w:left w:val="single" w:color="CCCCCC" w:sz="1"/>
              <w:bottom w:val="single" w:color="CCCCCC" w:sz="1"/>
              <w:right w:val="single" w:color="CCCCCC" w:sz="1"/>
            </w:tcBorders>
            <w:shd w:fill="F0F5FA"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جزئياً</w:t>
            </w:r>
          </w:p>
        </w:tc>
        <w:tc>
          <w:tcPr>
            <w:tcW w:type="dxa" w:w="2426"/>
            <w:tcBorders>
              <w:top w:val="single" w:color="CCCCCC" w:sz="1"/>
              <w:left w:val="single" w:color="CCCCCC" w:sz="1"/>
              <w:bottom w:val="single" w:color="CCCCCC" w:sz="1"/>
              <w:right w:val="single" w:color="CCCCCC" w:sz="1"/>
            </w:tcBorders>
            <w:shd w:fill="F0F5FA"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نعم — الفطرة كلاوعٍ</w:t>
            </w:r>
          </w:p>
        </w:tc>
      </w:tr>
      <w:tr>
        <w:tc>
          <w:tcPr>
            <w:tcW w:type="dxa" w:w="2300"/>
            <w:tcBorders>
              <w:top w:val="single" w:color="CCCCCC" w:sz="1"/>
              <w:left w:val="single" w:color="CCCCCC" w:sz="1"/>
              <w:bottom w:val="single" w:color="CCCCCC" w:sz="1"/>
              <w:right w:val="single" w:color="CCCCCC" w:sz="1"/>
            </w:tcBorders>
            <w:shd w:fill="FFFFFF"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القرآن الكريم</w:t>
            </w:r>
          </w:p>
        </w:tc>
        <w:tc>
          <w:tcPr>
            <w:tcW w:type="dxa" w:w="2000"/>
            <w:tcBorders>
              <w:top w:val="single" w:color="CCCCCC" w:sz="1"/>
              <w:left w:val="single" w:color="CCCCCC" w:sz="1"/>
              <w:bottom w:val="single" w:color="CCCCCC" w:sz="1"/>
              <w:right w:val="single" w:color="CCCCCC" w:sz="1"/>
            </w:tcBorders>
            <w:shd w:fill="FFFFFF"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نعم — بالحجة والدليل</w:t>
            </w:r>
          </w:p>
        </w:tc>
        <w:tc>
          <w:tcPr>
            <w:tcW w:type="dxa" w:w="2300"/>
            <w:tcBorders>
              <w:top w:val="single" w:color="CCCCCC" w:sz="1"/>
              <w:left w:val="single" w:color="CCCCCC" w:sz="1"/>
              <w:bottom w:val="single" w:color="CCCCCC" w:sz="1"/>
              <w:right w:val="single" w:color="CCCCCC" w:sz="1"/>
            </w:tcBorders>
            <w:shd w:fill="FFFFFF"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نعم — الغيب والبعث والعدل</w:t>
            </w:r>
          </w:p>
        </w:tc>
        <w:tc>
          <w:tcPr>
            <w:tcW w:type="dxa" w:w="2426"/>
            <w:tcBorders>
              <w:top w:val="single" w:color="CCCCCC" w:sz="1"/>
              <w:left w:val="single" w:color="CCCCCC" w:sz="1"/>
              <w:bottom w:val="single" w:color="CCCCCC" w:sz="1"/>
              <w:right w:val="single" w:color="CCCCCC" w:sz="1"/>
            </w:tcBorders>
            <w:shd w:fill="FFFFFF"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نعم — يوقظ الإلهام الفطري</w:t>
            </w:r>
          </w:p>
        </w:tc>
      </w:tr>
    </w:tbl>
    <w:p>
      <w:pPr>
        <w:spacing w:before="120" w:after="120"/>
      </w:pPr>
    </w:p>
    <w:p>
      <w:pPr>
        <w:bidi/>
        <w:spacing w:before="320" w:after="160"/>
        <w:jc w:val="right"/>
      </w:pPr>
      <w:r>
        <w:rPr>
          <w:rFonts w:ascii="Arial" w:cs="Arial" w:eastAsia="Arial" w:hAnsi="Arial"/>
          <w:b/>
          <w:bCs/>
          <w:color w:val="2E6DA4"/>
          <w:sz w:val="30"/>
          <w:szCs w:val="30"/>
        </w:rPr>
        <w:t xml:space="preserve">٤-٢ المستوى العقلاني: القرآن لا يكره العقل</w:t>
      </w:r>
    </w:p>
    <w:p>
      <w:pPr>
        <w:bidi/>
        <w:spacing w:before="150" w:after="170" w:line="400"/>
        <w:ind w:firstLine="720"/>
      </w:pPr>
      <w:r>
        <w:rPr>
          <w:rFonts w:ascii="Arial" w:cs="Arial" w:eastAsia="Arial" w:hAnsi="Arial"/>
          <w:b w:val="false"/>
          <w:bCs w:val="false"/>
          <w:color w:val="1A1A1A"/>
          <w:sz w:val="24"/>
          <w:szCs w:val="24"/>
        </w:rPr>
        <w:t xml:space="preserve">خلافاً للتصور الشائع الذي يضع الدين والعقل في تعارض، القرآن يستدعي العقل ويُناقشه ويُحاجج معه. أكثر من سبعمائة آية تدعو إلى التفكر والتدبر والنظر في الكون. وهذا ما يجعله قادراً على مخاطبة الإنسان المعاصر الذي لا يقبل السلطة إلا بالحجة:</w:t>
      </w:r>
    </w:p>
    <w:p>
      <w:pPr>
        <w:pBdr>
          <w:top w:val="single" w:color="B8860B" w:sz="3"/>
          <w:bottom w:val="single" w:color="B8860B" w:sz="3"/>
          <w:left w:val="single" w:color="B8860B" w:sz="22"/>
          <w:right w:val="single" w:color="B8860B" w:sz="22"/>
        </w:pBdr>
        <w:bidi/>
        <w:spacing w:before="240" w:after="160"/>
        <w:jc w:val="center"/>
      </w:pPr>
      <w:r>
        <w:rPr>
          <w:rFonts w:ascii="Arial" w:cs="Arial" w:eastAsia="Arial" w:hAnsi="Arial"/>
          <w:b/>
          <w:bCs/>
          <w:color w:val="5C3D11"/>
          <w:sz w:val="28"/>
          <w:szCs w:val="28"/>
        </w:rPr>
        <w:t xml:space="preserve">أَفَلَا يَنظُرُونَ إِلَى الْإِبِلِ كَيْفَ خُلِقَتْ ۝ وَإِلَى السَّمَاءِ كَيْفَ رُفِعَتْ ۝ وَإِلَى الْجِبَالِ كَيْفَ نُصِبَتْ ۝ وَإِلَى الْأَرْضِ كَيْفَ سُطِحَتْ</w:t>
      </w:r>
      <w:r>
        <w:rPr>
          <w:rFonts w:ascii="Arial" w:cs="Arial" w:eastAsia="Arial" w:hAnsi="Arial"/>
          <w:color w:val="8B6914"/>
          <w:sz w:val="20"/>
          <w:szCs w:val="20"/>
        </w:rPr>
        <w:br/>
        <w:t xml:space="preserve">
— الغاشية: ١٧-٢٠</w:t>
      </w:r>
    </w:p>
    <w:p>
      <w:pPr>
        <w:bidi/>
        <w:spacing w:before="150" w:after="170" w:line="400"/>
        <w:ind w:firstLine="720"/>
      </w:pPr>
      <w:r>
        <w:rPr>
          <w:rFonts w:ascii="Arial" w:cs="Arial" w:eastAsia="Arial" w:hAnsi="Arial"/>
          <w:b w:val="false"/>
          <w:bCs w:val="false"/>
          <w:color w:val="1A1A1A"/>
          <w:sz w:val="24"/>
          <w:szCs w:val="24"/>
        </w:rPr>
        <w:t xml:space="preserve">القرآن يُحيل إلى الطبيعة كدليل — أي يُؤسّس الإيمان على الملاحظة والتفكير لا على الخضوع الأعمى. وهذا ما يجعل العقل حليفاً للقرآن لا خصماً له.</w:t>
      </w:r>
    </w:p>
    <w:p>
      <w:pPr>
        <w:bidi/>
        <w:spacing w:before="320" w:after="160"/>
        <w:jc w:val="right"/>
      </w:pPr>
      <w:r>
        <w:rPr>
          <w:rFonts w:ascii="Arial" w:cs="Arial" w:eastAsia="Arial" w:hAnsi="Arial"/>
          <w:b/>
          <w:bCs/>
          <w:color w:val="2E6DA4"/>
          <w:sz w:val="30"/>
          <w:szCs w:val="30"/>
        </w:rPr>
        <w:t xml:space="preserve">٤-٣ المستوى الميتافيزيقي: الإجابة التي لا يملكها علم</w:t>
      </w:r>
    </w:p>
    <w:p>
      <w:pPr>
        <w:bidi/>
        <w:spacing w:before="150" w:after="170" w:line="400"/>
        <w:ind w:firstLine="720"/>
      </w:pPr>
      <w:r>
        <w:rPr>
          <w:rFonts w:ascii="Arial" w:cs="Arial" w:eastAsia="Arial" w:hAnsi="Arial"/>
          <w:b w:val="false"/>
          <w:bCs w:val="false"/>
          <w:color w:val="1A1A1A"/>
          <w:sz w:val="24"/>
          <w:szCs w:val="24"/>
        </w:rPr>
        <w:t xml:space="preserve">العلم — في أحسن أحواله — يُجيب على 'كيف'. لكن النفس الإنسانية تسأل 'لماذا'. وبين 'كيف' و'لماذا' هوّة لا تعبرها أي معادلة رياضية. القرآن يمتلك 'لماذا':</w:t>
      </w:r>
    </w:p>
    <w:p>
      <w:pPr>
        <w:pBdr>
          <w:top w:val="single" w:color="B8860B" w:sz="3"/>
          <w:bottom w:val="single" w:color="B8860B" w:sz="3"/>
          <w:left w:val="single" w:color="B8860B" w:sz="22"/>
          <w:right w:val="single" w:color="B8860B" w:sz="22"/>
        </w:pBdr>
        <w:bidi/>
        <w:spacing w:before="240" w:after="160"/>
        <w:jc w:val="center"/>
      </w:pPr>
      <w:r>
        <w:rPr>
          <w:rFonts w:ascii="Arial" w:cs="Arial" w:eastAsia="Arial" w:hAnsi="Arial"/>
          <w:b/>
          <w:bCs/>
          <w:color w:val="5C3D11"/>
          <w:sz w:val="28"/>
          <w:szCs w:val="28"/>
        </w:rPr>
        <w:t xml:space="preserve">وَمَا خَلَقْتُ الْجِنَّ وَالْإِنسَ إِلَّا لِيَعْبُدُونِ</w:t>
      </w:r>
      <w:r>
        <w:rPr>
          <w:rFonts w:ascii="Arial" w:cs="Arial" w:eastAsia="Arial" w:hAnsi="Arial"/>
          <w:color w:val="8B6914"/>
          <w:sz w:val="20"/>
          <w:szCs w:val="20"/>
        </w:rPr>
        <w:br/>
        <w:t xml:space="preserve">
— الذاريات: ٥٦</w:t>
      </w:r>
    </w:p>
    <w:p>
      <w:pPr>
        <w:bidi/>
        <w:spacing w:before="150" w:after="170" w:line="400"/>
        <w:ind w:firstLine="720"/>
      </w:pPr>
      <w:r>
        <w:rPr>
          <w:rFonts w:ascii="Arial" w:cs="Arial" w:eastAsia="Arial" w:hAnsi="Arial"/>
          <w:b w:val="false"/>
          <w:bCs w:val="false"/>
          <w:color w:val="1A1A1A"/>
          <w:sz w:val="24"/>
          <w:szCs w:val="24"/>
        </w:rPr>
        <w:t xml:space="preserve">'إلا ليعبدون' — الغاية الكبرى من الوجود الإنساني مُحددة بصورة تُريح العقل وتُغذّي الروح. العبادة هنا ليست مجرد الشعائر — بل هي التوجه الكلي نحو الغاية الأسمى في كل لحظة وفعل.</w:t>
      </w:r>
    </w:p>
    <w:p>
      <w:pPr>
        <w:bidi/>
        <w:spacing w:before="320" w:after="160"/>
        <w:jc w:val="right"/>
      </w:pPr>
      <w:r>
        <w:rPr>
          <w:rFonts w:ascii="Arial" w:cs="Arial" w:eastAsia="Arial" w:hAnsi="Arial"/>
          <w:b/>
          <w:bCs/>
          <w:color w:val="2E6DA4"/>
          <w:sz w:val="30"/>
          <w:szCs w:val="30"/>
        </w:rPr>
        <w:t xml:space="preserve">٤-٤ المستوى الفطري: القرآن يوقظ لا يزرع</w:t>
      </w:r>
    </w:p>
    <w:p>
      <w:pPr>
        <w:bidi/>
        <w:spacing w:before="150" w:after="170" w:line="400"/>
        <w:ind w:firstLine="720"/>
      </w:pPr>
      <w:r>
        <w:rPr>
          <w:rFonts w:ascii="Arial" w:cs="Arial" w:eastAsia="Arial" w:hAnsi="Arial"/>
          <w:b w:val="false"/>
          <w:bCs w:val="false"/>
          <w:color w:val="1A1A1A"/>
          <w:sz w:val="24"/>
          <w:szCs w:val="24"/>
        </w:rPr>
        <w:t xml:space="preserve">الأعمق من المستويين السابقين هو المستوى الفطري. القرآن لا يأتي النفس من الخارج ليزرع فيها شيئاً غريباً عنها — بل يأتيها من الداخل ليوقظ ما فيها أصلاً. التقوى الفطرية التي أُلهمتها النفس — الضلع الثاني في القاعدة — هي القناة التي يصل من خلالها القرآن إلى أعماق النفس بلا مقاومة:</w:t>
      </w:r>
    </w:p>
    <w:p>
      <w:pPr>
        <w:pBdr>
          <w:top w:val="single" w:color="B8860B" w:sz="3"/>
          <w:bottom w:val="single" w:color="B8860B" w:sz="3"/>
          <w:left w:val="single" w:color="B8860B" w:sz="22"/>
          <w:right w:val="single" w:color="B8860B" w:sz="22"/>
        </w:pBdr>
        <w:bidi/>
        <w:spacing w:before="240" w:after="160"/>
        <w:jc w:val="center"/>
      </w:pPr>
      <w:r>
        <w:rPr>
          <w:rFonts w:ascii="Arial" w:cs="Arial" w:eastAsia="Arial" w:hAnsi="Arial"/>
          <w:b/>
          <w:bCs/>
          <w:color w:val="5C3D11"/>
          <w:sz w:val="28"/>
          <w:szCs w:val="28"/>
        </w:rPr>
        <w:t xml:space="preserve">فِطْرَتَ اللَّهِ الَّتِي فَطَرَ النَّاسَ عَلَيْهَا لَا تَبْدِيلَ لِخَلْقِ اللَّهِ ذَٰلِكَ الدِّينُ الْقَيِّمُ</w:t>
      </w:r>
      <w:r>
        <w:rPr>
          <w:rFonts w:ascii="Arial" w:cs="Arial" w:eastAsia="Arial" w:hAnsi="Arial"/>
          <w:color w:val="8B6914"/>
          <w:sz w:val="20"/>
          <w:szCs w:val="20"/>
        </w:rPr>
        <w:br/>
        <w:t xml:space="preserve">
— الروم: ٣٠</w:t>
      </w:r>
    </w:p>
    <w:p>
      <w:pPr>
        <w:bidi/>
        <w:spacing w:before="150" w:after="170" w:line="400"/>
        <w:ind w:firstLine="720"/>
      </w:pPr>
      <w:r>
        <w:rPr>
          <w:rFonts w:ascii="Arial" w:cs="Arial" w:eastAsia="Arial" w:hAnsi="Arial"/>
          <w:b w:val="false"/>
          <w:bCs w:val="false"/>
          <w:color w:val="1A1A1A"/>
          <w:sz w:val="24"/>
          <w:szCs w:val="24"/>
        </w:rPr>
        <w:t xml:space="preserve">'لا تبديل لخلق الله' — الفطرة لا تتغير. وهذا هو المنطلق الذي يجعل القرآن شفاءً لا تلقيناً: لأنه لا يُعلّم النفس شيئاً غريباً عنها بل يُذكّرها بما تعرفه في أعماقها ونسيته.</w:t>
      </w:r>
    </w:p>
    <w:p>
      <w:pPr>
        <w:pBdr>
          <w:left w:val="single" w:color="2E6DA4" w:sz="20" w:space="6"/>
        </w:pBdr>
        <w:spacing w:before="200" w:after="160"/>
        <w:ind w:left="800" w:right="200"/>
        <w:jc w:val="left"/>
      </w:pPr>
      <w:r>
        <w:rPr>
          <w:rFonts w:ascii="Arial" w:cs="Arial" w:eastAsia="Arial" w:hAnsi="Arial"/>
          <w:color w:val="2A2A2A"/>
          <w:sz w:val="22"/>
          <w:szCs w:val="22"/>
        </w:rPr>
        <w:t xml:space="preserve">« Il y a dans chaque être humain une connaissance intuitive du bien et du mal — une boussole morale innée — que les traditions spirituelles authentiques cherchent à réveiller plutôt qu'à imposer. »</w:t>
      </w:r>
      <w:r>
        <w:rPr>
          <w:rFonts w:ascii="Arial" w:cs="Arial" w:eastAsia="Arial" w:hAnsi="Arial"/>
          <w:color w:val="666666"/>
          <w:sz w:val="19"/>
          <w:szCs w:val="19"/>
        </w:rPr>
        <w:br/>
        <w:t xml:space="preserve">
— Frithjof Schuon — De l'unité transcendante des religions (1979), Gallimard, Paris, p. 52</w:t>
      </w:r>
    </w:p>
    <w:p>
      <w:pPr>
        <w:pBdr>
          <w:bottom w:val="single" w:color="1A3C5E" w:sz="10" w:space="3"/>
          <w:right w:val="single" w:color="B8860B" w:sz="28" w:space="7"/>
        </w:pBdr>
        <w:bidi/>
        <w:spacing w:before="500" w:after="240"/>
        <w:jc w:val="right"/>
      </w:pPr>
      <w:r>
        <w:rPr>
          <w:rFonts w:ascii="Arial" w:cs="Arial" w:eastAsia="Arial" w:hAnsi="Arial"/>
          <w:b/>
          <w:bCs/>
          <w:color w:val="1A3C5E"/>
          <w:sz w:val="40"/>
          <w:szCs w:val="40"/>
        </w:rPr>
        <w:t xml:space="preserve">٥ — القرآن والهرم النفسي: كيف تعمل المحاور الثلاثة معاً؟</w:t>
      </w:r>
    </w:p>
    <w:p>
      <w:pPr>
        <w:bidi/>
        <w:spacing w:before="320" w:after="160"/>
        <w:jc w:val="right"/>
      </w:pPr>
      <w:r>
        <w:rPr>
          <w:rFonts w:ascii="Arial" w:cs="Arial" w:eastAsia="Arial" w:hAnsi="Arial"/>
          <w:b/>
          <w:bCs/>
          <w:color w:val="2E6DA4"/>
          <w:sz w:val="30"/>
          <w:szCs w:val="30"/>
        </w:rPr>
        <w:t xml:space="preserve">٥-١ المحاور الثلاثة على الأضلاع الثمانية</w:t>
      </w:r>
    </w:p>
    <w:p>
      <w:pPr>
        <w:bidi/>
        <w:spacing w:before="150" w:after="170" w:line="400"/>
        <w:ind w:firstLine="720"/>
      </w:pPr>
      <w:r>
        <w:rPr>
          <w:rFonts w:ascii="Arial" w:cs="Arial" w:eastAsia="Arial" w:hAnsi="Arial"/>
          <w:b w:val="false"/>
          <w:bCs w:val="false"/>
          <w:color w:val="1A1A1A"/>
          <w:sz w:val="24"/>
          <w:szCs w:val="24"/>
        </w:rPr>
        <w:t xml:space="preserve">حين تتكامل المحاور الثلاثة — المرجعية الحاضرة، التوبة، والأفق اللانهائي — تعمل على الهرم النفسي بصورة متكاملة:</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600"/>
        <w:gridCol w:w="3200"/>
        <w:gridCol w:w="3226"/>
      </w:tblGrid>
      <w:tr>
        <w:tc>
          <w:tcPr>
            <w:tcW w:type="dxa" w:w="2600"/>
            <w:tcBorders>
              <w:top w:val="single" w:color="1A3C5E" w:sz="4"/>
              <w:left w:val="single" w:color="1A3C5E" w:sz="4"/>
              <w:bottom w:val="single" w:color="1A3C5E" w:sz="4"/>
              <w:right w:val="single" w:color="1A3C5E" w:sz="4"/>
            </w:tcBorders>
            <w:shd w:fill="1A3C5E" w:val="clear"/>
            <w:tcMar>
              <w:top w:type="dxa" w:w="90"/>
              <w:left w:type="dxa" w:w="130"/>
              <w:bottom w:type="dxa" w:w="90"/>
              <w:right w:type="dxa" w:w="130"/>
            </w:tcMar>
          </w:tcPr>
          <w:p>
            <w:pPr>
              <w:bidi/>
              <w:jc w:val="center"/>
            </w:pPr>
            <w:r>
              <w:rPr>
                <w:rFonts w:ascii="Arial" w:cs="Arial" w:eastAsia="Arial" w:hAnsi="Arial"/>
                <w:b/>
                <w:bCs/>
                <w:color w:val="FFFFFF"/>
                <w:sz w:val="20"/>
                <w:szCs w:val="20"/>
              </w:rPr>
              <w:t xml:space="preserve">الضلع</w:t>
            </w:r>
          </w:p>
        </w:tc>
        <w:tc>
          <w:tcPr>
            <w:tcW w:type="dxa" w:w="3200"/>
            <w:tcBorders>
              <w:top w:val="single" w:color="1A3C5E" w:sz="4"/>
              <w:left w:val="single" w:color="1A3C5E" w:sz="4"/>
              <w:bottom w:val="single" w:color="1A3C5E" w:sz="4"/>
              <w:right w:val="single" w:color="1A3C5E" w:sz="4"/>
            </w:tcBorders>
            <w:shd w:fill="1A3C5E" w:val="clear"/>
            <w:tcMar>
              <w:top w:type="dxa" w:w="90"/>
              <w:left w:type="dxa" w:w="130"/>
              <w:bottom w:type="dxa" w:w="90"/>
              <w:right w:type="dxa" w:w="130"/>
            </w:tcMar>
          </w:tcPr>
          <w:p>
            <w:pPr>
              <w:bidi/>
              <w:jc w:val="center"/>
            </w:pPr>
            <w:r>
              <w:rPr>
                <w:rFonts w:ascii="Arial" w:cs="Arial" w:eastAsia="Arial" w:hAnsi="Arial"/>
                <w:b/>
                <w:bCs/>
                <w:color w:val="FFFFFF"/>
                <w:sz w:val="20"/>
                <w:szCs w:val="20"/>
              </w:rPr>
              <w:t xml:space="preserve">المحور القرآني الفاعل</w:t>
            </w:r>
          </w:p>
        </w:tc>
        <w:tc>
          <w:tcPr>
            <w:tcW w:type="dxa" w:w="3226"/>
            <w:tcBorders>
              <w:top w:val="single" w:color="1A3C5E" w:sz="4"/>
              <w:left w:val="single" w:color="1A3C5E" w:sz="4"/>
              <w:bottom w:val="single" w:color="1A3C5E" w:sz="4"/>
              <w:right w:val="single" w:color="1A3C5E" w:sz="4"/>
            </w:tcBorders>
            <w:shd w:fill="1A3C5E" w:val="clear"/>
            <w:tcMar>
              <w:top w:type="dxa" w:w="90"/>
              <w:left w:type="dxa" w:w="130"/>
              <w:bottom w:type="dxa" w:w="90"/>
              <w:right w:type="dxa" w:w="130"/>
            </w:tcMar>
          </w:tcPr>
          <w:p>
            <w:pPr>
              <w:bidi/>
              <w:jc w:val="center"/>
            </w:pPr>
            <w:r>
              <w:rPr>
                <w:rFonts w:ascii="Arial" w:cs="Arial" w:eastAsia="Arial" w:hAnsi="Arial"/>
                <w:b/>
                <w:bCs/>
                <w:color w:val="FFFFFF"/>
                <w:sz w:val="20"/>
                <w:szCs w:val="20"/>
              </w:rPr>
              <w:t xml:space="preserve">الأثر على النفس</w:t>
            </w:r>
          </w:p>
        </w:tc>
      </w:tr>
      <w:tr>
        <w:tc>
          <w:tcPr>
            <w:tcW w:type="dxa" w:w="2600"/>
            <w:tcBorders>
              <w:top w:val="single" w:color="CCCCCC" w:sz="1"/>
              <w:left w:val="single" w:color="CCCCCC" w:sz="1"/>
              <w:bottom w:val="single" w:color="CCCCCC" w:sz="1"/>
              <w:right w:val="single" w:color="CCCCCC" w:sz="1"/>
            </w:tcBorders>
            <w:shd w:fill="FFFFFF"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التقوى ← المطمئنة</w:t>
            </w:r>
          </w:p>
        </w:tc>
        <w:tc>
          <w:tcPr>
            <w:tcW w:type="dxa" w:w="3200"/>
            <w:tcBorders>
              <w:top w:val="single" w:color="CCCCCC" w:sz="1"/>
              <w:left w:val="single" w:color="CCCCCC" w:sz="1"/>
              <w:bottom w:val="single" w:color="CCCCCC" w:sz="1"/>
              <w:right w:val="single" w:color="CCCCCC" w:sz="1"/>
            </w:tcBorders>
            <w:shd w:fill="FFFFFF"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الأفق اللانهائي (الآخرة)</w:t>
            </w:r>
          </w:p>
        </w:tc>
        <w:tc>
          <w:tcPr>
            <w:tcW w:type="dxa" w:w="3226"/>
            <w:tcBorders>
              <w:top w:val="single" w:color="CCCCCC" w:sz="1"/>
              <w:left w:val="single" w:color="CCCCCC" w:sz="1"/>
              <w:bottom w:val="single" w:color="CCCCCC" w:sz="1"/>
              <w:right w:val="single" w:color="CCCCCC" w:sz="1"/>
            </w:tcBorders>
            <w:shd w:fill="FFFFFF"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التقوى تكتسب طاقة لا تنضب</w:t>
            </w:r>
          </w:p>
        </w:tc>
      </w:tr>
      <w:tr>
        <w:tc>
          <w:tcPr>
            <w:tcW w:type="dxa" w:w="2600"/>
            <w:tcBorders>
              <w:top w:val="single" w:color="CCCCCC" w:sz="1"/>
              <w:left w:val="single" w:color="CCCCCC" w:sz="1"/>
              <w:bottom w:val="single" w:color="CCCCCC" w:sz="1"/>
              <w:right w:val="single" w:color="CCCCCC" w:sz="1"/>
            </w:tcBorders>
            <w:shd w:fill="F0F5FA"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الفجور ← الأمارة</w:t>
            </w:r>
          </w:p>
        </w:tc>
        <w:tc>
          <w:tcPr>
            <w:tcW w:type="dxa" w:w="3200"/>
            <w:tcBorders>
              <w:top w:val="single" w:color="CCCCCC" w:sz="1"/>
              <w:left w:val="single" w:color="CCCCCC" w:sz="1"/>
              <w:bottom w:val="single" w:color="CCCCCC" w:sz="1"/>
              <w:right w:val="single" w:color="CCCCCC" w:sz="1"/>
            </w:tcBorders>
            <w:shd w:fill="F0F5FA"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المرجعية الحاضرة (الذكر)</w:t>
            </w:r>
          </w:p>
        </w:tc>
        <w:tc>
          <w:tcPr>
            <w:tcW w:type="dxa" w:w="3226"/>
            <w:tcBorders>
              <w:top w:val="single" w:color="CCCCCC" w:sz="1"/>
              <w:left w:val="single" w:color="CCCCCC" w:sz="1"/>
              <w:bottom w:val="single" w:color="CCCCCC" w:sz="1"/>
              <w:right w:val="single" w:color="CCCCCC" w:sz="1"/>
            </w:tcBorders>
            <w:shd w:fill="F0F5FA"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الذكر يُضعف الفجور ويُقيّده</w:t>
            </w:r>
          </w:p>
        </w:tc>
      </w:tr>
      <w:tr>
        <w:tc>
          <w:tcPr>
            <w:tcW w:type="dxa" w:w="2600"/>
            <w:tcBorders>
              <w:top w:val="single" w:color="CCCCCC" w:sz="1"/>
              <w:left w:val="single" w:color="CCCCCC" w:sz="1"/>
              <w:bottom w:val="single" w:color="CCCCCC" w:sz="1"/>
              <w:right w:val="single" w:color="CCCCCC" w:sz="1"/>
            </w:tcBorders>
            <w:shd w:fill="FFFFFF"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الأمارة ← اللوامة</w:t>
            </w:r>
          </w:p>
        </w:tc>
        <w:tc>
          <w:tcPr>
            <w:tcW w:type="dxa" w:w="3200"/>
            <w:tcBorders>
              <w:top w:val="single" w:color="CCCCCC" w:sz="1"/>
              <w:left w:val="single" w:color="CCCCCC" w:sz="1"/>
              <w:bottom w:val="single" w:color="CCCCCC" w:sz="1"/>
              <w:right w:val="single" w:color="CCCCCC" w:sz="1"/>
            </w:tcBorders>
            <w:shd w:fill="FFFFFF"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التوبة كمسار مفتوح دائماً</w:t>
            </w:r>
          </w:p>
        </w:tc>
        <w:tc>
          <w:tcPr>
            <w:tcW w:type="dxa" w:w="3226"/>
            <w:tcBorders>
              <w:top w:val="single" w:color="CCCCCC" w:sz="1"/>
              <w:left w:val="single" w:color="CCCCCC" w:sz="1"/>
              <w:bottom w:val="single" w:color="CCCCCC" w:sz="1"/>
              <w:right w:val="single" w:color="CCCCCC" w:sz="1"/>
            </w:tcBorders>
            <w:shd w:fill="FFFFFF"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الصعود ممكن في أي لحظة</w:t>
            </w:r>
          </w:p>
        </w:tc>
      </w:tr>
      <w:tr>
        <w:tc>
          <w:tcPr>
            <w:tcW w:type="dxa" w:w="2600"/>
            <w:tcBorders>
              <w:top w:val="single" w:color="CCCCCC" w:sz="1"/>
              <w:left w:val="single" w:color="CCCCCC" w:sz="1"/>
              <w:bottom w:val="single" w:color="CCCCCC" w:sz="1"/>
              <w:right w:val="single" w:color="CCCCCC" w:sz="1"/>
            </w:tcBorders>
            <w:shd w:fill="F0F5FA"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اللوامة ← المطمئنة</w:t>
            </w:r>
          </w:p>
        </w:tc>
        <w:tc>
          <w:tcPr>
            <w:tcW w:type="dxa" w:w="3200"/>
            <w:tcBorders>
              <w:top w:val="single" w:color="CCCCCC" w:sz="1"/>
              <w:left w:val="single" w:color="CCCCCC" w:sz="1"/>
              <w:bottom w:val="single" w:color="CCCCCC" w:sz="1"/>
              <w:right w:val="single" w:color="CCCCCC" w:sz="1"/>
            </w:tcBorders>
            <w:shd w:fill="F0F5FA"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التزكية بالذكر والعبادة</w:t>
            </w:r>
          </w:p>
        </w:tc>
        <w:tc>
          <w:tcPr>
            <w:tcW w:type="dxa" w:w="3226"/>
            <w:tcBorders>
              <w:top w:val="single" w:color="CCCCCC" w:sz="1"/>
              <w:left w:val="single" w:color="CCCCCC" w:sz="1"/>
              <w:bottom w:val="single" w:color="CCCCCC" w:sz="1"/>
              <w:right w:val="single" w:color="CCCCCC" w:sz="1"/>
            </w:tcBorders>
            <w:shd w:fill="F0F5FA"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المطمئنة هدف قابل للبلوغ</w:t>
            </w:r>
          </w:p>
        </w:tc>
      </w:tr>
      <w:tr>
        <w:tc>
          <w:tcPr>
            <w:tcW w:type="dxa" w:w="2600"/>
            <w:tcBorders>
              <w:top w:val="single" w:color="CCCCCC" w:sz="1"/>
              <w:left w:val="single" w:color="CCCCCC" w:sz="1"/>
              <w:bottom w:val="single" w:color="CCCCCC" w:sz="1"/>
              <w:right w:val="single" w:color="CCCCCC" w:sz="1"/>
            </w:tcBorders>
            <w:shd w:fill="FFFFFF"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الفجور ← الشيطان</w:t>
            </w:r>
          </w:p>
        </w:tc>
        <w:tc>
          <w:tcPr>
            <w:tcW w:type="dxa" w:w="3200"/>
            <w:tcBorders>
              <w:top w:val="single" w:color="CCCCCC" w:sz="1"/>
              <w:left w:val="single" w:color="CCCCCC" w:sz="1"/>
              <w:bottom w:val="single" w:color="CCCCCC" w:sz="1"/>
              <w:right w:val="single" w:color="CCCCCC" w:sz="1"/>
            </w:tcBorders>
            <w:shd w:fill="FFFFFF"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الاستعاذة والوعي الرقمي</w:t>
            </w:r>
          </w:p>
        </w:tc>
        <w:tc>
          <w:tcPr>
            <w:tcW w:type="dxa" w:w="3226"/>
            <w:tcBorders>
              <w:top w:val="single" w:color="CCCCCC" w:sz="1"/>
              <w:left w:val="single" w:color="CCCCCC" w:sz="1"/>
              <w:bottom w:val="single" w:color="CCCCCC" w:sz="1"/>
              <w:right w:val="single" w:color="CCCCCC" w:sz="1"/>
            </w:tcBorders>
            <w:shd w:fill="FFFFFF"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قطع الصلة بين الفجور والقرين</w:t>
            </w:r>
          </w:p>
        </w:tc>
      </w:tr>
      <w:tr>
        <w:tc>
          <w:tcPr>
            <w:tcW w:type="dxa" w:w="2600"/>
            <w:tcBorders>
              <w:top w:val="single" w:color="CCCCCC" w:sz="1"/>
              <w:left w:val="single" w:color="CCCCCC" w:sz="1"/>
              <w:bottom w:val="single" w:color="CCCCCC" w:sz="1"/>
              <w:right w:val="single" w:color="CCCCCC" w:sz="1"/>
            </w:tcBorders>
            <w:shd w:fill="F0F5FA"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التقوى ← الرحمة</w:t>
            </w:r>
          </w:p>
        </w:tc>
        <w:tc>
          <w:tcPr>
            <w:tcW w:type="dxa" w:w="3200"/>
            <w:tcBorders>
              <w:top w:val="single" w:color="CCCCCC" w:sz="1"/>
              <w:left w:val="single" w:color="CCCCCC" w:sz="1"/>
              <w:bottom w:val="single" w:color="CCCCCC" w:sz="1"/>
              <w:right w:val="single" w:color="CCCCCC" w:sz="1"/>
            </w:tcBorders>
            <w:shd w:fill="F0F5FA"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يقين الاستجابة الإلهية</w:t>
            </w:r>
          </w:p>
        </w:tc>
        <w:tc>
          <w:tcPr>
            <w:tcW w:type="dxa" w:w="3226"/>
            <w:tcBorders>
              <w:top w:val="single" w:color="CCCCCC" w:sz="1"/>
              <w:left w:val="single" w:color="CCCCCC" w:sz="1"/>
              <w:bottom w:val="single" w:color="CCCCCC" w:sz="1"/>
              <w:right w:val="single" w:color="CCCCCC" w:sz="1"/>
            </w:tcBorders>
            <w:shd w:fill="F0F5FA"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الرحمة حاضرة لا موعودة فقط</w:t>
            </w:r>
          </w:p>
        </w:tc>
      </w:tr>
      <w:tr>
        <w:tc>
          <w:tcPr>
            <w:tcW w:type="dxa" w:w="2600"/>
            <w:tcBorders>
              <w:top w:val="single" w:color="CCCCCC" w:sz="1"/>
              <w:left w:val="single" w:color="CCCCCC" w:sz="1"/>
              <w:bottom w:val="single" w:color="CCCCCC" w:sz="1"/>
              <w:right w:val="single" w:color="CCCCCC" w:sz="1"/>
            </w:tcBorders>
            <w:shd w:fill="FFFFFF"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الشيطان ← الأمارة</w:t>
            </w:r>
          </w:p>
        </w:tc>
        <w:tc>
          <w:tcPr>
            <w:tcW w:type="dxa" w:w="3200"/>
            <w:tcBorders>
              <w:top w:val="single" w:color="CCCCCC" w:sz="1"/>
              <w:left w:val="single" w:color="CCCCCC" w:sz="1"/>
              <w:bottom w:val="single" w:color="CCCCCC" w:sz="1"/>
              <w:right w:val="single" w:color="CCCCCC" w:sz="1"/>
            </w:tcBorders>
            <w:shd w:fill="FFFFFF"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التعوذ والذكر المستمر</w:t>
            </w:r>
          </w:p>
        </w:tc>
        <w:tc>
          <w:tcPr>
            <w:tcW w:type="dxa" w:w="3226"/>
            <w:tcBorders>
              <w:top w:val="single" w:color="CCCCCC" w:sz="1"/>
              <w:left w:val="single" w:color="CCCCCC" w:sz="1"/>
              <w:bottom w:val="single" w:color="CCCCCC" w:sz="1"/>
              <w:right w:val="single" w:color="CCCCCC" w:sz="1"/>
            </w:tcBorders>
            <w:shd w:fill="FFFFFF"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تضييق منافذ الإغواء</w:t>
            </w:r>
          </w:p>
        </w:tc>
      </w:tr>
      <w:tr>
        <w:tc>
          <w:tcPr>
            <w:tcW w:type="dxa" w:w="2600"/>
            <w:tcBorders>
              <w:top w:val="single" w:color="CCCCCC" w:sz="1"/>
              <w:left w:val="single" w:color="CCCCCC" w:sz="1"/>
              <w:bottom w:val="single" w:color="CCCCCC" w:sz="1"/>
              <w:right w:val="single" w:color="CCCCCC" w:sz="1"/>
            </w:tcBorders>
            <w:shd w:fill="F0F5FA"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الرحمة ← المطمئنة</w:t>
            </w:r>
          </w:p>
        </w:tc>
        <w:tc>
          <w:tcPr>
            <w:tcW w:type="dxa" w:w="3200"/>
            <w:tcBorders>
              <w:top w:val="single" w:color="CCCCCC" w:sz="1"/>
              <w:left w:val="single" w:color="CCCCCC" w:sz="1"/>
              <w:bottom w:val="single" w:color="CCCCCC" w:sz="1"/>
              <w:right w:val="single" w:color="CCCCCC" w:sz="1"/>
            </w:tcBorders>
            <w:shd w:fill="F0F5FA"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المغفرة كحدث وجودي</w:t>
            </w:r>
          </w:p>
        </w:tc>
        <w:tc>
          <w:tcPr>
            <w:tcW w:type="dxa" w:w="3226"/>
            <w:tcBorders>
              <w:top w:val="single" w:color="CCCCCC" w:sz="1"/>
              <w:left w:val="single" w:color="CCCCCC" w:sz="1"/>
              <w:bottom w:val="single" w:color="CCCCCC" w:sz="1"/>
              <w:right w:val="single" w:color="CCCCCC" w:sz="1"/>
            </w:tcBorders>
            <w:shd w:fill="F0F5FA" w:val="clear"/>
            <w:tcMar>
              <w:top w:type="dxa" w:w="90"/>
              <w:left w:type="dxa" w:w="130"/>
              <w:bottom w:type="dxa" w:w="90"/>
              <w:right w:type="dxa" w:w="130"/>
            </w:tcMar>
          </w:tcPr>
          <w:p>
            <w:pPr>
              <w:bidi/>
              <w:jc w:val="center"/>
            </w:pPr>
            <w:r>
              <w:rPr>
                <w:rFonts w:ascii="Arial" w:cs="Arial" w:eastAsia="Arial" w:hAnsi="Arial"/>
                <w:b w:val="false"/>
                <w:bCs w:val="false"/>
                <w:color w:val="1A1A1A"/>
                <w:sz w:val="19"/>
                <w:szCs w:val="19"/>
              </w:rPr>
              <w:t xml:space="preserve">الوصول للمطمئنة بعد الذنب ممكن</w:t>
            </w:r>
          </w:p>
        </w:tc>
      </w:tr>
    </w:tbl>
    <w:p>
      <w:pPr>
        <w:spacing w:before="120" w:after="120"/>
      </w:pPr>
    </w:p>
    <w:p>
      <w:pPr>
        <w:bidi/>
        <w:spacing w:before="320" w:after="160"/>
        <w:jc w:val="right"/>
      </w:pPr>
      <w:r>
        <w:rPr>
          <w:rFonts w:ascii="Arial" w:cs="Arial" w:eastAsia="Arial" w:hAnsi="Arial"/>
          <w:b/>
          <w:bCs/>
          <w:color w:val="2E6DA4"/>
          <w:sz w:val="30"/>
          <w:szCs w:val="30"/>
        </w:rPr>
        <w:t xml:space="preserve">٥-٢ الفارق النوعي: من الإدارة إلى التحرير</w:t>
      </w:r>
    </w:p>
    <w:p>
      <w:pPr>
        <w:bidi/>
        <w:spacing w:before="150" w:after="170" w:line="400"/>
        <w:ind w:firstLine="720"/>
      </w:pPr>
      <w:r>
        <w:rPr>
          <w:rFonts w:ascii="Arial" w:cs="Arial" w:eastAsia="Arial" w:hAnsi="Arial"/>
          <w:b w:val="false"/>
          <w:bCs w:val="false"/>
          <w:color w:val="1A1A1A"/>
          <w:sz w:val="24"/>
          <w:szCs w:val="24"/>
        </w:rPr>
        <w:t xml:space="preserve">كل البدائل الغربية تُقدّم 'إدارة' للنفس — تعلّمها كيف تتعامل مع واقعها وتضبط ردود أفعالها وتُحسّن أداءها. أما القرآن فيُقدّم شيئاً مختلفاً نوعياً: 'تحريراً' للنفس — تحريرها من عبودية الأمارة لا مجرد ضبطها، وتحريرها من سجن الذنب لا مجرد تخفيفه، وتحريرها من القلق الوجودي بيقين الأفق لا مجرد قبول الغموض.</w:t>
      </w:r>
    </w:p>
    <w:p>
      <w:pPr>
        <w:pBdr>
          <w:top w:val="single" w:color="1A6B1A" w:sz="2"/>
          <w:bottom w:val="single" w:color="1A6B1A" w:sz="2"/>
          <w:left w:val="single" w:color="1A6B1A" w:sz="14"/>
          <w:right w:val="single" w:color="1A6B1A" w:sz="14"/>
        </w:pBdr>
        <w:shd w:fill="F0FFF0" w:val="clear"/>
        <w:bidi/>
        <w:spacing w:before="200" w:after="160"/>
      </w:pPr>
      <w:r>
        <w:rPr>
          <w:rFonts w:ascii="Arial" w:cs="Arial" w:eastAsia="Arial" w:hAnsi="Arial"/>
          <w:color w:val="0A4A0A"/>
          <w:sz w:val="22"/>
          <w:szCs w:val="22"/>
        </w:rPr>
        <w:t xml:space="preserve">الفارق بين الإدارة النفسية والتحرير النفسي هو الفارق بين من يُعلّمك كيف تحمل القيد بشكل أفضل ومن يُزيل القيد أصلاً.</w:t>
      </w:r>
    </w:p>
    <w:p>
      <w:pPr>
        <w:pBdr>
          <w:top w:val="single" w:color="B8860B" w:sz="3"/>
          <w:bottom w:val="single" w:color="B8860B" w:sz="3"/>
          <w:left w:val="single" w:color="B8860B" w:sz="22"/>
          <w:right w:val="single" w:color="B8860B" w:sz="22"/>
        </w:pBdr>
        <w:bidi/>
        <w:spacing w:before="240" w:after="160"/>
        <w:jc w:val="center"/>
      </w:pPr>
      <w:r>
        <w:rPr>
          <w:rFonts w:ascii="Arial" w:cs="Arial" w:eastAsia="Arial" w:hAnsi="Arial"/>
          <w:b/>
          <w:bCs/>
          <w:color w:val="5C3D11"/>
          <w:sz w:val="28"/>
          <w:szCs w:val="28"/>
        </w:rPr>
        <w:t xml:space="preserve">يَا أَيَّتُهَا النَّفْسُ الْمُطْمَئِنَّةُ ۝ ارْجِعِي إِلَىٰ رَبِّكِ رَاضِيَةً مَّرْضِيَّةً ۝ فَادْخُلِي فِي عِبَادِي ۝ وَادْخُلِي جَنَّتِي</w:t>
      </w:r>
      <w:r>
        <w:rPr>
          <w:rFonts w:ascii="Arial" w:cs="Arial" w:eastAsia="Arial" w:hAnsi="Arial"/>
          <w:color w:val="8B6914"/>
          <w:sz w:val="20"/>
          <w:szCs w:val="20"/>
        </w:rPr>
        <w:br/>
        <w:t xml:space="preserve">
— الفجر: ٢٧-٣٠</w:t>
      </w:r>
    </w:p>
    <w:p>
      <w:pPr>
        <w:bidi/>
        <w:spacing w:before="150" w:after="170" w:line="400"/>
        <w:ind w:firstLine="720"/>
      </w:pPr>
      <w:r>
        <w:rPr>
          <w:rFonts w:ascii="Arial" w:cs="Arial" w:eastAsia="Arial" w:hAnsi="Arial"/>
          <w:b w:val="false"/>
          <w:bCs w:val="false"/>
          <w:color w:val="1A1A1A"/>
          <w:sz w:val="24"/>
          <w:szCs w:val="24"/>
        </w:rPr>
        <w:t xml:space="preserve">هذه الآيات الأربع تُجمل ما أخذنا أربعة فصول لتأسيسه: نفس طالت رحلتها في الهرم تبلغ في نهايتها النداء الكريم — راضيةً من الداخل، مرضيةً من الخارج، وادخلي. الاطمئنان الحقيقي ليس موقفاً نفسياً يُكتسب بالتقنيات — بل هو وصول إلى علاقة.</w:t>
      </w:r>
    </w:p>
    <w:p>
      <w:pPr>
        <w:pBdr>
          <w:bottom w:val="single" w:color="B8860B" w:sz="4" w:space="1"/>
        </w:pBdr>
        <w:spacing w:before="240" w:after="240"/>
      </w:pPr>
    </w:p>
    <w:p>
      <w:pPr>
        <w:spacing w:before="120" w:after="120"/>
      </w:pPr>
    </w:p>
    <w:p>
      <w:pPr>
        <w:pBdr>
          <w:bottom w:val="single" w:color="1A3C5E" w:sz="10" w:space="3"/>
          <w:right w:val="single" w:color="B8860B" w:sz="28" w:space="7"/>
        </w:pBdr>
        <w:bidi/>
        <w:spacing w:before="500" w:after="240"/>
        <w:jc w:val="right"/>
      </w:pPr>
      <w:r>
        <w:rPr>
          <w:rFonts w:ascii="Arial" w:cs="Arial" w:eastAsia="Arial" w:hAnsi="Arial"/>
          <w:b/>
          <w:bCs/>
          <w:color w:val="1A3C5E"/>
          <w:sz w:val="40"/>
          <w:szCs w:val="40"/>
        </w:rPr>
        <w:t xml:space="preserve">مراجع الفصل الرابع</w:t>
      </w:r>
    </w:p>
    <w:p>
      <w:pPr>
        <w:spacing w:before="80" w:after="80"/>
      </w:pPr>
    </w:p>
    <w:p>
      <w:pPr>
        <w:bidi/>
        <w:spacing w:before="320" w:after="160"/>
        <w:jc w:val="right"/>
      </w:pPr>
      <w:r>
        <w:rPr>
          <w:rFonts w:ascii="Arial" w:cs="Arial" w:eastAsia="Arial" w:hAnsi="Arial"/>
          <w:b/>
          <w:bCs/>
          <w:color w:val="2E6DA4"/>
          <w:sz w:val="30"/>
          <w:szCs w:val="30"/>
        </w:rPr>
        <w:t xml:space="preserve">أولاً — المصادر العربية والإسلامية</w:t>
      </w:r>
    </w:p>
    <w:p>
      <w:pPr>
        <w:bidi/>
        <w:spacing w:before="100" w:after="100"/>
        <w:jc w:val="right"/>
      </w:pPr>
      <w:r>
        <w:rPr>
          <w:rFonts w:ascii="Arial" w:cs="Arial" w:eastAsia="Arial" w:hAnsi="Arial"/>
          <w:b/>
          <w:bCs/>
          <w:color w:val="2E6DA4"/>
          <w:sz w:val="20"/>
          <w:szCs w:val="20"/>
        </w:rPr>
        <w:t xml:space="preserve">[١]  </w:t>
      </w:r>
      <w:r>
        <w:rPr>
          <w:rFonts w:ascii="Arial" w:cs="Arial" w:eastAsia="Arial" w:hAnsi="Arial"/>
          <w:color w:val="222222"/>
          <w:sz w:val="20"/>
          <w:szCs w:val="20"/>
        </w:rPr>
        <w:t xml:space="preserve">القرآن الكريم — الآيات المُستشهد بها: الإسراء (٨٢)، الحديد (٤)، البقرة (١٨٦)، ق (١٦)، الزمر (٥٣)، آل عمران (١٨٥)، إبراهيم (٤٢)، الغاشية (١٧-٢٠)، الذاريات (٥٦)، الروم (٣٠)، الفجر (٢٧-٣٠).</w:t>
      </w:r>
    </w:p>
    <w:p>
      <w:pPr>
        <w:bidi/>
        <w:spacing w:before="100" w:after="100"/>
        <w:jc w:val="right"/>
      </w:pPr>
      <w:r>
        <w:rPr>
          <w:rFonts w:ascii="Arial" w:cs="Arial" w:eastAsia="Arial" w:hAnsi="Arial"/>
          <w:b/>
          <w:bCs/>
          <w:color w:val="2E6DA4"/>
          <w:sz w:val="20"/>
          <w:szCs w:val="20"/>
        </w:rPr>
        <w:t xml:space="preserve">[٢]  </w:t>
      </w:r>
      <w:r>
        <w:rPr>
          <w:rFonts w:ascii="Arial" w:cs="Arial" w:eastAsia="Arial" w:hAnsi="Arial"/>
          <w:color w:val="222222"/>
          <w:sz w:val="20"/>
          <w:szCs w:val="20"/>
        </w:rPr>
        <w:t xml:space="preserve">صحيح مسلم — كتاب التوبة، باب في الحض على التوبة والفرح بها. تحقيق: محمد فؤاد عبد الباقي. دار إحياء التراث العربي، بيروت. (حديث رقم ٢٧٤٧ عن فرح الله بتوبة العبد).</w:t>
      </w:r>
    </w:p>
    <w:p>
      <w:pPr>
        <w:bidi/>
        <w:spacing w:before="100" w:after="100"/>
        <w:jc w:val="right"/>
      </w:pPr>
      <w:r>
        <w:rPr>
          <w:rFonts w:ascii="Arial" w:cs="Arial" w:eastAsia="Arial" w:hAnsi="Arial"/>
          <w:b/>
          <w:bCs/>
          <w:color w:val="2E6DA4"/>
          <w:sz w:val="20"/>
          <w:szCs w:val="20"/>
        </w:rPr>
        <w:t xml:space="preserve">[٣]  </w:t>
      </w:r>
      <w:r>
        <w:rPr>
          <w:rFonts w:ascii="Arial" w:cs="Arial" w:eastAsia="Arial" w:hAnsi="Arial"/>
          <w:color w:val="222222"/>
          <w:sz w:val="20"/>
          <w:szCs w:val="20"/>
        </w:rPr>
        <w:t xml:space="preserve">ابن القيم الجوزية — مدارج السالكين. دار الكتاب العربي، بيروت، 1996. (الجزء الأول، منازل التوبة والإنابة، ص. 285-360 — تحليل مراحل التوبة وأثرها النفسي).</w:t>
      </w:r>
    </w:p>
    <w:p>
      <w:pPr>
        <w:bidi/>
        <w:spacing w:before="100" w:after="100"/>
        <w:jc w:val="right"/>
      </w:pPr>
      <w:r>
        <w:rPr>
          <w:rFonts w:ascii="Arial" w:cs="Arial" w:eastAsia="Arial" w:hAnsi="Arial"/>
          <w:b/>
          <w:bCs/>
          <w:color w:val="2E6DA4"/>
          <w:sz w:val="20"/>
          <w:szCs w:val="20"/>
        </w:rPr>
        <w:t xml:space="preserve">[٤]  </w:t>
      </w:r>
      <w:r>
        <w:rPr>
          <w:rFonts w:ascii="Arial" w:cs="Arial" w:eastAsia="Arial" w:hAnsi="Arial"/>
          <w:color w:val="222222"/>
          <w:sz w:val="20"/>
          <w:szCs w:val="20"/>
        </w:rPr>
        <w:t xml:space="preserve">ابن عطاء الله السكندري — الحكم العطائية. تحقيق: أحمد رضوان. دار الكتب العلمية، بيروت، 2007. (الحكم 1-50: على العلاقة بين الذنب والرجاء والتوبة، ص. 15-80).</w:t>
      </w:r>
    </w:p>
    <w:p>
      <w:pPr>
        <w:bidi/>
        <w:spacing w:before="100" w:after="100"/>
        <w:jc w:val="right"/>
      </w:pPr>
      <w:r>
        <w:rPr>
          <w:rFonts w:ascii="Arial" w:cs="Arial" w:eastAsia="Arial" w:hAnsi="Arial"/>
          <w:b/>
          <w:bCs/>
          <w:color w:val="2E6DA4"/>
          <w:sz w:val="20"/>
          <w:szCs w:val="20"/>
        </w:rPr>
        <w:t xml:space="preserve">[٥]  </w:t>
      </w:r>
      <w:r>
        <w:rPr>
          <w:rFonts w:ascii="Arial" w:cs="Arial" w:eastAsia="Arial" w:hAnsi="Arial"/>
          <w:color w:val="222222"/>
          <w:sz w:val="20"/>
          <w:szCs w:val="20"/>
        </w:rPr>
        <w:t xml:space="preserve">الرازي، فخر الدين — مفاتيح الغيب (التفسير الكبير). دار إحياء التراث العربي، بيروت، 2000. (تفسير آية البقرة 186 على الحضور الإلهي واستجابة الدعاء، الجزء الخامس، ص. 89-102).</w:t>
      </w:r>
    </w:p>
    <w:p>
      <w:pPr>
        <w:spacing w:before="120" w:after="120"/>
      </w:pPr>
    </w:p>
    <w:p>
      <w:pPr>
        <w:bidi/>
        <w:spacing w:before="320" w:after="160"/>
        <w:jc w:val="right"/>
      </w:pPr>
      <w:r>
        <w:rPr>
          <w:rFonts w:ascii="Arial" w:cs="Arial" w:eastAsia="Arial" w:hAnsi="Arial"/>
          <w:b/>
          <w:bCs/>
          <w:color w:val="2E6DA4"/>
          <w:sz w:val="30"/>
          <w:szCs w:val="30"/>
        </w:rPr>
        <w:t xml:space="preserve">ثانياً — المراجع الفرنسية في علم النفس والوجودية</w:t>
      </w:r>
    </w:p>
    <w:p>
      <w:pPr>
        <w:spacing w:before="100" w:after="100"/>
        <w:jc w:val="left"/>
      </w:pPr>
      <w:r>
        <w:rPr>
          <w:rFonts w:ascii="Arial" w:cs="Arial" w:eastAsia="Arial" w:hAnsi="Arial"/>
          <w:b/>
          <w:bCs/>
          <w:color w:val="2E6DA4"/>
          <w:sz w:val="20"/>
          <w:szCs w:val="20"/>
        </w:rPr>
        <w:t xml:space="preserve">[٦]  </w:t>
      </w:r>
      <w:r>
        <w:rPr>
          <w:rFonts w:ascii="Arial" w:cs="Arial" w:eastAsia="Arial" w:hAnsi="Arial"/>
          <w:color w:val="222222"/>
          <w:sz w:val="20"/>
          <w:szCs w:val="20"/>
        </w:rPr>
        <w:t xml:space="preserve">Carl Rogers — Le Développement de la personne. Traduit de l'anglais par Ellen Herbert. Dunod, Paris, 1998. (Chapitre 1 : « Ce que la thérapie est censée faire », pp. 1-40 ; sur l'écoute profonde, p. 7).</w:t>
      </w:r>
    </w:p>
    <w:p>
      <w:pPr>
        <w:spacing w:before="100" w:after="100"/>
        <w:jc w:val="left"/>
      </w:pPr>
      <w:r>
        <w:rPr>
          <w:rFonts w:ascii="Arial" w:cs="Arial" w:eastAsia="Arial" w:hAnsi="Arial"/>
          <w:b/>
          <w:bCs/>
          <w:color w:val="2E6DA4"/>
          <w:sz w:val="20"/>
          <w:szCs w:val="20"/>
        </w:rPr>
        <w:t xml:space="preserve">[٧]  </w:t>
      </w:r>
      <w:r>
        <w:rPr>
          <w:rFonts w:ascii="Arial" w:cs="Arial" w:eastAsia="Arial" w:hAnsi="Arial"/>
          <w:color w:val="222222"/>
          <w:sz w:val="20"/>
          <w:szCs w:val="20"/>
        </w:rPr>
        <w:t xml:space="preserve">Irvin Yalom — Psychothérapie existentielle. Traduit de l'anglais par Martine Lusardy. Calmann-Lévy, Paris, 2008. (Chapitre 4 : « La culpabilité existentielle », pp. 265-320 ; sur la dette morale et le pardon, p. 277).</w:t>
      </w:r>
    </w:p>
    <w:p>
      <w:pPr>
        <w:spacing w:before="100" w:after="100"/>
        <w:jc w:val="left"/>
      </w:pPr>
      <w:r>
        <w:rPr>
          <w:rFonts w:ascii="Arial" w:cs="Arial" w:eastAsia="Arial" w:hAnsi="Arial"/>
          <w:b/>
          <w:bCs/>
          <w:color w:val="2E6DA4"/>
          <w:sz w:val="20"/>
          <w:szCs w:val="20"/>
        </w:rPr>
        <w:t xml:space="preserve">[٨]  </w:t>
      </w:r>
      <w:r>
        <w:rPr>
          <w:rFonts w:ascii="Arial" w:cs="Arial" w:eastAsia="Arial" w:hAnsi="Arial"/>
          <w:color w:val="222222"/>
          <w:sz w:val="20"/>
          <w:szCs w:val="20"/>
        </w:rPr>
        <w:t xml:space="preserve">Irvin Yalom — Regarder le soleil en face : Surmonter la terreur de la mort. Traduit de l'anglais par Odile Demange. Galaade, Paris, 2008. (Chapitre 2 : « L'éveil », pp. 35-82 ; sur l'acceptation de la mort, p. 38).</w:t>
      </w:r>
    </w:p>
    <w:p>
      <w:pPr>
        <w:spacing w:before="100" w:after="100"/>
        <w:jc w:val="left"/>
      </w:pPr>
      <w:r>
        <w:rPr>
          <w:rFonts w:ascii="Arial" w:cs="Arial" w:eastAsia="Arial" w:hAnsi="Arial"/>
          <w:b/>
          <w:bCs/>
          <w:color w:val="2E6DA4"/>
          <w:sz w:val="20"/>
          <w:szCs w:val="20"/>
        </w:rPr>
        <w:t xml:space="preserve">[٩]  </w:t>
      </w:r>
      <w:r>
        <w:rPr>
          <w:rFonts w:ascii="Arial" w:cs="Arial" w:eastAsia="Arial" w:hAnsi="Arial"/>
          <w:color w:val="222222"/>
          <w:sz w:val="20"/>
          <w:szCs w:val="20"/>
        </w:rPr>
        <w:t xml:space="preserve">Viktor Frankl — Découvrir un sens à sa vie avec la logothérapie. Traduit par Claude Vigée. Éditions de l'Homme, Montréal, 2006. (Partie I : « L'expérience du camp de concentration », pp. 15-74 ; sur le sens comme antidote à l'anéantissement).</w:t>
      </w:r>
    </w:p>
    <w:p>
      <w:pPr>
        <w:spacing w:before="100" w:after="100"/>
        <w:jc w:val="left"/>
      </w:pPr>
      <w:r>
        <w:rPr>
          <w:rFonts w:ascii="Arial" w:cs="Arial" w:eastAsia="Arial" w:hAnsi="Arial"/>
          <w:b/>
          <w:bCs/>
          <w:color w:val="2E6DA4"/>
          <w:sz w:val="20"/>
          <w:szCs w:val="20"/>
        </w:rPr>
        <w:t xml:space="preserve">[١٠]  </w:t>
      </w:r>
      <w:r>
        <w:rPr>
          <w:rFonts w:ascii="Arial" w:cs="Arial" w:eastAsia="Arial" w:hAnsi="Arial"/>
          <w:color w:val="222222"/>
          <w:sz w:val="20"/>
          <w:szCs w:val="20"/>
        </w:rPr>
        <w:t xml:space="preserve">Martin Heidegger — Être et Temps. Traduit de l'allemand par François Vezin. Gallimard, Paris, 1986. (§ 49-53 : « L'être-vers-la-mort », pp. 299-330 ; la mort comme possibilité fondamentale).</w:t>
      </w:r>
    </w:p>
    <w:p>
      <w:pPr>
        <w:spacing w:before="120" w:after="120"/>
      </w:pPr>
    </w:p>
    <w:p>
      <w:pPr>
        <w:bidi/>
        <w:spacing w:before="320" w:after="160"/>
        <w:jc w:val="right"/>
      </w:pPr>
      <w:r>
        <w:rPr>
          <w:rFonts w:ascii="Arial" w:cs="Arial" w:eastAsia="Arial" w:hAnsi="Arial"/>
          <w:b/>
          <w:bCs/>
          <w:color w:val="2E6DA4"/>
          <w:sz w:val="30"/>
          <w:szCs w:val="30"/>
        </w:rPr>
        <w:t xml:space="preserve">ثالثاً — المراجع الفرنسية في علم النفس الديني</w:t>
      </w:r>
    </w:p>
    <w:p>
      <w:pPr>
        <w:spacing w:before="100" w:after="100"/>
        <w:jc w:val="left"/>
      </w:pPr>
      <w:r>
        <w:rPr>
          <w:rFonts w:ascii="Arial" w:cs="Arial" w:eastAsia="Arial" w:hAnsi="Arial"/>
          <w:b/>
          <w:bCs/>
          <w:color w:val="2E6DA4"/>
          <w:sz w:val="20"/>
          <w:szCs w:val="20"/>
        </w:rPr>
        <w:t xml:space="preserve">[١١]  </w:t>
      </w:r>
      <w:r>
        <w:rPr>
          <w:rFonts w:ascii="Arial" w:cs="Arial" w:eastAsia="Arial" w:hAnsi="Arial"/>
          <w:color w:val="222222"/>
          <w:sz w:val="20"/>
          <w:szCs w:val="20"/>
        </w:rPr>
        <w:t xml:space="preserve">Kenneth Pargament — The Psychology of Religion and Coping: Theory, Research, Practice. Guilford Press, New York, 1997. (Chapter 7 : « Religious Coping Methods », pp. 267-305 ; sur l'espérance transcendante, p. 287).</w:t>
      </w:r>
    </w:p>
    <w:p>
      <w:pPr>
        <w:spacing w:before="100" w:after="100"/>
        <w:jc w:val="left"/>
      </w:pPr>
      <w:r>
        <w:rPr>
          <w:rFonts w:ascii="Arial" w:cs="Arial" w:eastAsia="Arial" w:hAnsi="Arial"/>
          <w:b/>
          <w:bCs/>
          <w:color w:val="2E6DA4"/>
          <w:sz w:val="20"/>
          <w:szCs w:val="20"/>
        </w:rPr>
        <w:t xml:space="preserve">[١٢]  </w:t>
      </w:r>
      <w:r>
        <w:rPr>
          <w:rFonts w:ascii="Arial" w:cs="Arial" w:eastAsia="Arial" w:hAnsi="Arial"/>
          <w:color w:val="222222"/>
          <w:sz w:val="20"/>
          <w:szCs w:val="20"/>
        </w:rPr>
        <w:t xml:space="preserve">Kenneth Pargament — Spiritually Integrated Psychotherapy: Understanding and Addressing the Sacred. Guilford Press, New York, 2007. (Chapter 8 : « Spiritual Transformation », pp. 185-225 ; sur le pardon transcendant, p. 199).</w:t>
      </w:r>
    </w:p>
    <w:p>
      <w:pPr>
        <w:spacing w:before="100" w:after="100"/>
        <w:jc w:val="left"/>
      </w:pPr>
      <w:r>
        <w:rPr>
          <w:rFonts w:ascii="Arial" w:cs="Arial" w:eastAsia="Arial" w:hAnsi="Arial"/>
          <w:b/>
          <w:bCs/>
          <w:color w:val="2E6DA4"/>
          <w:sz w:val="20"/>
          <w:szCs w:val="20"/>
        </w:rPr>
        <w:t xml:space="preserve">[١٣]  </w:t>
      </w:r>
      <w:r>
        <w:rPr>
          <w:rFonts w:ascii="Arial" w:cs="Arial" w:eastAsia="Arial" w:hAnsi="Arial"/>
          <w:color w:val="222222"/>
          <w:sz w:val="20"/>
          <w:szCs w:val="20"/>
        </w:rPr>
        <w:t xml:space="preserve">William James — Les Formes multiples de l'expérience religieuse. Traduit de l'anglais par Frank Abauzit. Exergue, Paris, 2001. (Conférences 11-12 : « La conversion », pp. 230-290 ; sur la transformation psychologique par la foi).</w:t>
      </w:r>
    </w:p>
    <w:p>
      <w:pPr>
        <w:spacing w:before="100" w:after="100"/>
        <w:jc w:val="left"/>
      </w:pPr>
      <w:r>
        <w:rPr>
          <w:rFonts w:ascii="Arial" w:cs="Arial" w:eastAsia="Arial" w:hAnsi="Arial"/>
          <w:b/>
          <w:bCs/>
          <w:color w:val="2E6DA4"/>
          <w:sz w:val="20"/>
          <w:szCs w:val="20"/>
        </w:rPr>
        <w:t xml:space="preserve">[١٤]  </w:t>
      </w:r>
      <w:r>
        <w:rPr>
          <w:rFonts w:ascii="Arial" w:cs="Arial" w:eastAsia="Arial" w:hAnsi="Arial"/>
          <w:color w:val="222222"/>
          <w:sz w:val="20"/>
          <w:szCs w:val="20"/>
        </w:rPr>
        <w:t xml:space="preserve">Emile Durkheim — Les Formes élémentaires de la vie religieuse. PUF, Paris, 2013. (Livre III, Chapitre 4 : « Les croyances concernant l'âme », pp. 350-390 ; le rôle du sacré dans la cohésion de la personnalité).</w:t>
      </w:r>
    </w:p>
    <w:p>
      <w:pPr>
        <w:spacing w:before="120" w:after="120"/>
      </w:pPr>
    </w:p>
    <w:p>
      <w:pPr>
        <w:bidi/>
        <w:spacing w:before="320" w:after="160"/>
        <w:jc w:val="right"/>
      </w:pPr>
      <w:r>
        <w:rPr>
          <w:rFonts w:ascii="Arial" w:cs="Arial" w:eastAsia="Arial" w:hAnsi="Arial"/>
          <w:b/>
          <w:bCs/>
          <w:color w:val="2E6DA4"/>
          <w:sz w:val="30"/>
          <w:szCs w:val="30"/>
        </w:rPr>
        <w:t xml:space="preserve">رابعاً — المراجع الفرنسية في فلسفة الدين والحكمة الخالدة</w:t>
      </w:r>
    </w:p>
    <w:p>
      <w:pPr>
        <w:spacing w:before="100" w:after="100"/>
        <w:jc w:val="left"/>
      </w:pPr>
      <w:r>
        <w:rPr>
          <w:rFonts w:ascii="Arial" w:cs="Arial" w:eastAsia="Arial" w:hAnsi="Arial"/>
          <w:b/>
          <w:bCs/>
          <w:color w:val="2E6DA4"/>
          <w:sz w:val="20"/>
          <w:szCs w:val="20"/>
        </w:rPr>
        <w:t xml:space="preserve">[١٥]  </w:t>
      </w:r>
      <w:r>
        <w:rPr>
          <w:rFonts w:ascii="Arial" w:cs="Arial" w:eastAsia="Arial" w:hAnsi="Arial"/>
          <w:color w:val="222222"/>
          <w:sz w:val="20"/>
          <w:szCs w:val="20"/>
        </w:rPr>
        <w:t xml:space="preserve">Frithjof Schuon — De l'unité transcendante des religions. Nouvelle édition. Gallimard, coll. « Tradition », Paris, 1979. (Chapitre 3 : « Ésotérisme et cosmologie », pp. 45-80 ; sur la connaissance morale innée, p. 52).</w:t>
      </w:r>
    </w:p>
    <w:p>
      <w:pPr>
        <w:spacing w:before="100" w:after="100"/>
        <w:jc w:val="left"/>
      </w:pPr>
      <w:r>
        <w:rPr>
          <w:rFonts w:ascii="Arial" w:cs="Arial" w:eastAsia="Arial" w:hAnsi="Arial"/>
          <w:b/>
          <w:bCs/>
          <w:color w:val="2E6DA4"/>
          <w:sz w:val="20"/>
          <w:szCs w:val="20"/>
        </w:rPr>
        <w:t xml:space="preserve">[١٦]  </w:t>
      </w:r>
      <w:r>
        <w:rPr>
          <w:rFonts w:ascii="Arial" w:cs="Arial" w:eastAsia="Arial" w:hAnsi="Arial"/>
          <w:color w:val="222222"/>
          <w:sz w:val="20"/>
          <w:szCs w:val="20"/>
        </w:rPr>
        <w:t xml:space="preserve">Blaise Pascal — Pensées. Édition de Michel Le Guern. Gallimard, Folio Classique, Paris, 2004. (Fragment 148 : « Le roseau pensant » ; Fragment 425 : « Le pari », pp. 120-135 ; sur la misère et la grandeur de l'homme sans Dieu).</w:t>
      </w:r>
    </w:p>
    <w:p>
      <w:pPr>
        <w:spacing w:before="100" w:after="100"/>
        <w:jc w:val="left"/>
      </w:pPr>
      <w:r>
        <w:rPr>
          <w:rFonts w:ascii="Arial" w:cs="Arial" w:eastAsia="Arial" w:hAnsi="Arial"/>
          <w:b/>
          <w:bCs/>
          <w:color w:val="2E6DA4"/>
          <w:sz w:val="20"/>
          <w:szCs w:val="20"/>
        </w:rPr>
        <w:t xml:space="preserve">[١٧]  </w:t>
      </w:r>
      <w:r>
        <w:rPr>
          <w:rFonts w:ascii="Arial" w:cs="Arial" w:eastAsia="Arial" w:hAnsi="Arial"/>
          <w:color w:val="222222"/>
          <w:sz w:val="20"/>
          <w:szCs w:val="20"/>
        </w:rPr>
        <w:t xml:space="preserve">Paul Ricoeur — Soi-même comme un autre. Éditions du Seuil, Paris, 1990. (Étude 9 : « Le soi et la sagesse pratique : la conviction », pp. 287-346 ; sur l'identité narrative et la quête de sens).</w:t>
      </w:r>
    </w:p>
    <w:p>
      <w:pPr>
        <w:spacing w:before="120" w:after="120"/>
      </w:pPr>
    </w:p>
    <w:p>
      <w:pPr>
        <w:bidi/>
        <w:spacing w:before="320" w:after="160"/>
        <w:jc w:val="right"/>
      </w:pPr>
      <w:r>
        <w:rPr>
          <w:rFonts w:ascii="Arial" w:cs="Arial" w:eastAsia="Arial" w:hAnsi="Arial"/>
          <w:b/>
          <w:bCs/>
          <w:color w:val="2E6DA4"/>
          <w:sz w:val="30"/>
          <w:szCs w:val="30"/>
        </w:rPr>
        <w:t xml:space="preserve">خامساً — الدراسات العلمية المحكّمة في علم النفس الديني</w:t>
      </w:r>
    </w:p>
    <w:p>
      <w:pPr>
        <w:spacing w:before="100" w:after="100"/>
        <w:jc w:val="left"/>
      </w:pPr>
      <w:r>
        <w:rPr>
          <w:rFonts w:ascii="Arial" w:cs="Arial" w:eastAsia="Arial" w:hAnsi="Arial"/>
          <w:b/>
          <w:bCs/>
          <w:color w:val="2E6DA4"/>
          <w:sz w:val="20"/>
          <w:szCs w:val="20"/>
        </w:rPr>
        <w:t xml:space="preserve">[١٨]  </w:t>
      </w:r>
      <w:r>
        <w:rPr>
          <w:rFonts w:ascii="Arial" w:cs="Arial" w:eastAsia="Arial" w:hAnsi="Arial"/>
          <w:color w:val="222222"/>
          <w:sz w:val="20"/>
          <w:szCs w:val="20"/>
        </w:rPr>
        <w:t xml:space="preserve">Tyler VanderWeele et al. — « Association Between Religious Service Attendance and Lower Suicide Rates Among US Women ». JAMA Psychiatry, Vol. 73(8), 2016, pp. 845-851. (Étude longitudinale sur 89 708 femmes pendant 14 ans — la pratique religieuse réduit le risque de suicide de 84%).</w:t>
      </w:r>
    </w:p>
    <w:p>
      <w:pPr>
        <w:spacing w:before="100" w:after="100"/>
        <w:jc w:val="left"/>
      </w:pPr>
      <w:r>
        <w:rPr>
          <w:rFonts w:ascii="Arial" w:cs="Arial" w:eastAsia="Arial" w:hAnsi="Arial"/>
          <w:b/>
          <w:bCs/>
          <w:color w:val="2E6DA4"/>
          <w:sz w:val="20"/>
          <w:szCs w:val="20"/>
        </w:rPr>
        <w:t xml:space="preserve">[١٩]  </w:t>
      </w:r>
      <w:r>
        <w:rPr>
          <w:rFonts w:ascii="Arial" w:cs="Arial" w:eastAsia="Arial" w:hAnsi="Arial"/>
          <w:color w:val="222222"/>
          <w:sz w:val="20"/>
          <w:szCs w:val="20"/>
        </w:rPr>
        <w:t xml:space="preserve">Harold Koenig, Michael King &amp; Verna Carson — Handbook of Religion and Health, 2nd Edition. Oxford University Press, New York, 2012. (Chapitres 5-8 : synthèse de plus de 3 000 études sur la santé mentale et la pratique religieuse, pp. 139-280).</w:t>
      </w:r>
    </w:p>
    <w:p>
      <w:pPr>
        <w:spacing w:before="100" w:after="100"/>
        <w:jc w:val="left"/>
      </w:pPr>
      <w:r>
        <w:rPr>
          <w:rFonts w:ascii="Arial" w:cs="Arial" w:eastAsia="Arial" w:hAnsi="Arial"/>
          <w:b/>
          <w:bCs/>
          <w:color w:val="2E6DA4"/>
          <w:sz w:val="20"/>
          <w:szCs w:val="20"/>
        </w:rPr>
        <w:t xml:space="preserve">[٢٠]  </w:t>
      </w:r>
      <w:r>
        <w:rPr>
          <w:rFonts w:ascii="Arial" w:cs="Arial" w:eastAsia="Arial" w:hAnsi="Arial"/>
          <w:color w:val="222222"/>
          <w:sz w:val="20"/>
          <w:szCs w:val="20"/>
        </w:rPr>
        <w:t xml:space="preserve">Pew Research Center — « Religion and Well-Being Around the World ». Rapport, janvier 2019. (Section 3 : les pratiquants actifs affichent des niveaux de bonheur et d'engagement communautaire significativement plus élevés).</w:t>
      </w:r>
    </w:p>
    <w:p>
      <w:pPr>
        <w:pBdr>
          <w:bottom w:val="single" w:color="1A3C5E" w:sz="6" w:space="1"/>
        </w:pBdr>
        <w:spacing w:before="240" w:after="240"/>
      </w:pPr>
    </w:p>
    <w:p>
      <w:pPr>
        <w:spacing w:before="100" w:after="100"/>
      </w:pPr>
    </w:p>
    <w:p>
      <w:pPr>
        <w:bidi/>
        <w:spacing w:before="150" w:after="170" w:line="400"/>
        <w:jc w:val="center"/>
      </w:pPr>
      <w:r>
        <w:rPr>
          <w:rFonts w:ascii="Arial" w:cs="Arial" w:eastAsia="Arial" w:hAnsi="Arial"/>
          <w:b w:val="false"/>
          <w:bCs w:val="false"/>
          <w:color w:val="666666"/>
          <w:sz w:val="22"/>
          <w:szCs w:val="22"/>
        </w:rPr>
        <w:t xml:space="preserve">أثبت هذا الفصل ما يُقدّمه القرآن — والفصل الخامس سيُترجم ذلك إلى مسار عملي: الاستخلاف الرقمي الواعي.</w:t>
      </w:r>
    </w:p>
    <w:sectPr>
      <w:pgSz w:w="11906" w:h="16838" w:orient="portrait"/>
      <w:pgMar w:top="1600" w:right="1800" w:bottom="18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2026-02-22T19:38:33.455Z</dcterms:created>
  <dcterms:modified xsi:type="dcterms:W3CDTF">2026-02-22T19:38:33.456Z</dcterms:modified>
</cp:coreProperties>
</file>

<file path=docProps/custom.xml><?xml version="1.0" encoding="utf-8"?>
<Properties xmlns="http://schemas.openxmlformats.org/officeDocument/2006/custom-properties" xmlns:vt="http://schemas.openxmlformats.org/officeDocument/2006/docPropsVTypes"/>
</file>