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7A780" w14:textId="77777777" w:rsidR="00B91932" w:rsidRDefault="00000000">
      <w:pPr>
        <w:shd w:val="clear" w:color="auto" w:fill="0D1B33"/>
        <w:spacing w:before="800" w:after="200"/>
        <w:jc w:val="center"/>
      </w:pPr>
      <w:r>
        <w:rPr>
          <w:rFonts w:hint="cs"/>
          <w:color w:val="9A7B1A"/>
          <w:lang w:bidi="ar-EG"/>
        </w:rPr>
        <w:t>س</w:t>
      </w:r>
      <w:r>
        <w:rPr>
          <w:color w:val="9A7B1A"/>
        </w:rPr>
        <w:t>لسلة الدراسات الاستخلافية</w:t>
      </w:r>
    </w:p>
    <w:p w14:paraId="6D31894D" w14:textId="77777777" w:rsidR="00B91932" w:rsidRDefault="00000000">
      <w:pPr>
        <w:spacing w:before="200" w:after="120"/>
        <w:jc w:val="center"/>
      </w:pPr>
      <w:r>
        <w:rPr>
          <w:b/>
          <w:bCs/>
          <w:color w:val="0D1B33"/>
          <w:sz w:val="52"/>
          <w:szCs w:val="52"/>
        </w:rPr>
        <w:t>الاستخلاف الرقمي والذكاء الاصطناعي</w:t>
      </w:r>
    </w:p>
    <w:p w14:paraId="206D4AD5" w14:textId="77777777" w:rsidR="00B91932" w:rsidRDefault="00000000">
      <w:pPr>
        <w:spacing w:before="80" w:after="120"/>
        <w:jc w:val="center"/>
      </w:pPr>
      <w:r>
        <w:rPr>
          <w:b/>
          <w:bCs/>
          <w:color w:val="0A5E5E"/>
          <w:sz w:val="42"/>
          <w:szCs w:val="42"/>
        </w:rPr>
        <w:t>في مواجهة رأسمالية المراقبة</w:t>
      </w:r>
    </w:p>
    <w:p w14:paraId="1BDC8A99" w14:textId="77777777" w:rsidR="00B91932" w:rsidRDefault="00000000">
      <w:pPr>
        <w:spacing w:before="80" w:after="320"/>
        <w:jc w:val="center"/>
      </w:pPr>
      <w:r>
        <w:rPr>
          <w:color w:val="1A3A6B"/>
          <w:sz w:val="30"/>
          <w:szCs w:val="30"/>
        </w:rPr>
        <w:t>دراسة أكاديمية موسَّعة في الصراع على النفس البشرية</w:t>
      </w:r>
    </w:p>
    <w:p w14:paraId="76BDD26A" w14:textId="77777777" w:rsidR="00B91932" w:rsidRDefault="00000000">
      <w:pPr>
        <w:spacing w:before="100" w:after="100"/>
        <w:jc w:val="center"/>
      </w:pPr>
      <w:r>
        <w:rPr>
          <w:color w:val="9A7B1A"/>
        </w:rPr>
        <w:t>─────────────────────────────</w:t>
      </w:r>
    </w:p>
    <w:p w14:paraId="6B3E2D9B" w14:textId="77777777" w:rsidR="00B91932" w:rsidRDefault="00000000">
      <w:pPr>
        <w:spacing w:before="120" w:after="80"/>
        <w:jc w:val="center"/>
      </w:pPr>
      <w:r>
        <w:rPr>
          <w:b/>
          <w:bCs/>
          <w:color w:val="0D1B33"/>
        </w:rPr>
        <w:t>إعداد: الباحث عبد السلام الزراع</w:t>
      </w:r>
    </w:p>
    <w:p w14:paraId="4B689250" w14:textId="77777777" w:rsidR="00B91932" w:rsidRDefault="00000000">
      <w:pPr>
        <w:spacing w:before="60" w:after="60"/>
        <w:jc w:val="center"/>
      </w:pPr>
      <w:r>
        <w:rPr>
          <w:color w:val="0A5E5E"/>
          <w:sz w:val="24"/>
          <w:szCs w:val="24"/>
        </w:rPr>
        <w:t>ضمن منظومة علم النفس الاستخلافي</w:t>
      </w:r>
    </w:p>
    <w:p w14:paraId="05C1DC69" w14:textId="77777777" w:rsidR="00B91932" w:rsidRDefault="00000000">
      <w:pPr>
        <w:spacing w:before="60" w:after="60"/>
        <w:jc w:val="center"/>
      </w:pPr>
      <w:r>
        <w:rPr>
          <w:color w:val="9A7B1A"/>
          <w:sz w:val="24"/>
          <w:szCs w:val="24"/>
        </w:rPr>
        <w:t>2025 – 1446هـ</w:t>
      </w:r>
    </w:p>
    <w:p w14:paraId="79315759" w14:textId="77777777" w:rsidR="00B91932" w:rsidRDefault="00B91932">
      <w:pPr>
        <w:spacing w:before="200" w:after="200"/>
      </w:pPr>
    </w:p>
    <w:p w14:paraId="74F0DBCD" w14:textId="77777777" w:rsidR="00B91932" w:rsidRDefault="00B91932">
      <w:pPr>
        <w:pageBreakBefore/>
      </w:pPr>
    </w:p>
    <w:p w14:paraId="572D4C05" w14:textId="77777777" w:rsidR="00B91932" w:rsidRDefault="00000000">
      <w:pPr>
        <w:pStyle w:val="1"/>
        <w:pBdr>
          <w:bottom w:val="single" w:sz="8" w:space="4" w:color="9A7B1A"/>
        </w:pBdr>
        <w:bidi/>
        <w:jc w:val="right"/>
      </w:pPr>
      <w:r>
        <w:t>ملخص تنفيذي</w:t>
      </w:r>
    </w:p>
    <w:p w14:paraId="7FCA4217" w14:textId="77777777" w:rsidR="00B91932" w:rsidRDefault="00000000">
      <w:pPr>
        <w:spacing w:before="100" w:after="100" w:line="360" w:lineRule="auto"/>
        <w:ind w:firstLine="360"/>
        <w:jc w:val="right"/>
      </w:pPr>
      <w:r>
        <w:rPr>
          <w:color w:val="000000"/>
        </w:rPr>
        <w:t>يُقدِّم هذا البحث تحليلاً أكاديمياً موسَّعاً لموقع الذكاء الاصطناعي ضمن المنظور الاستخلافي، متجاوزاً النظرة التقنية المحضة إلى أفق فلسفي وحضاري يرى في التكنولوجيا إما أداةً لتمكين "الخليفة" من أداء وظيفته الوجودية، وإما وسيلةً لاختزاله وتجريده من كرامته. ينطلق البحث من فرضية أن العصر الرقمي، وخاصة مع صعود الذكاء الاصطناعي التوليدي، يشهد صراعاً غير مسبوق على "النفس البشرية": صراع بين "برنامج تخليق الذات" الذي تسعى له الأطروحة الاستخلافية، وبين آليات "الاستعمار الخوارزمي" و"رأسمالية المراقبة" التي تستهدف النفس الأمارة وتعمل على تفتيت الانتباه واستلاب الإرادة.</w:t>
      </w:r>
    </w:p>
    <w:p w14:paraId="0D566A3D" w14:textId="77777777" w:rsidR="00B91932" w:rsidRDefault="00000000">
      <w:pPr>
        <w:spacing w:before="100" w:after="100" w:line="360" w:lineRule="auto"/>
        <w:ind w:firstLine="360"/>
        <w:jc w:val="right"/>
      </w:pPr>
      <w:r>
        <w:rPr>
          <w:color w:val="000000"/>
        </w:rPr>
        <w:t>يتناول البحث هذه الإشكالية عبر سبعة محاور مترابطة تغطي: تشريح آليات "الاستعمار الرقمي"، ومفهوم الصراع على النفس البشرية من منظور قرآني-نفسي، واقتصاد الانتباه كساحة المعركة الكبرى، وفقه الآلة الإسلامي كأطروحة أخلاقية، وتطبيقات الذكاء الاصطناعي في العدالة التصالحية، وآليات بناء السيادة الرقمية الاستخلافية، وأخيراً رؤية تركيبية للاستخلاف الرقمي كمشروع حضاري متكامل. ويُجري البحث طوال هذه المحاور حواراً نقدياً مع كبار المفكرين الغربيين – شوشانا زوبوف، هيربرت سايمون، مارتن هايدغر، شيري تيركل، ميشيل فوكو، ووائل حلاق – مدمجاً مرجعياتهم ضمن الإطار الاستخلافي لا نقيضاً له.</w:t>
      </w:r>
    </w:p>
    <w:p w14:paraId="47365FA1" w14:textId="77777777" w:rsidR="00B91932" w:rsidRDefault="00B91932">
      <w:pPr>
        <w:spacing w:before="80" w:after="80"/>
      </w:pPr>
    </w:p>
    <w:p w14:paraId="0BFF898B" w14:textId="77777777" w:rsidR="00B91932" w:rsidRDefault="00000000">
      <w:pPr>
        <w:pStyle w:val="2"/>
        <w:bidi/>
        <w:jc w:val="right"/>
      </w:pPr>
      <w:r>
        <w:t>المحاور الكبرى للبحث الموسَّع</w:t>
      </w:r>
    </w:p>
    <w:p w14:paraId="654C5C1B" w14:textId="77777777" w:rsidR="00B91932" w:rsidRDefault="00000000">
      <w:pPr>
        <w:pStyle w:val="a4"/>
        <w:numPr>
          <w:ilvl w:val="0"/>
          <w:numId w:val="2"/>
        </w:numPr>
        <w:spacing w:before="80" w:after="80" w:line="340" w:lineRule="auto"/>
        <w:jc w:val="right"/>
      </w:pPr>
      <w:r>
        <w:rPr>
          <w:color w:val="000000"/>
        </w:rPr>
        <w:t>أولاً: الاستعمار الرقمي ورأسمالية المراقبة: تشريح آليات الهيمنة الجديدة</w:t>
      </w:r>
    </w:p>
    <w:p w14:paraId="3D766401" w14:textId="77777777" w:rsidR="00B91932" w:rsidRDefault="00000000">
      <w:pPr>
        <w:pStyle w:val="a4"/>
        <w:numPr>
          <w:ilvl w:val="0"/>
          <w:numId w:val="2"/>
        </w:numPr>
        <w:spacing w:before="80" w:after="80" w:line="340" w:lineRule="auto"/>
        <w:jc w:val="right"/>
      </w:pPr>
      <w:r>
        <w:rPr>
          <w:color w:val="000000"/>
        </w:rPr>
        <w:t>ثانياً: الصراع على النفس البشرية: من "النفس الأمارة" إلى "الاستلاب الرقمي"</w:t>
      </w:r>
    </w:p>
    <w:p w14:paraId="01E75F4C" w14:textId="77777777" w:rsidR="00B91932" w:rsidRDefault="00000000">
      <w:pPr>
        <w:pStyle w:val="a4"/>
        <w:numPr>
          <w:ilvl w:val="0"/>
          <w:numId w:val="2"/>
        </w:numPr>
        <w:spacing w:before="80" w:after="80" w:line="340" w:lineRule="auto"/>
        <w:jc w:val="right"/>
      </w:pPr>
      <w:r>
        <w:rPr>
          <w:color w:val="000000"/>
        </w:rPr>
        <w:t>ثالثاً: اقتصاد الانتباه: السلعة الأغلى في عصر الوفرة الرقمية</w:t>
      </w:r>
    </w:p>
    <w:p w14:paraId="243F8D6D" w14:textId="77777777" w:rsidR="00B91932" w:rsidRDefault="00000000">
      <w:pPr>
        <w:pStyle w:val="a4"/>
        <w:numPr>
          <w:ilvl w:val="0"/>
          <w:numId w:val="2"/>
        </w:numPr>
        <w:spacing w:before="80" w:after="80" w:line="340" w:lineRule="auto"/>
        <w:jc w:val="right"/>
      </w:pPr>
      <w:r>
        <w:rPr>
          <w:color w:val="000000"/>
        </w:rPr>
        <w:t>رابعاً: فقه الآلة: الذكاء الاصطناعي بين "خادم العدل" و"سيد الإنسان"</w:t>
      </w:r>
    </w:p>
    <w:p w14:paraId="35214586" w14:textId="77777777" w:rsidR="00B91932" w:rsidRDefault="00000000">
      <w:pPr>
        <w:pStyle w:val="a4"/>
        <w:numPr>
          <w:ilvl w:val="0"/>
          <w:numId w:val="2"/>
        </w:numPr>
        <w:spacing w:before="80" w:after="80" w:line="340" w:lineRule="auto"/>
        <w:jc w:val="right"/>
      </w:pPr>
      <w:r>
        <w:rPr>
          <w:color w:val="000000"/>
        </w:rPr>
        <w:t>خامساً: تطبيقات في العدالة التصالحية: الذكاء الاصطناعي في خدمة "الإحسان"</w:t>
      </w:r>
    </w:p>
    <w:p w14:paraId="5874F5A1" w14:textId="77777777" w:rsidR="00B91932" w:rsidRDefault="00000000">
      <w:pPr>
        <w:pStyle w:val="a4"/>
        <w:numPr>
          <w:ilvl w:val="0"/>
          <w:numId w:val="2"/>
        </w:numPr>
        <w:spacing w:before="80" w:after="80" w:line="340" w:lineRule="auto"/>
        <w:jc w:val="right"/>
      </w:pPr>
      <w:r>
        <w:rPr>
          <w:color w:val="000000"/>
        </w:rPr>
        <w:t>سادساً: نحو سيادة رقمية استخلافية: آليات المقاومة والبدائل الأخلاقية</w:t>
      </w:r>
    </w:p>
    <w:p w14:paraId="19FFF410" w14:textId="77777777" w:rsidR="00B91932" w:rsidRDefault="00000000">
      <w:pPr>
        <w:pStyle w:val="a4"/>
        <w:numPr>
          <w:ilvl w:val="0"/>
          <w:numId w:val="2"/>
        </w:numPr>
        <w:spacing w:before="80" w:after="80" w:line="340" w:lineRule="auto"/>
        <w:jc w:val="right"/>
      </w:pPr>
      <w:r>
        <w:rPr>
          <w:color w:val="000000"/>
        </w:rPr>
        <w:t>سابعاً: تركيب نهائي: الاستخلاف الرقمي كإطار متكامل لحماية الكرامة الإنسانية</w:t>
      </w:r>
    </w:p>
    <w:p w14:paraId="0B42C3BC" w14:textId="77777777" w:rsidR="00B91932" w:rsidRDefault="00B91932">
      <w:pPr>
        <w:spacing w:before="100" w:after="100"/>
      </w:pPr>
    </w:p>
    <w:p w14:paraId="1B5BC66F" w14:textId="77777777" w:rsidR="00B91932" w:rsidRDefault="00B91932">
      <w:pPr>
        <w:pageBreakBefore/>
      </w:pPr>
    </w:p>
    <w:p w14:paraId="2AD86093" w14:textId="77777777" w:rsidR="00B91932" w:rsidRDefault="00000000">
      <w:pPr>
        <w:pStyle w:val="1"/>
        <w:pBdr>
          <w:bottom w:val="single" w:sz="8" w:space="4" w:color="9A7B1A"/>
        </w:pBdr>
        <w:bidi/>
        <w:jc w:val="right"/>
      </w:pPr>
      <w:r>
        <w:t>أولاً: الاستعمار الرقمي ورأسمالية المراقبة تشريح آليات الهيمنة الجديدة</w:t>
      </w:r>
    </w:p>
    <w:p w14:paraId="49FDAF7C" w14:textId="77777777" w:rsidR="00B91932" w:rsidRDefault="00000000">
      <w:pPr>
        <w:pStyle w:val="2"/>
        <w:bidi/>
        <w:jc w:val="right"/>
      </w:pPr>
      <w:r>
        <w:t>١.١ الاستعمار الرقمي: هيمنة بلا جيوش</w:t>
      </w:r>
    </w:p>
    <w:p w14:paraId="2441F7D9" w14:textId="77777777" w:rsidR="00B91932" w:rsidRDefault="00000000">
      <w:pPr>
        <w:spacing w:before="100" w:after="100" w:line="360" w:lineRule="auto"/>
        <w:ind w:firstLine="360"/>
        <w:jc w:val="right"/>
      </w:pPr>
      <w:r>
        <w:rPr>
          <w:color w:val="000000"/>
        </w:rPr>
        <w:t xml:space="preserve">شهد العالم خلال العقود الأخيرة تحولات هائلة بفعل الثورة الرقمية، التي أعادت تشكيل العلاقات الدولية وأنماط الإنتاج والبنية المجتمعية وأساليب الهيمنة. يصف جايك إيفودو (Jake O. Effoduh) هذا التحول بوصفه "استعماراً رقمياً يعتمد على السيطرة غير المرئية عبر الخوارزميات ومراكز البيانات وحقوق الملكية الفكرية"، مُشيراً إلى أن الموارد المستخرَجة لم تعد مادية بل هي البيانات التي تُجمع من مليارات المستخدمين وتُعالَج لمصلحة قلة من الشركات التقنية الكبرى </w:t>
      </w:r>
      <w:r>
        <w:rPr>
          <w:color w:val="0A5E5E"/>
          <w:sz w:val="22"/>
          <w:szCs w:val="22"/>
        </w:rPr>
        <w:t>(Effoduh, Digital Colonialism and the Role of Local Intermediaries, Cambridge University Press, 2025, pp. 12–18)</w:t>
      </w:r>
      <w:r>
        <w:rPr>
          <w:color w:val="000000"/>
        </w:rPr>
        <w:t>.</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0" w:type="dxa"/>
          <w:left w:w="10" w:type="dxa"/>
          <w:bottom w:w="100" w:type="dxa"/>
          <w:right w:w="10" w:type="dxa"/>
        </w:tblCellMar>
        <w:tblLook w:val="0000" w:firstRow="0" w:lastRow="0" w:firstColumn="0" w:lastColumn="0" w:noHBand="0" w:noVBand="0"/>
      </w:tblPr>
      <w:tblGrid>
        <w:gridCol w:w="9200"/>
      </w:tblGrid>
      <w:tr w:rsidR="00B91932" w14:paraId="1517A1DE" w14:textId="77777777">
        <w:tc>
          <w:tcPr>
            <w:tcW w:w="9200" w:type="dxa"/>
            <w:tcBorders>
              <w:top w:val="single" w:sz="8" w:space="0" w:color="0A5E5E"/>
              <w:left w:val="single" w:sz="4" w:space="0" w:color="0A5E5E"/>
              <w:bottom w:val="single" w:sz="4" w:space="0" w:color="0A5E5E"/>
              <w:right w:val="single" w:sz="4" w:space="0" w:color="0A5E5E"/>
            </w:tcBorders>
            <w:shd w:val="clear" w:color="auto" w:fill="D0ECEC"/>
            <w:tcMar>
              <w:top w:w="140" w:type="dxa"/>
              <w:left w:w="240" w:type="dxa"/>
              <w:bottom w:w="140" w:type="dxa"/>
              <w:right w:w="240" w:type="dxa"/>
            </w:tcMar>
          </w:tcPr>
          <w:p w14:paraId="11CE0478" w14:textId="77777777" w:rsidR="00B91932" w:rsidRDefault="00000000">
            <w:pPr>
              <w:jc w:val="center"/>
            </w:pPr>
            <w:r>
              <w:rPr>
                <w:b/>
                <w:bCs/>
                <w:color w:val="0A5E5E"/>
                <w:sz w:val="27"/>
                <w:szCs w:val="27"/>
              </w:rPr>
              <w:t>◆ الاستعمار الرقمي: تعريف مفاهيمي ◆</w:t>
            </w:r>
          </w:p>
          <w:p w14:paraId="278E31C2" w14:textId="77777777" w:rsidR="00B91932" w:rsidRDefault="00000000">
            <w:pPr>
              <w:spacing w:before="80"/>
              <w:ind w:left="200" w:right="200"/>
              <w:jc w:val="right"/>
            </w:pPr>
            <w:r>
              <w:rPr>
                <w:color w:val="0D1B33"/>
                <w:sz w:val="24"/>
                <w:szCs w:val="24"/>
              </w:rPr>
              <w:t>نظام هيمنة لا يعتمد على الاحتلال العسكري واحتلال الأراضي، بل على التحكم في البنية التحتية الرقمية وتدفق البيانات واحتكار المعرفة التكنولوجية. وكما كانت السكك الحديدية في الحقبة الاستعمارية تُبنى لخدمة مصالح القوى المهيمنة، تُصمَّم البنية الرقمية اليوم لتخدم مصالح الشركات التقنية العملاقة.</w:t>
            </w:r>
          </w:p>
        </w:tc>
      </w:tr>
    </w:tbl>
    <w:p w14:paraId="46A97294" w14:textId="77777777" w:rsidR="00B91932" w:rsidRDefault="00B91932">
      <w:pPr>
        <w:spacing w:before="100" w:after="100"/>
      </w:pPr>
    </w:p>
    <w:p w14:paraId="6D9D62B1" w14:textId="77777777" w:rsidR="00B91932" w:rsidRDefault="00000000">
      <w:pPr>
        <w:spacing w:before="100" w:after="100" w:line="360" w:lineRule="auto"/>
        <w:ind w:firstLine="360"/>
        <w:jc w:val="right"/>
      </w:pPr>
      <w:r>
        <w:rPr>
          <w:color w:val="000000"/>
        </w:rPr>
        <w:t>تتجلى هذه السيطرة في ثلاثة أبعاد مترابطة يُفصّلها إيفودو في تحليله:</w:t>
      </w:r>
    </w:p>
    <w:p w14:paraId="49E012B7" w14:textId="77777777" w:rsidR="00B91932" w:rsidRDefault="00000000">
      <w:pPr>
        <w:pStyle w:val="3"/>
        <w:bidi/>
        <w:jc w:val="right"/>
      </w:pPr>
      <w:r>
        <w:t>البُعد الأول: هيمنة البيانات وانحياز الخوارزميات</w:t>
      </w:r>
    </w:p>
    <w:p w14:paraId="343ADE68" w14:textId="77777777" w:rsidR="00B91932" w:rsidRDefault="00000000">
      <w:pPr>
        <w:spacing w:before="100" w:after="100" w:line="360" w:lineRule="auto"/>
        <w:ind w:firstLine="360"/>
        <w:jc w:val="right"/>
      </w:pPr>
      <w:r>
        <w:rPr>
          <w:color w:val="000000"/>
        </w:rPr>
        <w:t xml:space="preserve">تعتمد نماذج الذكاء الاصطناعي الكبرى على بيانات غالباً ما تأتي من بيئات غربية، مما يُدمج تحيزاً ثقافياً بنيوياً في معالجتها للمعرفة. يُسمي إيفودو هذه الظاهرة "الاستعمار المعرفي الخوارزمي"، مؤكداً أنها تؤدي إلى إعادة إنتاج الصور النمطية عن ثقافات الجنوب أو تهميشها </w:t>
      </w:r>
      <w:r>
        <w:rPr>
          <w:color w:val="0A5E5E"/>
          <w:sz w:val="22"/>
          <w:szCs w:val="22"/>
        </w:rPr>
        <w:t>(Effoduh، المرجع السابق، ص. 34–41)</w:t>
      </w:r>
      <w:r>
        <w:rPr>
          <w:color w:val="000000"/>
        </w:rPr>
        <w:t>. ومن المنظور الاستخلافي، يُعدّ هذا التحيز البنيوي شكلاً من "الاستيلاء على الذاكرة الجمعية" (Memory Colonization) التي تُعيد صياغة الهوية الثقافية لشعوب الجنوب وفق مقتضيات السوق الرقمية لا وفق قيمها الوجودية.</w:t>
      </w:r>
    </w:p>
    <w:p w14:paraId="51731326" w14:textId="77777777" w:rsidR="00B91932" w:rsidRDefault="00000000">
      <w:pPr>
        <w:spacing w:before="100" w:after="100" w:line="360" w:lineRule="auto"/>
        <w:ind w:firstLine="360"/>
        <w:jc w:val="right"/>
      </w:pPr>
      <w:r>
        <w:rPr>
          <w:color w:val="000000"/>
        </w:rPr>
        <w:t>وتُفيد الدراسات المتاحة بأن نسبة المحتوى الرقمي العربي لا تتجاوز 3% من إجمالي المحتوى العالمي، وأن نحو 80% من هذا المحتوى هو تكرار ونسخ، مما يعكس ضعفاً فادحاً في إنتاج محتوى عربي أصيل. يُشكل هذا الواقع ما يمكن تسميته في الأطروحة الاستخلافية بـ"الفراغ الاستخلافي الرقمي": غياب صوت الأمة عن الفضاء الذي باتت تُصاغ فيه القيم والمعاني.</w:t>
      </w:r>
    </w:p>
    <w:p w14:paraId="46B26AB4" w14:textId="77777777" w:rsidR="00B91932" w:rsidRDefault="00000000">
      <w:pPr>
        <w:pStyle w:val="3"/>
        <w:bidi/>
        <w:jc w:val="right"/>
      </w:pPr>
      <w:r>
        <w:t>البُعد الثاني: الاستغلال الاقتصادي وتكريس التبعية</w:t>
      </w:r>
    </w:p>
    <w:p w14:paraId="45B44352" w14:textId="77777777" w:rsidR="00B91932" w:rsidRDefault="00000000">
      <w:pPr>
        <w:spacing w:before="100" w:after="100" w:line="360" w:lineRule="auto"/>
        <w:ind w:firstLine="360"/>
        <w:jc w:val="right"/>
      </w:pPr>
      <w:r>
        <w:rPr>
          <w:color w:val="000000"/>
        </w:rPr>
        <w:t xml:space="preserve">البنية التحتية للحوسبة السحابية – اللازمة لتشغيل النماذج الضخمة – تتركز في أيدي عدد محدود من الشركات العملاقة (أمازون AWS، مايكروسوفت Azure، غوغل Cloud)، مما يخلق علاقة تبعية تقنية واقتصادية عميقة. وتعتمد هذه الشركات على بيانات المستخدمين كمادة خام مجانية، تستثمرها لتحقيق أرباح طائلة دون تعويض عادل للمستخدمين أو لمجتمعاتهم. يصف بولي وتيل (Pohle &amp; Thiel) هذه البنية الاقتصادية بأنها "إقطاعية رقمية" (Digital Feudalism) تُحكم فيها الشركات التقنية الكبرى قبضتها على مفاتيح الفضاء الرقمي العالمي </w:t>
      </w:r>
      <w:r>
        <w:rPr>
          <w:color w:val="0A5E5E"/>
          <w:sz w:val="22"/>
          <w:szCs w:val="22"/>
        </w:rPr>
        <w:t>(Pohle &amp; Thiel, Digital Sovereignty, Internet Policy Review, vol. 9, no. 4, 2020, pp. 3–7)</w:t>
      </w:r>
      <w:r>
        <w:rPr>
          <w:color w:val="000000"/>
        </w:rPr>
        <w:t>.</w:t>
      </w:r>
    </w:p>
    <w:p w14:paraId="2F878904" w14:textId="77777777" w:rsidR="00B91932" w:rsidRDefault="00000000">
      <w:pPr>
        <w:pStyle w:val="3"/>
        <w:bidi/>
        <w:jc w:val="right"/>
      </w:pPr>
      <w:r>
        <w:t>البُعد الثالث: السيطرة على البنية التحتية والمعايير</w:t>
      </w:r>
    </w:p>
    <w:p w14:paraId="7DA02B53" w14:textId="77777777" w:rsidR="00B91932" w:rsidRDefault="00000000">
      <w:pPr>
        <w:spacing w:before="100" w:after="100" w:line="360" w:lineRule="auto"/>
        <w:ind w:firstLine="360"/>
        <w:jc w:val="right"/>
      </w:pPr>
      <w:r>
        <w:rPr>
          <w:color w:val="000000"/>
        </w:rPr>
        <w:t>يخضع الفضاء الرقمي العالمي لمعايير وبروتوكولات تحددها القوى التقنية الكبرى، مما يجعل الدول النامية "مستهلِكة" للتقنية لا "منتِجة" لها. ومن أشد تجليات هذه التبعية وطأةً قانون "كلاود آكت" (CLOUD Act) الأمريكي الصادر عام 2018 (18 U.S.C. § 2523)، الذي يمنح السلطات الأمريكية حق الوصول إلى البيانات المخزنة لدى شركاتها حتى لو كانت خوادمها خارج الولايات المتحدة، محوِّلاً السيادة الرقمية الوطنية إلى وهمٍ قانوني.</w:t>
      </w:r>
    </w:p>
    <w:p w14:paraId="04AB1D4C" w14:textId="77777777" w:rsidR="00B91932" w:rsidRDefault="00B91932">
      <w:pPr>
        <w:spacing w:before="80" w:after="80"/>
      </w:pPr>
    </w:p>
    <w:p w14:paraId="338F8FC0" w14:textId="77777777" w:rsidR="00B91932" w:rsidRDefault="00000000">
      <w:pPr>
        <w:pStyle w:val="2"/>
        <w:bidi/>
        <w:jc w:val="right"/>
      </w:pPr>
      <w:r>
        <w:t>١.٢ رأسمالية المراقبة: الاقتصاد الجديد القائم على استلاب الخبرة البشرية</w:t>
      </w:r>
    </w:p>
    <w:p w14:paraId="258A99DC" w14:textId="77777777" w:rsidR="00B91932" w:rsidRDefault="00000000">
      <w:pPr>
        <w:spacing w:before="100" w:after="100" w:line="360" w:lineRule="auto"/>
        <w:ind w:firstLine="360"/>
        <w:jc w:val="right"/>
      </w:pPr>
      <w:r>
        <w:rPr>
          <w:color w:val="000000"/>
        </w:rPr>
        <w:t xml:space="preserve">صاغت الباحثة شوشانا زوبوف (Shoshana Zuboff) مصطلح "رأسمالية المراقبة" (Surveillance Capitalism) في عملها الموسوعي الصادر عام 2019 لوصف نظام اقتصادي جديد يتجاوز النماذج الرأسمالية التقليدية. في هذا النظام، لا تكتفي الشركات التقنية الكبرى بجمع البيانات لتقديم خدمات أفضل، بل تسعى إلى استملاك الخبرة البشرية كمادة خام مجانية وتحويلها إلى بيانات سلوكية تُستخدم للتنبؤ بسلوك المستخدمين والتأثير فيه وتعديله </w:t>
      </w:r>
      <w:r>
        <w:rPr>
          <w:color w:val="0A5E5E"/>
          <w:sz w:val="22"/>
          <w:szCs w:val="22"/>
        </w:rPr>
        <w:t>(Zuboff, The Age of Surveillance Capitalism, PublicAffairs, New York, 2019, pp. 8–11)</w:t>
      </w:r>
      <w:r>
        <w:rPr>
          <w:color w:val="000000"/>
        </w:rPr>
        <w:t>.</w:t>
      </w:r>
    </w:p>
    <w:p w14:paraId="513D4FFB" w14:textId="77777777" w:rsidR="00B91932" w:rsidRDefault="00000000">
      <w:pPr>
        <w:spacing w:before="100" w:after="100" w:line="360" w:lineRule="auto"/>
        <w:ind w:firstLine="360"/>
        <w:jc w:val="right"/>
      </w:pPr>
      <w:r>
        <w:rPr>
          <w:color w:val="000000"/>
        </w:rPr>
        <w:t xml:space="preserve">تُعرِّف زوبوف رأسمالية المراقبة بأنها "نظام اقتصادي ناشئ يدَّعي التجربة الإنسانية مادةً خاماً مجانية تُترجَم في مسارات بيانات سرية، ثم تُستنتج منها منتجات تنبؤية وتُتداول في سوق مستحدثة أسميتها سوق السلوكيات المستقبلية" </w:t>
      </w:r>
      <w:r>
        <w:rPr>
          <w:color w:val="0A5E5E"/>
          <w:sz w:val="22"/>
          <w:szCs w:val="22"/>
        </w:rPr>
        <w:t>(Zuboff, المرجع ذاته، ص. 8)</w:t>
      </w:r>
      <w:r>
        <w:rPr>
          <w:color w:val="000000"/>
        </w:rPr>
        <w:t xml:space="preserve">. وترى فيه "انقلاباً من الأعلى" و"اعتداءً على الاستقلالية البشرية" و"تهديداً للديمقراطية والحرية". تحذر زوبوف من أن هذا النظام لا يكتفي بالتنبؤ بسلوكنا، بل يسعى إلى التأثير فيه وتعديله من خلال ما أسمته "نظاماً عالمياً لتعديل السلوك" (global system of behavioral modification) </w:t>
      </w:r>
      <w:r>
        <w:rPr>
          <w:color w:val="0A5E5E"/>
          <w:sz w:val="22"/>
          <w:szCs w:val="22"/>
        </w:rPr>
        <w:t>(Zuboff, "You Are the Object of a Global System of Behavioral Modification", The Guardian, January 20, 2019)</w:t>
      </w:r>
      <w:r>
        <w:rPr>
          <w:color w:val="000000"/>
        </w:rPr>
        <w:t>.</w:t>
      </w:r>
    </w:p>
    <w:tbl>
      <w:tblPr>
        <w:tblW w:w="920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0" w:type="dxa"/>
          <w:bottom w:w="120" w:type="dxa"/>
          <w:right w:w="10" w:type="dxa"/>
        </w:tblCellMar>
        <w:tblLook w:val="0000" w:firstRow="0" w:lastRow="0" w:firstColumn="0" w:lastColumn="0" w:noHBand="0" w:noVBand="0"/>
      </w:tblPr>
      <w:tblGrid>
        <w:gridCol w:w="9200"/>
      </w:tblGrid>
      <w:tr w:rsidR="00B91932" w14:paraId="50C257C4" w14:textId="77777777">
        <w:tc>
          <w:tcPr>
            <w:tcW w:w="9200" w:type="dxa"/>
            <w:tcBorders>
              <w:top w:val="single" w:sz="6" w:space="0" w:color="9A7B1A"/>
              <w:left w:val="single" w:sz="6" w:space="0" w:color="9A7B1A"/>
              <w:bottom w:val="single" w:sz="6" w:space="0" w:color="9A7B1A"/>
              <w:right w:val="single" w:sz="6" w:space="0" w:color="9A7B1A"/>
            </w:tcBorders>
            <w:shd w:val="clear" w:color="auto" w:fill="F5EDD5"/>
            <w:tcMar>
              <w:top w:w="160" w:type="dxa"/>
              <w:left w:w="280" w:type="dxa"/>
              <w:bottom w:w="160" w:type="dxa"/>
              <w:right w:w="280" w:type="dxa"/>
            </w:tcMar>
          </w:tcPr>
          <w:p w14:paraId="38323FD4" w14:textId="77777777" w:rsidR="00B91932" w:rsidRDefault="00000000">
            <w:pPr>
              <w:jc w:val="center"/>
            </w:pPr>
            <w:r>
              <w:rPr>
                <w:b/>
                <w:bCs/>
                <w:color w:val="7A1A1A"/>
                <w:sz w:val="28"/>
                <w:szCs w:val="28"/>
              </w:rPr>
              <w:t>﴿وَلَا تَتَّبِعُوا۟ خُطُوَٰتِ ٱلشَّيۡطَٰنِۖ إِنَّهُۥ لَكُمۡ عَدُوٌّ مُّبِينٌ﴾</w:t>
            </w:r>
          </w:p>
          <w:p w14:paraId="7AC77437" w14:textId="77777777" w:rsidR="00B91932" w:rsidRDefault="00000000">
            <w:pPr>
              <w:spacing w:before="60"/>
              <w:jc w:val="center"/>
            </w:pPr>
            <w:r>
              <w:rPr>
                <w:color w:val="9A7B1A"/>
                <w:sz w:val="22"/>
                <w:szCs w:val="22"/>
              </w:rPr>
              <w:t>سورة البقرة: 168</w:t>
            </w:r>
          </w:p>
        </w:tc>
      </w:tr>
    </w:tbl>
    <w:p w14:paraId="4AADE8B9" w14:textId="77777777" w:rsidR="00B91932" w:rsidRDefault="00B91932">
      <w:pPr>
        <w:spacing w:before="80" w:after="80"/>
      </w:pPr>
    </w:p>
    <w:p w14:paraId="0CC5D7FA" w14:textId="77777777" w:rsidR="00B91932" w:rsidRDefault="00000000">
      <w:pPr>
        <w:spacing w:before="100" w:after="100" w:line="360" w:lineRule="auto"/>
        <w:ind w:firstLine="360"/>
        <w:jc w:val="right"/>
      </w:pPr>
      <w:r>
        <w:rPr>
          <w:color w:val="000000"/>
        </w:rPr>
        <w:t xml:space="preserve">وهذا يتعارض جوهرياً مع مفهوم الإنسان في الأطروحة الاستخلافية بوصفه "خليفة" حراً مسؤولاً يمتلك إرادة أخلاقية ذاتية. فإذا كانت رأسمالية المراقبة تُقيّد الإرادة البشرية عبر الإشراط الخوارزمي الخفي، فإن الاستخلاف يتطلب حريةً أصيلة في اتخاذ القرار الأخلاقي، تلك الحرية التي هي شرط الأمانة وشرط المساءلة </w:t>
      </w:r>
      <w:r>
        <w:rPr>
          <w:color w:val="0A5E5E"/>
          <w:sz w:val="22"/>
          <w:szCs w:val="22"/>
        </w:rPr>
        <w:t>(الزراع، النفس الاستخلافية والأضلاع الثمانية، ص. 47–52)</w:t>
      </w:r>
      <w:r>
        <w:rPr>
          <w:color w:val="000000"/>
        </w:rPr>
        <w:t>.</w:t>
      </w:r>
    </w:p>
    <w:p w14:paraId="1CFB5256" w14:textId="77777777" w:rsidR="00B91932" w:rsidRDefault="00B91932">
      <w:pPr>
        <w:spacing w:before="100" w:after="100"/>
      </w:pPr>
    </w:p>
    <w:p w14:paraId="70926FC7" w14:textId="77777777" w:rsidR="00B91932" w:rsidRDefault="00000000">
      <w:pPr>
        <w:pStyle w:val="3"/>
        <w:bidi/>
        <w:jc w:val="right"/>
      </w:pPr>
      <w:r>
        <w:t>جدول مقارنة: الاستعمار التقليدي والاستعمار الرقمي</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66"/>
        <w:gridCol w:w="3067"/>
        <w:gridCol w:w="3067"/>
      </w:tblGrid>
      <w:tr w:rsidR="00B91932" w14:paraId="424ECFFA" w14:textId="77777777">
        <w:tblPrEx>
          <w:tblCellMar>
            <w:top w:w="0" w:type="dxa"/>
            <w:bottom w:w="0" w:type="dxa"/>
          </w:tblCellMar>
        </w:tblPrEx>
        <w:trPr>
          <w:tblHeader/>
        </w:trPr>
        <w:tc>
          <w:tcPr>
            <w:tcW w:w="3066" w:type="dxa"/>
            <w:tcBorders>
              <w:top w:val="single" w:sz="4" w:space="0" w:color="CCCCCC"/>
              <w:left w:val="single" w:sz="4" w:space="0" w:color="CCCCCC"/>
              <w:bottom w:val="single" w:sz="4" w:space="0" w:color="CCCCCC"/>
              <w:right w:val="single" w:sz="4" w:space="0" w:color="CCCCCC"/>
            </w:tcBorders>
            <w:shd w:val="clear" w:color="auto" w:fill="0D1B33"/>
            <w:tcMar>
              <w:top w:w="100" w:type="dxa"/>
              <w:left w:w="140" w:type="dxa"/>
              <w:bottom w:w="100" w:type="dxa"/>
              <w:right w:w="140" w:type="dxa"/>
            </w:tcMar>
          </w:tcPr>
          <w:p w14:paraId="3CD70A86" w14:textId="77777777" w:rsidR="00B91932" w:rsidRDefault="00000000">
            <w:pPr>
              <w:jc w:val="center"/>
            </w:pPr>
            <w:r>
              <w:rPr>
                <w:b/>
                <w:bCs/>
                <w:color w:val="FFFFFF"/>
                <w:sz w:val="24"/>
                <w:szCs w:val="24"/>
              </w:rPr>
              <w:t>المعيار</w:t>
            </w:r>
          </w:p>
        </w:tc>
        <w:tc>
          <w:tcPr>
            <w:tcW w:w="3066" w:type="dxa"/>
            <w:tcBorders>
              <w:top w:val="single" w:sz="4" w:space="0" w:color="CCCCCC"/>
              <w:left w:val="single" w:sz="4" w:space="0" w:color="CCCCCC"/>
              <w:bottom w:val="single" w:sz="4" w:space="0" w:color="CCCCCC"/>
              <w:right w:val="single" w:sz="4" w:space="0" w:color="CCCCCC"/>
            </w:tcBorders>
            <w:shd w:val="clear" w:color="auto" w:fill="0D1B33"/>
            <w:tcMar>
              <w:top w:w="100" w:type="dxa"/>
              <w:left w:w="140" w:type="dxa"/>
              <w:bottom w:w="100" w:type="dxa"/>
              <w:right w:w="140" w:type="dxa"/>
            </w:tcMar>
          </w:tcPr>
          <w:p w14:paraId="20BB7971" w14:textId="77777777" w:rsidR="00B91932" w:rsidRDefault="00000000">
            <w:pPr>
              <w:jc w:val="center"/>
            </w:pPr>
            <w:r>
              <w:rPr>
                <w:b/>
                <w:bCs/>
                <w:color w:val="FFFFFF"/>
                <w:sz w:val="24"/>
                <w:szCs w:val="24"/>
              </w:rPr>
              <w:t>الاستعمار التقليدي</w:t>
            </w:r>
          </w:p>
        </w:tc>
        <w:tc>
          <w:tcPr>
            <w:tcW w:w="3066" w:type="dxa"/>
            <w:tcBorders>
              <w:top w:val="single" w:sz="4" w:space="0" w:color="CCCCCC"/>
              <w:left w:val="single" w:sz="4" w:space="0" w:color="CCCCCC"/>
              <w:bottom w:val="single" w:sz="4" w:space="0" w:color="CCCCCC"/>
              <w:right w:val="single" w:sz="4" w:space="0" w:color="CCCCCC"/>
            </w:tcBorders>
            <w:shd w:val="clear" w:color="auto" w:fill="0D1B33"/>
            <w:tcMar>
              <w:top w:w="100" w:type="dxa"/>
              <w:left w:w="140" w:type="dxa"/>
              <w:bottom w:w="100" w:type="dxa"/>
              <w:right w:w="140" w:type="dxa"/>
            </w:tcMar>
          </w:tcPr>
          <w:p w14:paraId="532EB7D2" w14:textId="77777777" w:rsidR="00B91932" w:rsidRDefault="00000000">
            <w:pPr>
              <w:jc w:val="center"/>
            </w:pPr>
            <w:r>
              <w:rPr>
                <w:b/>
                <w:bCs/>
                <w:color w:val="FFFFFF"/>
                <w:sz w:val="24"/>
                <w:szCs w:val="24"/>
              </w:rPr>
              <w:t>الاستعمار الرقمي</w:t>
            </w:r>
          </w:p>
        </w:tc>
      </w:tr>
      <w:tr w:rsidR="00B91932" w14:paraId="3FB205A9" w14:textId="77777777">
        <w:tblPrEx>
          <w:tblCellMar>
            <w:top w:w="0" w:type="dxa"/>
            <w:bottom w:w="0" w:type="dxa"/>
          </w:tblCellMar>
        </w:tblPrEx>
        <w:tc>
          <w:tcPr>
            <w:tcW w:w="3066" w:type="dxa"/>
            <w:tcBorders>
              <w:top w:val="single" w:sz="4" w:space="0" w:color="CCCCCC"/>
              <w:left w:val="single" w:sz="4" w:space="0" w:color="CCCCCC"/>
              <w:bottom w:val="single" w:sz="4" w:space="0" w:color="CCCCCC"/>
              <w:right w:val="single" w:sz="4" w:space="0" w:color="CCCCCC"/>
            </w:tcBorders>
            <w:shd w:val="clear" w:color="auto" w:fill="F7F9FB"/>
            <w:tcMar>
              <w:top w:w="90" w:type="dxa"/>
              <w:left w:w="120" w:type="dxa"/>
              <w:bottom w:w="90" w:type="dxa"/>
              <w:right w:w="120" w:type="dxa"/>
            </w:tcMar>
          </w:tcPr>
          <w:p w14:paraId="648D77BE" w14:textId="77777777" w:rsidR="00B91932" w:rsidRDefault="00000000">
            <w:pPr>
              <w:jc w:val="right"/>
            </w:pPr>
            <w:r>
              <w:rPr>
                <w:color w:val="0D1B33"/>
                <w:sz w:val="23"/>
                <w:szCs w:val="23"/>
              </w:rPr>
              <w:t>أدوات الهيمنة</w:t>
            </w:r>
          </w:p>
        </w:tc>
        <w:tc>
          <w:tcPr>
            <w:tcW w:w="3066" w:type="dxa"/>
            <w:tcBorders>
              <w:top w:val="single" w:sz="4" w:space="0" w:color="CCCCCC"/>
              <w:left w:val="single" w:sz="4" w:space="0" w:color="CCCCCC"/>
              <w:bottom w:val="single" w:sz="4" w:space="0" w:color="CCCCCC"/>
              <w:right w:val="single" w:sz="4" w:space="0" w:color="CCCCCC"/>
            </w:tcBorders>
            <w:shd w:val="clear" w:color="auto" w:fill="F7F9FB"/>
            <w:tcMar>
              <w:top w:w="90" w:type="dxa"/>
              <w:left w:w="120" w:type="dxa"/>
              <w:bottom w:w="90" w:type="dxa"/>
              <w:right w:w="120" w:type="dxa"/>
            </w:tcMar>
          </w:tcPr>
          <w:p w14:paraId="2237B0A2" w14:textId="77777777" w:rsidR="00B91932" w:rsidRDefault="00000000">
            <w:pPr>
              <w:jc w:val="right"/>
            </w:pPr>
            <w:r>
              <w:rPr>
                <w:color w:val="0D1B33"/>
                <w:sz w:val="23"/>
                <w:szCs w:val="23"/>
              </w:rPr>
              <w:t>الجيوش، الأساطيل، الاحتلال العسكري</w:t>
            </w:r>
          </w:p>
        </w:tc>
        <w:tc>
          <w:tcPr>
            <w:tcW w:w="3066" w:type="dxa"/>
            <w:tcBorders>
              <w:top w:val="single" w:sz="4" w:space="0" w:color="CCCCCC"/>
              <w:left w:val="single" w:sz="4" w:space="0" w:color="CCCCCC"/>
              <w:bottom w:val="single" w:sz="4" w:space="0" w:color="CCCCCC"/>
              <w:right w:val="single" w:sz="4" w:space="0" w:color="CCCCCC"/>
            </w:tcBorders>
            <w:shd w:val="clear" w:color="auto" w:fill="F7F9FB"/>
            <w:tcMar>
              <w:top w:w="90" w:type="dxa"/>
              <w:left w:w="120" w:type="dxa"/>
              <w:bottom w:w="90" w:type="dxa"/>
              <w:right w:w="120" w:type="dxa"/>
            </w:tcMar>
          </w:tcPr>
          <w:p w14:paraId="4D7FECF3" w14:textId="77777777" w:rsidR="00B91932" w:rsidRDefault="00000000">
            <w:pPr>
              <w:jc w:val="right"/>
            </w:pPr>
            <w:r>
              <w:rPr>
                <w:color w:val="0D1B33"/>
                <w:sz w:val="23"/>
                <w:szCs w:val="23"/>
              </w:rPr>
              <w:t>الخوارزميات، مراكز البيانات، حقوق الملكية الفكرية</w:t>
            </w:r>
          </w:p>
        </w:tc>
      </w:tr>
      <w:tr w:rsidR="00B91932" w14:paraId="0BF0BA80" w14:textId="77777777">
        <w:tblPrEx>
          <w:tblCellMar>
            <w:top w:w="0" w:type="dxa"/>
            <w:bottom w:w="0" w:type="dxa"/>
          </w:tblCellMar>
        </w:tblPrEx>
        <w:tc>
          <w:tcPr>
            <w:tcW w:w="3066" w:type="dxa"/>
            <w:tcBorders>
              <w:top w:val="single" w:sz="4" w:space="0" w:color="CCCCCC"/>
              <w:left w:val="single" w:sz="4" w:space="0" w:color="CCCCCC"/>
              <w:bottom w:val="single" w:sz="4" w:space="0" w:color="CCCCCC"/>
              <w:right w:val="single" w:sz="4" w:space="0" w:color="CCCCCC"/>
            </w:tcBorders>
            <w:shd w:val="clear" w:color="auto" w:fill="FFFFFF"/>
            <w:tcMar>
              <w:top w:w="90" w:type="dxa"/>
              <w:left w:w="120" w:type="dxa"/>
              <w:bottom w:w="90" w:type="dxa"/>
              <w:right w:w="120" w:type="dxa"/>
            </w:tcMar>
          </w:tcPr>
          <w:p w14:paraId="2B900700" w14:textId="77777777" w:rsidR="00B91932" w:rsidRDefault="00000000">
            <w:pPr>
              <w:jc w:val="right"/>
            </w:pPr>
            <w:r>
              <w:rPr>
                <w:color w:val="0D1B33"/>
                <w:sz w:val="23"/>
                <w:szCs w:val="23"/>
              </w:rPr>
              <w:t>الموارد المستخرَجة</w:t>
            </w:r>
          </w:p>
        </w:tc>
        <w:tc>
          <w:tcPr>
            <w:tcW w:w="3066" w:type="dxa"/>
            <w:tcBorders>
              <w:top w:val="single" w:sz="4" w:space="0" w:color="CCCCCC"/>
              <w:left w:val="single" w:sz="4" w:space="0" w:color="CCCCCC"/>
              <w:bottom w:val="single" w:sz="4" w:space="0" w:color="CCCCCC"/>
              <w:right w:val="single" w:sz="4" w:space="0" w:color="CCCCCC"/>
            </w:tcBorders>
            <w:shd w:val="clear" w:color="auto" w:fill="FFFFFF"/>
            <w:tcMar>
              <w:top w:w="90" w:type="dxa"/>
              <w:left w:w="120" w:type="dxa"/>
              <w:bottom w:w="90" w:type="dxa"/>
              <w:right w:w="120" w:type="dxa"/>
            </w:tcMar>
          </w:tcPr>
          <w:p w14:paraId="4F696656" w14:textId="77777777" w:rsidR="00B91932" w:rsidRDefault="00000000">
            <w:pPr>
              <w:jc w:val="right"/>
            </w:pPr>
            <w:r>
              <w:rPr>
                <w:color w:val="0D1B33"/>
                <w:sz w:val="23"/>
                <w:szCs w:val="23"/>
              </w:rPr>
              <w:t>المواد الخام: قمح، نفط، معادن</w:t>
            </w:r>
          </w:p>
        </w:tc>
        <w:tc>
          <w:tcPr>
            <w:tcW w:w="3066" w:type="dxa"/>
            <w:tcBorders>
              <w:top w:val="single" w:sz="4" w:space="0" w:color="CCCCCC"/>
              <w:left w:val="single" w:sz="4" w:space="0" w:color="CCCCCC"/>
              <w:bottom w:val="single" w:sz="4" w:space="0" w:color="CCCCCC"/>
              <w:right w:val="single" w:sz="4" w:space="0" w:color="CCCCCC"/>
            </w:tcBorders>
            <w:shd w:val="clear" w:color="auto" w:fill="FFFFFF"/>
            <w:tcMar>
              <w:top w:w="90" w:type="dxa"/>
              <w:left w:w="120" w:type="dxa"/>
              <w:bottom w:w="90" w:type="dxa"/>
              <w:right w:w="120" w:type="dxa"/>
            </w:tcMar>
          </w:tcPr>
          <w:p w14:paraId="1987DB32" w14:textId="77777777" w:rsidR="00B91932" w:rsidRDefault="00000000">
            <w:pPr>
              <w:jc w:val="right"/>
            </w:pPr>
            <w:r>
              <w:rPr>
                <w:color w:val="0D1B33"/>
                <w:sz w:val="23"/>
                <w:szCs w:val="23"/>
              </w:rPr>
              <w:t>البيانات السلوكية: الانتباه، التفاعلات، الخبرة الذاتية</w:t>
            </w:r>
          </w:p>
        </w:tc>
      </w:tr>
      <w:tr w:rsidR="00B91932" w14:paraId="645E9454" w14:textId="77777777">
        <w:tblPrEx>
          <w:tblCellMar>
            <w:top w:w="0" w:type="dxa"/>
            <w:bottom w:w="0" w:type="dxa"/>
          </w:tblCellMar>
        </w:tblPrEx>
        <w:tc>
          <w:tcPr>
            <w:tcW w:w="3066" w:type="dxa"/>
            <w:tcBorders>
              <w:top w:val="single" w:sz="4" w:space="0" w:color="CCCCCC"/>
              <w:left w:val="single" w:sz="4" w:space="0" w:color="CCCCCC"/>
              <w:bottom w:val="single" w:sz="4" w:space="0" w:color="CCCCCC"/>
              <w:right w:val="single" w:sz="4" w:space="0" w:color="CCCCCC"/>
            </w:tcBorders>
            <w:shd w:val="clear" w:color="auto" w:fill="F7F9FB"/>
            <w:tcMar>
              <w:top w:w="90" w:type="dxa"/>
              <w:left w:w="120" w:type="dxa"/>
              <w:bottom w:w="90" w:type="dxa"/>
              <w:right w:w="120" w:type="dxa"/>
            </w:tcMar>
          </w:tcPr>
          <w:p w14:paraId="2D2F6FDB" w14:textId="77777777" w:rsidR="00B91932" w:rsidRDefault="00000000">
            <w:pPr>
              <w:jc w:val="right"/>
            </w:pPr>
            <w:r>
              <w:rPr>
                <w:color w:val="0D1B33"/>
                <w:sz w:val="23"/>
                <w:szCs w:val="23"/>
              </w:rPr>
              <w:t>آلية الهيمنة</w:t>
            </w:r>
          </w:p>
        </w:tc>
        <w:tc>
          <w:tcPr>
            <w:tcW w:w="3066" w:type="dxa"/>
            <w:tcBorders>
              <w:top w:val="single" w:sz="4" w:space="0" w:color="CCCCCC"/>
              <w:left w:val="single" w:sz="4" w:space="0" w:color="CCCCCC"/>
              <w:bottom w:val="single" w:sz="4" w:space="0" w:color="CCCCCC"/>
              <w:right w:val="single" w:sz="4" w:space="0" w:color="CCCCCC"/>
            </w:tcBorders>
            <w:shd w:val="clear" w:color="auto" w:fill="F7F9FB"/>
            <w:tcMar>
              <w:top w:w="90" w:type="dxa"/>
              <w:left w:w="120" w:type="dxa"/>
              <w:bottom w:w="90" w:type="dxa"/>
              <w:right w:w="120" w:type="dxa"/>
            </w:tcMar>
          </w:tcPr>
          <w:p w14:paraId="0FE2F69C" w14:textId="77777777" w:rsidR="00B91932" w:rsidRDefault="00000000">
            <w:pPr>
              <w:jc w:val="right"/>
            </w:pPr>
            <w:r>
              <w:rPr>
                <w:color w:val="0D1B33"/>
                <w:sz w:val="23"/>
                <w:szCs w:val="23"/>
              </w:rPr>
              <w:t>سيطرة مباشرة، أراضٍ محتلة</w:t>
            </w:r>
          </w:p>
        </w:tc>
        <w:tc>
          <w:tcPr>
            <w:tcW w:w="3066" w:type="dxa"/>
            <w:tcBorders>
              <w:top w:val="single" w:sz="4" w:space="0" w:color="CCCCCC"/>
              <w:left w:val="single" w:sz="4" w:space="0" w:color="CCCCCC"/>
              <w:bottom w:val="single" w:sz="4" w:space="0" w:color="CCCCCC"/>
              <w:right w:val="single" w:sz="4" w:space="0" w:color="CCCCCC"/>
            </w:tcBorders>
            <w:shd w:val="clear" w:color="auto" w:fill="F7F9FB"/>
            <w:tcMar>
              <w:top w:w="90" w:type="dxa"/>
              <w:left w:w="120" w:type="dxa"/>
              <w:bottom w:w="90" w:type="dxa"/>
              <w:right w:w="120" w:type="dxa"/>
            </w:tcMar>
          </w:tcPr>
          <w:p w14:paraId="111B6E2E" w14:textId="77777777" w:rsidR="00B91932" w:rsidRDefault="00000000">
            <w:pPr>
              <w:jc w:val="right"/>
            </w:pPr>
            <w:r>
              <w:rPr>
                <w:color w:val="0D1B33"/>
                <w:sz w:val="23"/>
                <w:szCs w:val="23"/>
              </w:rPr>
              <w:t>سيطرة غير مرئية، تحكم في الوعي والسلوك</w:t>
            </w:r>
          </w:p>
        </w:tc>
      </w:tr>
      <w:tr w:rsidR="00B91932" w14:paraId="1A40B025" w14:textId="77777777">
        <w:tblPrEx>
          <w:tblCellMar>
            <w:top w:w="0" w:type="dxa"/>
            <w:bottom w:w="0" w:type="dxa"/>
          </w:tblCellMar>
        </w:tblPrEx>
        <w:tc>
          <w:tcPr>
            <w:tcW w:w="3066" w:type="dxa"/>
            <w:tcBorders>
              <w:top w:val="single" w:sz="4" w:space="0" w:color="CCCCCC"/>
              <w:left w:val="single" w:sz="4" w:space="0" w:color="CCCCCC"/>
              <w:bottom w:val="single" w:sz="4" w:space="0" w:color="CCCCCC"/>
              <w:right w:val="single" w:sz="4" w:space="0" w:color="CCCCCC"/>
            </w:tcBorders>
            <w:shd w:val="clear" w:color="auto" w:fill="FFFFFF"/>
            <w:tcMar>
              <w:top w:w="90" w:type="dxa"/>
              <w:left w:w="120" w:type="dxa"/>
              <w:bottom w:w="90" w:type="dxa"/>
              <w:right w:w="120" w:type="dxa"/>
            </w:tcMar>
          </w:tcPr>
          <w:p w14:paraId="1B6D4E82" w14:textId="77777777" w:rsidR="00B91932" w:rsidRDefault="00000000">
            <w:pPr>
              <w:jc w:val="right"/>
            </w:pPr>
            <w:r>
              <w:rPr>
                <w:color w:val="0D1B33"/>
                <w:sz w:val="23"/>
                <w:szCs w:val="23"/>
              </w:rPr>
              <w:t>الشركاء المحليون</w:t>
            </w:r>
          </w:p>
        </w:tc>
        <w:tc>
          <w:tcPr>
            <w:tcW w:w="3066" w:type="dxa"/>
            <w:tcBorders>
              <w:top w:val="single" w:sz="4" w:space="0" w:color="CCCCCC"/>
              <w:left w:val="single" w:sz="4" w:space="0" w:color="CCCCCC"/>
              <w:bottom w:val="single" w:sz="4" w:space="0" w:color="CCCCCC"/>
              <w:right w:val="single" w:sz="4" w:space="0" w:color="CCCCCC"/>
            </w:tcBorders>
            <w:shd w:val="clear" w:color="auto" w:fill="FFFFFF"/>
            <w:tcMar>
              <w:top w:w="90" w:type="dxa"/>
              <w:left w:w="120" w:type="dxa"/>
              <w:bottom w:w="90" w:type="dxa"/>
              <w:right w:w="120" w:type="dxa"/>
            </w:tcMar>
          </w:tcPr>
          <w:p w14:paraId="4B698B98" w14:textId="77777777" w:rsidR="00B91932" w:rsidRDefault="00000000">
            <w:pPr>
              <w:jc w:val="right"/>
            </w:pPr>
            <w:r>
              <w:rPr>
                <w:color w:val="0D1B33"/>
                <w:sz w:val="23"/>
                <w:szCs w:val="23"/>
              </w:rPr>
              <w:t>الإدارة الاستعمارية، الوسطاء التقليديون</w:t>
            </w:r>
          </w:p>
        </w:tc>
        <w:tc>
          <w:tcPr>
            <w:tcW w:w="3066" w:type="dxa"/>
            <w:tcBorders>
              <w:top w:val="single" w:sz="4" w:space="0" w:color="CCCCCC"/>
              <w:left w:val="single" w:sz="4" w:space="0" w:color="CCCCCC"/>
              <w:bottom w:val="single" w:sz="4" w:space="0" w:color="CCCCCC"/>
              <w:right w:val="single" w:sz="4" w:space="0" w:color="CCCCCC"/>
            </w:tcBorders>
            <w:shd w:val="clear" w:color="auto" w:fill="FFFFFF"/>
            <w:tcMar>
              <w:top w:w="90" w:type="dxa"/>
              <w:left w:w="120" w:type="dxa"/>
              <w:bottom w:w="90" w:type="dxa"/>
              <w:right w:w="120" w:type="dxa"/>
            </w:tcMar>
          </w:tcPr>
          <w:p w14:paraId="2B1D332B" w14:textId="77777777" w:rsidR="00B91932" w:rsidRDefault="00000000">
            <w:pPr>
              <w:jc w:val="right"/>
            </w:pPr>
            <w:r>
              <w:rPr>
                <w:color w:val="0D1B33"/>
                <w:sz w:val="23"/>
                <w:szCs w:val="23"/>
              </w:rPr>
              <w:t>شركات التقنية، مزودو الخدمات الرقمية المحليون</w:t>
            </w:r>
          </w:p>
        </w:tc>
      </w:tr>
      <w:tr w:rsidR="00B91932" w14:paraId="61EC4C08" w14:textId="77777777">
        <w:tblPrEx>
          <w:tblCellMar>
            <w:top w:w="0" w:type="dxa"/>
            <w:bottom w:w="0" w:type="dxa"/>
          </w:tblCellMar>
        </w:tblPrEx>
        <w:tc>
          <w:tcPr>
            <w:tcW w:w="3066" w:type="dxa"/>
            <w:tcBorders>
              <w:top w:val="single" w:sz="4" w:space="0" w:color="CCCCCC"/>
              <w:left w:val="single" w:sz="4" w:space="0" w:color="CCCCCC"/>
              <w:bottom w:val="single" w:sz="4" w:space="0" w:color="CCCCCC"/>
              <w:right w:val="single" w:sz="4" w:space="0" w:color="CCCCCC"/>
            </w:tcBorders>
            <w:shd w:val="clear" w:color="auto" w:fill="F7F9FB"/>
            <w:tcMar>
              <w:top w:w="90" w:type="dxa"/>
              <w:left w:w="120" w:type="dxa"/>
              <w:bottom w:w="90" w:type="dxa"/>
              <w:right w:w="120" w:type="dxa"/>
            </w:tcMar>
          </w:tcPr>
          <w:p w14:paraId="3EB245C5" w14:textId="77777777" w:rsidR="00B91932" w:rsidRDefault="00000000">
            <w:pPr>
              <w:jc w:val="right"/>
            </w:pPr>
            <w:r>
              <w:rPr>
                <w:color w:val="0D1B33"/>
                <w:sz w:val="23"/>
                <w:szCs w:val="23"/>
              </w:rPr>
              <w:t>المقاومة الممكنة</w:t>
            </w:r>
          </w:p>
        </w:tc>
        <w:tc>
          <w:tcPr>
            <w:tcW w:w="3066" w:type="dxa"/>
            <w:tcBorders>
              <w:top w:val="single" w:sz="4" w:space="0" w:color="CCCCCC"/>
              <w:left w:val="single" w:sz="4" w:space="0" w:color="CCCCCC"/>
              <w:bottom w:val="single" w:sz="4" w:space="0" w:color="CCCCCC"/>
              <w:right w:val="single" w:sz="4" w:space="0" w:color="CCCCCC"/>
            </w:tcBorders>
            <w:shd w:val="clear" w:color="auto" w:fill="F7F9FB"/>
            <w:tcMar>
              <w:top w:w="90" w:type="dxa"/>
              <w:left w:w="120" w:type="dxa"/>
              <w:bottom w:w="90" w:type="dxa"/>
              <w:right w:w="120" w:type="dxa"/>
            </w:tcMar>
          </w:tcPr>
          <w:p w14:paraId="582B7799" w14:textId="77777777" w:rsidR="00B91932" w:rsidRDefault="00000000">
            <w:pPr>
              <w:jc w:val="right"/>
            </w:pPr>
            <w:r>
              <w:rPr>
                <w:color w:val="0D1B33"/>
                <w:sz w:val="23"/>
                <w:szCs w:val="23"/>
              </w:rPr>
              <w:t>مسلحة، سياسية، ثقافية</w:t>
            </w:r>
          </w:p>
        </w:tc>
        <w:tc>
          <w:tcPr>
            <w:tcW w:w="3066" w:type="dxa"/>
            <w:tcBorders>
              <w:top w:val="single" w:sz="4" w:space="0" w:color="CCCCCC"/>
              <w:left w:val="single" w:sz="4" w:space="0" w:color="CCCCCC"/>
              <w:bottom w:val="single" w:sz="4" w:space="0" w:color="CCCCCC"/>
              <w:right w:val="single" w:sz="4" w:space="0" w:color="CCCCCC"/>
            </w:tcBorders>
            <w:shd w:val="clear" w:color="auto" w:fill="F7F9FB"/>
            <w:tcMar>
              <w:top w:w="90" w:type="dxa"/>
              <w:left w:w="120" w:type="dxa"/>
              <w:bottom w:w="90" w:type="dxa"/>
              <w:right w:w="120" w:type="dxa"/>
            </w:tcMar>
          </w:tcPr>
          <w:p w14:paraId="16980B0A" w14:textId="77777777" w:rsidR="00B91932" w:rsidRDefault="00000000">
            <w:pPr>
              <w:jc w:val="right"/>
            </w:pPr>
            <w:r>
              <w:rPr>
                <w:color w:val="0D1B33"/>
                <w:sz w:val="23"/>
                <w:szCs w:val="23"/>
              </w:rPr>
              <w:t>تشريعية، تقنية، تربوية، بناء بدائل أخلاقية</w:t>
            </w:r>
          </w:p>
        </w:tc>
      </w:tr>
    </w:tbl>
    <w:p w14:paraId="412DC119" w14:textId="77777777" w:rsidR="00B91932" w:rsidRDefault="00B91932">
      <w:pPr>
        <w:spacing w:before="100" w:after="100"/>
      </w:pPr>
    </w:p>
    <w:p w14:paraId="1355AF08" w14:textId="77777777" w:rsidR="00B91932" w:rsidRDefault="00B91932">
      <w:pPr>
        <w:pageBreakBefore/>
      </w:pPr>
    </w:p>
    <w:p w14:paraId="59287C4E" w14:textId="77777777" w:rsidR="00B91932" w:rsidRDefault="00000000">
      <w:pPr>
        <w:pStyle w:val="1"/>
        <w:pBdr>
          <w:bottom w:val="single" w:sz="8" w:space="4" w:color="9A7B1A"/>
        </w:pBdr>
        <w:bidi/>
        <w:jc w:val="right"/>
      </w:pPr>
      <w:r>
        <w:t>ثانياً: الصراع على النفس البشرية من "النفس الأمارة" إلى "الاستلاب الرقمي"</w:t>
      </w:r>
    </w:p>
    <w:p w14:paraId="0135913C" w14:textId="77777777" w:rsidR="00B91932" w:rsidRDefault="00000000">
      <w:pPr>
        <w:pStyle w:val="2"/>
        <w:bidi/>
        <w:jc w:val="right"/>
      </w:pPr>
      <w:r>
        <w:t>٢.١ الخوارزميات وإعادة هندسة النفس البشرية</w:t>
      </w:r>
    </w:p>
    <w:p w14:paraId="7F11568D" w14:textId="77777777" w:rsidR="00B91932" w:rsidRDefault="00000000">
      <w:pPr>
        <w:spacing w:before="100" w:after="100" w:line="360" w:lineRule="auto"/>
        <w:ind w:firstLine="360"/>
        <w:jc w:val="right"/>
      </w:pPr>
      <w:r>
        <w:rPr>
          <w:color w:val="000000"/>
        </w:rPr>
        <w:t xml:space="preserve">إن أخطر ما في آليات الاستعمار الرقمي ورأسمالية المراقبة أنها لا تستهدف السلوك الظاهري للإنسان فحسب، بل تتغلغل إلى أعماق النفس البشرية لتُعيد تشكيلها وهندستها. تُؤكد شيري تيركل (Sherry Turkle) في دراستها الميدانية المعمّقة أن البيئات الرقمية تُفرز إنساناً يعيش في "وحدة مشتركة" (Connected Solitude)، منفصلاً عن الآخرين على المستوى الوجودي الحقيقي بينما يبدو متصلاً على المستوى الرقمي السطحي </w:t>
      </w:r>
      <w:r>
        <w:rPr>
          <w:color w:val="0A5E5E"/>
          <w:sz w:val="22"/>
          <w:szCs w:val="22"/>
        </w:rPr>
        <w:t>(Turkle, Alone Together: Why We Expect More from Technology and Less from Each Other, Basic Books, New York, 2011, pp. 1–19)</w:t>
      </w:r>
      <w:r>
        <w:rPr>
          <w:color w:val="000000"/>
        </w:rPr>
        <w:t>. وهذه الحالة تُمثل، في المصطلح الاستخلافي، شكلاً من "الفصام الأخلاقي" الرقمي: انفصال الذات عن واجبها الوجودي كخليفة على الأرض.</w:t>
      </w:r>
    </w:p>
    <w:p w14:paraId="5732626C" w14:textId="77777777" w:rsidR="00B91932" w:rsidRDefault="00000000">
      <w:pPr>
        <w:spacing w:before="100" w:after="100" w:line="360" w:lineRule="auto"/>
        <w:ind w:firstLine="360"/>
        <w:jc w:val="right"/>
      </w:pPr>
      <w:r>
        <w:rPr>
          <w:color w:val="000000"/>
        </w:rPr>
        <w:t xml:space="preserve">تستهدف "الهندسة الخوارزمية للنفس" بالتحديد ما تُسمّيه الأطروحة الاستخلافية بـ"النفس الأمارة بالسوء" – ذلك المستوى البدائي من الوعي الإنساني الذي ينقاد للشهوات والغرائز دون وازع أخلاقي. فالخوارزميات المُصمَّمة للإدمان تتعقب نقاط ضعف المستخدم (شهواته، مخاوفه، فضوله، غضبه) وتُغذيه بمحتوى لا نهائي يُبقيه غارقاً في هذه المستويات الدنيا من الوعي </w:t>
      </w:r>
      <w:r>
        <w:rPr>
          <w:color w:val="0A5E5E"/>
          <w:sz w:val="22"/>
          <w:szCs w:val="22"/>
        </w:rPr>
        <w:t>(الزراع، الأضلاع الثمانية ومستويات النفس، ص. 63–70)</w:t>
      </w:r>
      <w:r>
        <w:rPr>
          <w:color w:val="000000"/>
        </w:rPr>
        <w:t>.</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0" w:type="dxa"/>
          <w:left w:w="10" w:type="dxa"/>
          <w:bottom w:w="100" w:type="dxa"/>
          <w:right w:w="10" w:type="dxa"/>
        </w:tblCellMar>
        <w:tblLook w:val="0000" w:firstRow="0" w:lastRow="0" w:firstColumn="0" w:lastColumn="0" w:noHBand="0" w:noVBand="0"/>
      </w:tblPr>
      <w:tblGrid>
        <w:gridCol w:w="9200"/>
      </w:tblGrid>
      <w:tr w:rsidR="00B91932" w14:paraId="138F121D" w14:textId="77777777">
        <w:tc>
          <w:tcPr>
            <w:tcW w:w="9200" w:type="dxa"/>
            <w:tcBorders>
              <w:top w:val="single" w:sz="8" w:space="0" w:color="0A5E5E"/>
              <w:left w:val="single" w:sz="4" w:space="0" w:color="0A5E5E"/>
              <w:bottom w:val="single" w:sz="4" w:space="0" w:color="0A5E5E"/>
              <w:right w:val="single" w:sz="4" w:space="0" w:color="0A5E5E"/>
            </w:tcBorders>
            <w:shd w:val="clear" w:color="auto" w:fill="D0ECEC"/>
            <w:tcMar>
              <w:top w:w="140" w:type="dxa"/>
              <w:left w:w="240" w:type="dxa"/>
              <w:bottom w:w="140" w:type="dxa"/>
              <w:right w:w="240" w:type="dxa"/>
            </w:tcMar>
          </w:tcPr>
          <w:p w14:paraId="42F6B090" w14:textId="77777777" w:rsidR="00B91932" w:rsidRDefault="00000000">
            <w:pPr>
              <w:jc w:val="center"/>
            </w:pPr>
            <w:r>
              <w:rPr>
                <w:b/>
                <w:bCs/>
                <w:color w:val="0A5E5E"/>
                <w:sz w:val="27"/>
                <w:szCs w:val="27"/>
              </w:rPr>
              <w:t>◆ مستويات النفس البشرية في مواجهة الاستلاب الرقمي ◆</w:t>
            </w:r>
          </w:p>
          <w:p w14:paraId="0CE04A4D" w14:textId="77777777" w:rsidR="00B91932" w:rsidRDefault="00000000">
            <w:pPr>
              <w:spacing w:before="80"/>
              <w:ind w:left="200" w:right="200"/>
              <w:jc w:val="right"/>
            </w:pPr>
            <w:r>
              <w:rPr>
                <w:color w:val="0D1B33"/>
                <w:sz w:val="24"/>
                <w:szCs w:val="24"/>
              </w:rPr>
              <w:t>النفس الأمارة بالسوء (الهدف المباشر للخوارزميات) ← النفس اللوامة (مرحلة الوعي النقدي الرقمي) ← النفس المطمئنة (غاية الاستخلاف الرقمي الواعي). المسار التحرري هو إعادة الإنسان من مستوى الاستلاب إلى مستوى الوعي المطمئن عبر برنامج TLRT.</w:t>
            </w:r>
          </w:p>
        </w:tc>
      </w:tr>
    </w:tbl>
    <w:p w14:paraId="72B6A777" w14:textId="77777777" w:rsidR="00B91932" w:rsidRDefault="00B91932">
      <w:pPr>
        <w:spacing w:before="100" w:after="100"/>
      </w:pPr>
    </w:p>
    <w:p w14:paraId="644384A0" w14:textId="77777777" w:rsidR="00B91932" w:rsidRDefault="00000000">
      <w:pPr>
        <w:pStyle w:val="2"/>
        <w:bidi/>
        <w:jc w:val="right"/>
      </w:pPr>
      <w:r>
        <w:t>٢.٢ الاغتراب الرقمي وفقدان المعنى: قراءة فلسفية</w:t>
      </w:r>
    </w:p>
    <w:p w14:paraId="0D43ECD5" w14:textId="77777777" w:rsidR="00B91932" w:rsidRDefault="00000000">
      <w:pPr>
        <w:spacing w:before="100" w:after="100" w:line="360" w:lineRule="auto"/>
        <w:ind w:firstLine="360"/>
        <w:jc w:val="right"/>
      </w:pPr>
      <w:r>
        <w:rPr>
          <w:color w:val="000000"/>
        </w:rPr>
        <w:t>في قلب العولمة الرقمية، يظهر الإنسان المعاصر في صورة ذهنية مشوَّشة، مقسَّمة بين الانغماس في العالم الافتراضي وصعوبة التماس حضور حقيقي في العالم الواقعي. لاحظ فلاسفة ما بعد الحداثة، منذ أواخر القرن العشرين، أن الإنسان لم يعد يمتلك مركزية ثابتة أو هوية مستقرة، بل أصبح موضوعاً متنقلاً بين هويات متفرقة، تتنازعها صور الذات الافتراضية والمجتمعات الرقمية. وقد وصف فلاسفة الفضاء الرقمي هذه الظاهرة بـ"الضياع الأنطولوجي" (Ontological Dislocation)، حيث تفقد الذات حضورها المتجذر وتنجرف في تيار من "الحاضر المتعدد" المتقطع.</w:t>
      </w:r>
    </w:p>
    <w:p w14:paraId="01E160C7" w14:textId="77777777" w:rsidR="00B91932" w:rsidRDefault="00000000">
      <w:pPr>
        <w:spacing w:before="100" w:after="100" w:line="360" w:lineRule="auto"/>
        <w:ind w:firstLine="360"/>
        <w:jc w:val="right"/>
      </w:pPr>
      <w:r>
        <w:rPr>
          <w:color w:val="000000"/>
        </w:rPr>
        <w:t xml:space="preserve">وفي هذا السياق، تتحول الذات المعاصرة إلى "مجموعة من الإشارات والبيانات، يتغير معناها بتغير المنصة أو التطبيق"، وهو ما يُسميه ميشيل فوكو (Michel Foucault) في سياق مختلف "إفقار تقنيات الذات" (Impoverishment of Technologies of Self)، أي تراجع قدرة الفرد على صناعة نفسه بنفسه وفق قيم مُختارة بحرية </w:t>
      </w:r>
      <w:r>
        <w:rPr>
          <w:color w:val="0A5E5E"/>
          <w:sz w:val="22"/>
          <w:szCs w:val="22"/>
        </w:rPr>
        <w:t>(Foucault, Technologies of the Self, University of Massachusetts Press, Amherst, 1988, pp. 16–49)</w:t>
      </w:r>
      <w:r>
        <w:rPr>
          <w:color w:val="000000"/>
        </w:rPr>
        <w:t>. وهذا هو بالضبط "الاختزال المادي والرقمي" الذي تحذر منه الأطروحة الاستخلافية وتسعى إلى مقاومته عبر بناء "تقنيات الذات الاستخلافية" (Istikhläfi Self-Technologies).</w:t>
      </w:r>
    </w:p>
    <w:p w14:paraId="3E4A6B04" w14:textId="77777777" w:rsidR="00B91932" w:rsidRDefault="00000000">
      <w:pPr>
        <w:pStyle w:val="2"/>
        <w:bidi/>
        <w:jc w:val="right"/>
      </w:pPr>
      <w:r>
        <w:t>٢.٣ تفتيت الانتباه وإضعاف القدرة على التفكر العميق</w:t>
      </w:r>
    </w:p>
    <w:p w14:paraId="47F83F30" w14:textId="77777777" w:rsidR="00B91932" w:rsidRDefault="00000000">
      <w:pPr>
        <w:spacing w:before="100" w:after="100" w:line="360" w:lineRule="auto"/>
        <w:ind w:firstLine="360"/>
        <w:jc w:val="right"/>
      </w:pPr>
      <w:r>
        <w:rPr>
          <w:color w:val="000000"/>
        </w:rPr>
        <w:t xml:space="preserve">الاستخلاف يتطلب "انتباهاً كلياً" (Holistic Attention) لله وللأرض وللناس – قدرةً على التأمل العميق والتفكر في آيات الله في الأنفس والآفاق. لكن رأسمالية المراقبة تعمل على "تجزئة الانتباه" إلى أقصى حد. وتُشير الدراسات النفسية المعاصرة إلى أن العودة للتركيز بعد مقاطعة بسبب إشعار هاتفي قد تستغرق نحو 23 دقيقة، وهو ما يعني أن الإنسان المعاصر يعيش في حالة مستمرة من "التشتت الذهني" (Cognitive Fragmentation). يُولّد هذا التشتت المزمن ما تُسميه تيركل "الهدوء الذي لا وجود له بالفعل" (The Illusion of Calm)، أي شعور زائف بالتواصل يُعوّض عن الوحدة دون أن يُعالجها حقاً </w:t>
      </w:r>
      <w:r>
        <w:rPr>
          <w:color w:val="0A5E5E"/>
          <w:sz w:val="22"/>
          <w:szCs w:val="22"/>
        </w:rPr>
        <w:t>(Turkle, المرجع السابق، ص. 280–295)</w:t>
      </w:r>
      <w:r>
        <w:rPr>
          <w:color w:val="000000"/>
        </w:rPr>
        <w:t>.</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0" w:type="dxa"/>
          <w:left w:w="10" w:type="dxa"/>
          <w:bottom w:w="100" w:type="dxa"/>
          <w:right w:w="10" w:type="dxa"/>
        </w:tblCellMar>
        <w:tblLook w:val="0000" w:firstRow="0" w:lastRow="0" w:firstColumn="0" w:lastColumn="0" w:noHBand="0" w:noVBand="0"/>
      </w:tblPr>
      <w:tblGrid>
        <w:gridCol w:w="9200"/>
      </w:tblGrid>
      <w:tr w:rsidR="00B91932" w14:paraId="0B8F87CC" w14:textId="77777777">
        <w:tc>
          <w:tcPr>
            <w:tcW w:w="9200" w:type="dxa"/>
            <w:tcBorders>
              <w:top w:val="single" w:sz="4" w:space="0" w:color="1A5535"/>
              <w:left w:val="single" w:sz="12" w:space="0" w:color="1A5535"/>
              <w:bottom w:val="single" w:sz="4" w:space="0" w:color="1A5535"/>
              <w:right w:val="single" w:sz="4" w:space="0" w:color="1A5535"/>
            </w:tcBorders>
            <w:shd w:val="clear" w:color="auto" w:fill="EAF4EA"/>
            <w:tcMar>
              <w:top w:w="140" w:type="dxa"/>
              <w:left w:w="280" w:type="dxa"/>
              <w:bottom w:w="140" w:type="dxa"/>
              <w:right w:w="280" w:type="dxa"/>
            </w:tcMar>
          </w:tcPr>
          <w:p w14:paraId="199CF0E7" w14:textId="77777777" w:rsidR="00B91932" w:rsidRDefault="00000000">
            <w:pPr>
              <w:jc w:val="right"/>
            </w:pPr>
            <w:r>
              <w:rPr>
                <w:color w:val="1A5535"/>
                <w:sz w:val="25"/>
                <w:szCs w:val="25"/>
              </w:rPr>
              <w:t>قَالَ رَسُولُ اللَّهِ ﷺ: "إِنَّمَا الأَعْمَالُ بِالنِّيَّاتِ، وَإِنَّمَا لِكُلِّ امْرِئٍ مَا نَوَى"</w:t>
            </w:r>
          </w:p>
          <w:p w14:paraId="34D286F0" w14:textId="77777777" w:rsidR="00B91932" w:rsidRDefault="00000000">
            <w:pPr>
              <w:spacing w:before="60"/>
            </w:pPr>
            <w:r>
              <w:rPr>
                <w:color w:val="0A5E5E"/>
                <w:sz w:val="21"/>
                <w:szCs w:val="21"/>
              </w:rPr>
              <w:t>— متفق عليه – صحيح البخاري (1)، صحيح مسلم (1907)</w:t>
            </w:r>
          </w:p>
        </w:tc>
      </w:tr>
    </w:tbl>
    <w:p w14:paraId="1C595216" w14:textId="77777777" w:rsidR="00B91932" w:rsidRDefault="00B91932">
      <w:pPr>
        <w:spacing w:before="80" w:after="80"/>
      </w:pPr>
    </w:p>
    <w:p w14:paraId="29AED994" w14:textId="77777777" w:rsidR="00B91932" w:rsidRDefault="00000000">
      <w:pPr>
        <w:spacing w:before="100" w:after="100" w:line="360" w:lineRule="auto"/>
        <w:ind w:firstLine="360"/>
        <w:jc w:val="right"/>
      </w:pPr>
      <w:r>
        <w:rPr>
          <w:color w:val="000000"/>
        </w:rPr>
        <w:t>إن الحديث النبوي الشريف يضع النية في قلب العمل الإنساني، وهي نية لا تتشكل إلا في حالة من الانتباه الواعي والتأمل الحر. فحين تسرق الخوارزميات الانتباه وتُشتّت الذهن، فإنها لا تسرق الوقت فحسب، بل تُضعف القدرة الوجودية على تشكيل النية الصافية التي هي شرط الاستخلاف. هذا هو الوجه الأعمق للصراع على النفس البشرية.</w:t>
      </w:r>
    </w:p>
    <w:p w14:paraId="33DDD676" w14:textId="77777777" w:rsidR="00B91932" w:rsidRDefault="00B91932">
      <w:pPr>
        <w:pageBreakBefore/>
      </w:pPr>
    </w:p>
    <w:p w14:paraId="60794295" w14:textId="77777777" w:rsidR="00B91932" w:rsidRDefault="00000000">
      <w:pPr>
        <w:pStyle w:val="1"/>
        <w:pBdr>
          <w:bottom w:val="single" w:sz="8" w:space="4" w:color="9A7B1A"/>
        </w:pBdr>
        <w:bidi/>
        <w:jc w:val="right"/>
      </w:pPr>
      <w:r>
        <w:t>ثالثاً: اقتصاد الانتباه السلعة الأغلى في عصر الوفرة الرقمية</w:t>
      </w:r>
    </w:p>
    <w:p w14:paraId="26FC468A" w14:textId="77777777" w:rsidR="00B91932" w:rsidRDefault="00000000">
      <w:pPr>
        <w:pStyle w:val="2"/>
        <w:bidi/>
        <w:jc w:val="right"/>
      </w:pPr>
      <w:r>
        <w:t>٣.١ الانتباه كمورد نادر وأثمن</w:t>
      </w:r>
    </w:p>
    <w:p w14:paraId="372AF200" w14:textId="77777777" w:rsidR="00B91932" w:rsidRDefault="00000000">
      <w:pPr>
        <w:spacing w:before="100" w:after="100" w:line="360" w:lineRule="auto"/>
        <w:ind w:firstLine="360"/>
        <w:jc w:val="right"/>
      </w:pPr>
      <w:r>
        <w:rPr>
          <w:color w:val="000000"/>
        </w:rPr>
        <w:t xml:space="preserve">في قلب الصراع على النفس البشرية يقع "الانتباه" (Attention) – ذلك المورد غير الملموس الذي لا ندرك قيمته إلا عندما نفقده. كان عالم الاقتصاد الحائز جائزة نوبل هيربرت سايمون (Herbert A. Simon) أول من أشار في عام 1971 إلى أن "وفرة المعلومات تخلق فقراً في الانتباه" (A wealth of information creates a poverty of attention) </w:t>
      </w:r>
      <w:r>
        <w:rPr>
          <w:color w:val="0A5E5E"/>
          <w:sz w:val="22"/>
          <w:szCs w:val="22"/>
        </w:rPr>
        <w:t>(Simon, "Designing Organizations for an Information-Rich World", in Computers, Communications, and the Public Interest, Johns Hopkins University Press, Baltimore, 1971, pp. 40–41)</w:t>
      </w:r>
      <w:r>
        <w:rPr>
          <w:color w:val="000000"/>
        </w:rPr>
        <w:t>. وقد تحولت هذه الفكرة إلى واقع نعيشه يومياً: تتنافس المنصات على وقت المستخدم، وتُصمَّم خوارزمياتها لإطالة مدة بقائه، لأن كل ثانية إضافية تعني إعلانات أكثر وإيرادات أعلى.</w:t>
      </w:r>
    </w:p>
    <w:p w14:paraId="0592C9FD" w14:textId="77777777" w:rsidR="00B91932" w:rsidRDefault="00000000">
      <w:pPr>
        <w:spacing w:before="100" w:after="100" w:line="360" w:lineRule="auto"/>
        <w:ind w:firstLine="360"/>
        <w:jc w:val="right"/>
      </w:pPr>
      <w:r>
        <w:rPr>
          <w:color w:val="000000"/>
        </w:rPr>
        <w:t xml:space="preserve">يُعرِّف علماء النفس الانتباه بأنه "تركيز الموارد الذهنية على محفزات محددة". والمشكلة أن هذه الطاقة محدودة؛ فكل دقيقة تمنحها لمحتوى ما، تُنتزع من شيء آخر قد يكون أكثر أهمية. ومن المنظور الاستخلافي، فإن الانتباه ليس مجرد "مورد اقتصادي"، بل هو "أمانة وجودية" وبوابةٌ يدخل منها الخير والعلم أو الشر والتضليل. ولذلك فإن حماية "سيادة الانتباه" تصبح واجباً استخلافياً أساسياً </w:t>
      </w:r>
      <w:r>
        <w:rPr>
          <w:color w:val="0A5E5E"/>
          <w:sz w:val="22"/>
          <w:szCs w:val="22"/>
        </w:rPr>
        <w:t>(الزراع، البعد الرابع في نموذج TLRT، ص. 88–93)</w:t>
      </w:r>
      <w:r>
        <w:rPr>
          <w:color w:val="000000"/>
        </w:rPr>
        <w:t>.</w:t>
      </w:r>
    </w:p>
    <w:tbl>
      <w:tblPr>
        <w:tblW w:w="920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0" w:type="dxa"/>
          <w:bottom w:w="120" w:type="dxa"/>
          <w:right w:w="10" w:type="dxa"/>
        </w:tblCellMar>
        <w:tblLook w:val="0000" w:firstRow="0" w:lastRow="0" w:firstColumn="0" w:lastColumn="0" w:noHBand="0" w:noVBand="0"/>
      </w:tblPr>
      <w:tblGrid>
        <w:gridCol w:w="9200"/>
      </w:tblGrid>
      <w:tr w:rsidR="00B91932" w14:paraId="27B1B781" w14:textId="77777777">
        <w:tc>
          <w:tcPr>
            <w:tcW w:w="9200" w:type="dxa"/>
            <w:tcBorders>
              <w:top w:val="single" w:sz="6" w:space="0" w:color="9A7B1A"/>
              <w:left w:val="single" w:sz="6" w:space="0" w:color="9A7B1A"/>
              <w:bottom w:val="single" w:sz="6" w:space="0" w:color="9A7B1A"/>
              <w:right w:val="single" w:sz="6" w:space="0" w:color="9A7B1A"/>
            </w:tcBorders>
            <w:shd w:val="clear" w:color="auto" w:fill="F5EDD5"/>
            <w:tcMar>
              <w:top w:w="160" w:type="dxa"/>
              <w:left w:w="280" w:type="dxa"/>
              <w:bottom w:w="160" w:type="dxa"/>
              <w:right w:w="280" w:type="dxa"/>
            </w:tcMar>
          </w:tcPr>
          <w:p w14:paraId="6B5B962C" w14:textId="77777777" w:rsidR="00B91932" w:rsidRDefault="00000000">
            <w:pPr>
              <w:jc w:val="center"/>
            </w:pPr>
            <w:r>
              <w:rPr>
                <w:b/>
                <w:bCs/>
                <w:color w:val="7A1A1A"/>
                <w:sz w:val="28"/>
                <w:szCs w:val="28"/>
              </w:rPr>
              <w:t>﴿وَلَا تَقۡفُ مَا لَيۡسَ لَكَ بِهِۦ عِلۡمٌۚ إِنَّ ٱلسَّمۡعَ وَٱلۡبَصَرَ وَٱلۡفُؤَادَ كُلُّ أُو۟لَٰٓئِكَ كَانَ عَنۡهُ مَسۡـُٔولٗا﴾</w:t>
            </w:r>
          </w:p>
          <w:p w14:paraId="339CF6B8" w14:textId="77777777" w:rsidR="00B91932" w:rsidRDefault="00000000">
            <w:pPr>
              <w:spacing w:before="60"/>
              <w:jc w:val="center"/>
            </w:pPr>
            <w:r>
              <w:rPr>
                <w:color w:val="9A7B1A"/>
                <w:sz w:val="22"/>
                <w:szCs w:val="22"/>
              </w:rPr>
              <w:t>سورة الإسراء: 36</w:t>
            </w:r>
          </w:p>
        </w:tc>
      </w:tr>
    </w:tbl>
    <w:p w14:paraId="67D98E5A" w14:textId="77777777" w:rsidR="00B91932" w:rsidRDefault="00B91932">
      <w:pPr>
        <w:spacing w:before="80" w:after="80"/>
      </w:pPr>
    </w:p>
    <w:p w14:paraId="2036FF45" w14:textId="77777777" w:rsidR="00B91932" w:rsidRDefault="00000000">
      <w:pPr>
        <w:pStyle w:val="2"/>
        <w:bidi/>
        <w:jc w:val="right"/>
      </w:pPr>
      <w:r>
        <w:t>٣.٢ الانتباه كعملة في اقتصاد المراقبة</w:t>
      </w:r>
    </w:p>
    <w:p w14:paraId="78EBB51B" w14:textId="77777777" w:rsidR="00B91932" w:rsidRDefault="00000000">
      <w:pPr>
        <w:spacing w:before="100" w:after="100" w:line="360" w:lineRule="auto"/>
        <w:ind w:firstLine="360"/>
        <w:jc w:val="right"/>
      </w:pPr>
      <w:r>
        <w:rPr>
          <w:color w:val="000000"/>
        </w:rPr>
        <w:t>في اقتصاد الانتباه، لم يعد المستخدم مجرد "مستهلك" للمحتوى، بل أصبح "المنتَج" نفسه. عندما تشاهد محتوىً "مجانياً"، فأنت لا تستخدم منتجاً مجانياً، بل أنت المنتَج نفسه، وانتباهك هو العملة التي تدفعها. هذا التحول الجذري في العلاقة بين الإنسان والتقنية يُوثّقه تيم وو (Tim Wu) في تحليله لـ"اقتناص الانتباه" (The Attention Merchants) بوصفه تطوراً لمنطق اقتصادي يمتد من إعلانات الصحف في القرن التاسع عشر إلى الخوارزميات في القرن الحادي والعشرين.</w:t>
      </w:r>
    </w:p>
    <w:p w14:paraId="058FD21C" w14:textId="77777777" w:rsidR="00B91932" w:rsidRDefault="00000000">
      <w:pPr>
        <w:spacing w:before="100" w:after="100" w:line="360" w:lineRule="auto"/>
        <w:ind w:firstLine="360"/>
        <w:jc w:val="right"/>
      </w:pPr>
      <w:r>
        <w:rPr>
          <w:color w:val="000000"/>
        </w:rPr>
        <w:t xml:space="preserve">ولهذه النقلة المفاهيمية آثار عميقة على فهم العلاقة بين الإنسان والتكنولوجيا في المنظور الاستخلافي. فزوبوف توضح أن نموذج العمل في رأسمالية المراقبة يتضمن ثلاث مراحل: الاستخراج السلوكي، ثم التحليل التنبؤي، ثم المداخلة في السلوك الفعلي للمستخدم في الحياة الواقعية </w:t>
      </w:r>
      <w:r>
        <w:rPr>
          <w:color w:val="0A5E5E"/>
          <w:sz w:val="22"/>
          <w:szCs w:val="22"/>
        </w:rPr>
        <w:t>(Zuboff، المرجع السابق، ص. 293–329)</w:t>
      </w:r>
      <w:r>
        <w:rPr>
          <w:color w:val="000000"/>
        </w:rPr>
        <w:t>. وهذا يعني أن المنصات لا تكتفي بمراقبة سلوكنا، بل تسعى فعلياً إلى إعادة توجيهه نحو ما يزيد أرباحها.</w:t>
      </w:r>
    </w:p>
    <w:p w14:paraId="797C350A" w14:textId="77777777" w:rsidR="00B91932" w:rsidRDefault="00000000">
      <w:pPr>
        <w:pStyle w:val="2"/>
        <w:bidi/>
        <w:jc w:val="right"/>
      </w:pPr>
      <w:r>
        <w:t>٣.٣ اقتصاد الانتباه في السياق العربي والإسلامي</w:t>
      </w:r>
    </w:p>
    <w:p w14:paraId="2D0BBBAB" w14:textId="77777777" w:rsidR="00B91932" w:rsidRDefault="00000000">
      <w:pPr>
        <w:spacing w:before="100" w:after="100" w:line="360" w:lineRule="auto"/>
        <w:ind w:firstLine="360"/>
        <w:jc w:val="right"/>
      </w:pPr>
      <w:r>
        <w:rPr>
          <w:color w:val="000000"/>
        </w:rPr>
        <w:t xml:space="preserve">في العالم العربي، أصبحت ثقافة "اللايكات" والمتابعين هوساً اجتماعياً؛ إذ يتسابق المشاهير والعامة في جمع الأرقام، وتقيس المنصات النجاح بعدد التفاعلات لا بجودة المحتوى أو قيمته الأخلاقية. يُحدد بوعبيبسة (Bouaibessa) في دراسته حول التربية الرقمية العربية أن هذا المنطق يُفرز "ثقافة تفاهة رقمية" تُشجّع على الإنتاج السريع الرخيص على حساب العمق المعرفي والتأمل </w:t>
      </w:r>
      <w:r>
        <w:rPr>
          <w:color w:val="0A5E5E"/>
          <w:sz w:val="22"/>
          <w:szCs w:val="22"/>
        </w:rPr>
        <w:t>(بوعبيبسة، التربية الرقمية لمواجهة سطوة ثقافة التفاهة في المجتمع الشبكي، مجلة الباحث في العلوم الإنسانية، جامعة ورقلة، 2022، ص. 115–127)</w:t>
      </w:r>
      <w:r>
        <w:rPr>
          <w:color w:val="000000"/>
        </w:rPr>
        <w:t>. وهذا يستدعي إعادة بناء الخطاب الإسلامي الرقمي وفق مقاصد معرفية وتربوية، تراعي طبيعة الانتباه الرقمي، وتوازن بين الجاذبية الاتصالية ومتطلبات الفهم الرشيد.</w:t>
      </w:r>
    </w:p>
    <w:p w14:paraId="362B4C57" w14:textId="77777777" w:rsidR="00B91932" w:rsidRDefault="00B91932">
      <w:pPr>
        <w:pageBreakBefore/>
      </w:pPr>
    </w:p>
    <w:p w14:paraId="361C6871" w14:textId="77777777" w:rsidR="00B91932" w:rsidRDefault="00000000">
      <w:pPr>
        <w:pStyle w:val="1"/>
        <w:pBdr>
          <w:bottom w:val="single" w:sz="8" w:space="4" w:color="9A7B1A"/>
        </w:pBdr>
        <w:bidi/>
        <w:jc w:val="right"/>
      </w:pPr>
      <w:r>
        <w:t>رابعاً: فقه الآلة الذكاء الاصطناعي بين "خادم العدل" و"سيد الإنسان"</w:t>
      </w:r>
    </w:p>
    <w:p w14:paraId="7ADF91C9" w14:textId="77777777" w:rsidR="00B91932" w:rsidRDefault="00000000">
      <w:pPr>
        <w:pStyle w:val="2"/>
        <w:bidi/>
        <w:jc w:val="right"/>
      </w:pPr>
      <w:r>
        <w:t>٤.١ المبدأ الحاكم: الذكاء الاصطناعي خادم للعدل والإحسان لا سيد على الإنسان</w:t>
      </w:r>
    </w:p>
    <w:p w14:paraId="6DE8CAF2" w14:textId="77777777" w:rsidR="00B91932" w:rsidRDefault="00000000">
      <w:pPr>
        <w:spacing w:before="100" w:after="100" w:line="360" w:lineRule="auto"/>
        <w:ind w:firstLine="360"/>
        <w:jc w:val="right"/>
      </w:pPr>
      <w:r>
        <w:rPr>
          <w:color w:val="000000"/>
        </w:rPr>
        <w:t>في المنظور الاستخلافي، يُطرح سؤال جوهري: ما موقع الذكاء الاصطناعي في منظومة القيم الاستخلافية؟ والجواب يتلخص في مبدأ حاكم: "الذكاء الاصطناعي خادم للعدل والإحسان لا سيد على الإنسان". هذا المبدأ ينبثق من رؤية أعمق للإنسان بوصفه "خليفة" مكرَّماً، لا يجوز أن تخضع كرامته أو حريته أو قراراته الأخلاقية للآلة مهما بلغت من تطور. ويُعبّر القرآن الكريم عن هذه المرجعية في قوله تعالى:</w:t>
      </w:r>
    </w:p>
    <w:tbl>
      <w:tblPr>
        <w:tblW w:w="920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0" w:type="dxa"/>
          <w:bottom w:w="120" w:type="dxa"/>
          <w:right w:w="10" w:type="dxa"/>
        </w:tblCellMar>
        <w:tblLook w:val="0000" w:firstRow="0" w:lastRow="0" w:firstColumn="0" w:lastColumn="0" w:noHBand="0" w:noVBand="0"/>
      </w:tblPr>
      <w:tblGrid>
        <w:gridCol w:w="9200"/>
      </w:tblGrid>
      <w:tr w:rsidR="00B91932" w14:paraId="22324D24" w14:textId="77777777">
        <w:tc>
          <w:tcPr>
            <w:tcW w:w="9200" w:type="dxa"/>
            <w:tcBorders>
              <w:top w:val="single" w:sz="6" w:space="0" w:color="9A7B1A"/>
              <w:left w:val="single" w:sz="6" w:space="0" w:color="9A7B1A"/>
              <w:bottom w:val="single" w:sz="6" w:space="0" w:color="9A7B1A"/>
              <w:right w:val="single" w:sz="6" w:space="0" w:color="9A7B1A"/>
            </w:tcBorders>
            <w:shd w:val="clear" w:color="auto" w:fill="F5EDD5"/>
            <w:tcMar>
              <w:top w:w="160" w:type="dxa"/>
              <w:left w:w="280" w:type="dxa"/>
              <w:bottom w:w="160" w:type="dxa"/>
              <w:right w:w="280" w:type="dxa"/>
            </w:tcMar>
          </w:tcPr>
          <w:p w14:paraId="16BE9A95" w14:textId="77777777" w:rsidR="00B91932" w:rsidRDefault="00000000">
            <w:pPr>
              <w:jc w:val="center"/>
            </w:pPr>
            <w:r>
              <w:rPr>
                <w:b/>
                <w:bCs/>
                <w:color w:val="7A1A1A"/>
                <w:sz w:val="28"/>
                <w:szCs w:val="28"/>
              </w:rPr>
              <w:t>﴿وَسَخَّرَ لَكُم مَّا فِي ٱلسَّمَٰوَٰتِ وَمَا فِي ٱلۡأَرۡضِ جَمِيعٗا مِّنۡهُۚ إِنَّ فِي ذَٰلِكَ لَأٓيَٰتٖ لِّقَوۡمٖ يَتَفَكَّرُونَ﴾</w:t>
            </w:r>
          </w:p>
          <w:p w14:paraId="293CF290" w14:textId="77777777" w:rsidR="00B91932" w:rsidRDefault="00000000">
            <w:pPr>
              <w:spacing w:before="60"/>
              <w:jc w:val="center"/>
            </w:pPr>
            <w:r>
              <w:rPr>
                <w:color w:val="9A7B1A"/>
                <w:sz w:val="22"/>
                <w:szCs w:val="22"/>
              </w:rPr>
              <w:t>سورة الجاثية: 13</w:t>
            </w:r>
          </w:p>
        </w:tc>
      </w:tr>
    </w:tbl>
    <w:p w14:paraId="7EC614D9" w14:textId="77777777" w:rsidR="00B91932" w:rsidRDefault="00B91932">
      <w:pPr>
        <w:spacing w:before="80" w:after="80"/>
      </w:pPr>
    </w:p>
    <w:p w14:paraId="101AC092" w14:textId="77777777" w:rsidR="00B91932" w:rsidRDefault="00000000">
      <w:pPr>
        <w:spacing w:before="100" w:after="100" w:line="360" w:lineRule="auto"/>
        <w:ind w:firstLine="360"/>
        <w:jc w:val="right"/>
      </w:pPr>
      <w:r>
        <w:rPr>
          <w:color w:val="000000"/>
        </w:rPr>
        <w:t xml:space="preserve">إن مفهوم "التسخير" القرآني لا يعني الخضوع للأداة، بل توظيفها في خدمة العمارة. فأُسِّست على هذا المبدأ جملة من الضوابط الفقهية التي أقرّها مجمع الفقه الإسلامي الدولي في دورته السادسة والعشرين بالدوحة، في قراره رقم 258 (3/26) الصادر في مايو 2025، والذي يُقرر أن "الأصل في إنشاء الذكاء الاصطناعي واستخداماته الإباحة"، مع وجوب مراعاة ضوابط: مشروعية القصد، جلب المصلحة ودرء المفسدة، حماية المعلومات وصون الحريات، والالتزام بالأمانة والشفافية </w:t>
      </w:r>
      <w:r>
        <w:rPr>
          <w:color w:val="0A5E5E"/>
          <w:sz w:val="22"/>
          <w:szCs w:val="22"/>
        </w:rPr>
        <w:t>(قرار مجمع الفقه الإسلامي الدولي، رقم 258/3/26، الذكاء الاصطناعي: أحكامه وضوابطه وأخلاقياته، الدوحة، 4–8 مايو 2025)</w:t>
      </w:r>
      <w:r>
        <w:rPr>
          <w:color w:val="000000"/>
        </w:rPr>
        <w:t>.</w:t>
      </w:r>
    </w:p>
    <w:p w14:paraId="6D5A5E8E" w14:textId="77777777" w:rsidR="00B91932" w:rsidRDefault="00000000">
      <w:pPr>
        <w:pStyle w:val="2"/>
        <w:bidi/>
        <w:jc w:val="right"/>
      </w:pPr>
      <w:r>
        <w:t>٤.٢ الحكمة الرقمية كعملية تشاركية بين الإنسان والتقنية</w:t>
      </w:r>
    </w:p>
    <w:p w14:paraId="3EEA4C4C" w14:textId="77777777" w:rsidR="00B91932" w:rsidRDefault="00000000">
      <w:pPr>
        <w:spacing w:before="100" w:after="100" w:line="360" w:lineRule="auto"/>
        <w:ind w:firstLine="360"/>
        <w:jc w:val="right"/>
      </w:pPr>
      <w:r>
        <w:rPr>
          <w:color w:val="000000"/>
        </w:rPr>
        <w:t>تخلص الدراسات المعاصرة في فلسفة الذكاء الاصطناعي إلى أن "الحكمة الرقمية" يجب أن تُفهم كعملية تشاركية بين الإنسان والتقنية، لا كبديل للوعي البشري. وهذا يتوافق تماماً مع المنظور الاستخلافي الذي يرى في التكنولوجيا "أداة تسخير" لخدمة الإنسان في أداء مهمته الوجودية. في هذا السياق، يبرز مفهوم "فقه الآلة" (Fiqh al-Ālah) كإطار فكري إسلامي لتوجيه تطوير واستخدام الذكاء الاصطناعي وفق مقاصد الشريعة الإسلامية.</w:t>
      </w:r>
    </w:p>
    <w:p w14:paraId="3D7DC9DD" w14:textId="77777777" w:rsidR="00B91932" w:rsidRDefault="00000000">
      <w:pPr>
        <w:spacing w:before="100" w:after="100" w:line="360" w:lineRule="auto"/>
        <w:ind w:firstLine="360"/>
        <w:jc w:val="right"/>
      </w:pPr>
      <w:r>
        <w:rPr>
          <w:color w:val="000000"/>
        </w:rPr>
        <w:t xml:space="preserve">ويرى وائل حلاق (Wael B. Hallaq) في معرض نقده للدولة الحديثة أن ثمة "نمطاً من السيطرة التقنية" يُحوِّل الأخلاق إلى إجراءات بيروقراطية جوفاء، تفتقر إلى الروح الأخلاقية التي تُغذّيها تقاليد التقوى والفضيلة </w:t>
      </w:r>
      <w:r>
        <w:rPr>
          <w:color w:val="0A5E5E"/>
          <w:sz w:val="22"/>
          <w:szCs w:val="22"/>
        </w:rPr>
        <w:t>(Hallaq, The Impossible State: Islam, Politics, and Modernity's Moral Predicament, Columbia University Press, New York, 2013, pp. 157–175)</w:t>
      </w:r>
      <w:r>
        <w:rPr>
          <w:color w:val="000000"/>
        </w:rPr>
        <w:t>. ويُمكن تطبيق هذا الانتقاد مباشرةً على نظم الذكاء الاصطناعي في القضاء: فحين تحلّ الخوارزمية محل الاجتهاد الأخلاقي، تتحول العدالة إلى إجراء آلي يفتقر إلى الحكمة الحية.</w:t>
      </w:r>
    </w:p>
    <w:p w14:paraId="1DB5FD5A" w14:textId="77777777" w:rsidR="00B91932" w:rsidRDefault="00000000">
      <w:pPr>
        <w:pStyle w:val="2"/>
        <w:bidi/>
        <w:jc w:val="right"/>
      </w:pPr>
      <w:r>
        <w:t>٤.٣ الأسس الإسلامية لأخلاقيات الذكاء الاصطناعي</w:t>
      </w:r>
    </w:p>
    <w:p w14:paraId="69C525E8" w14:textId="77777777" w:rsidR="00B91932" w:rsidRDefault="00000000">
      <w:pPr>
        <w:spacing w:before="100" w:after="100" w:line="360" w:lineRule="auto"/>
        <w:ind w:firstLine="360"/>
        <w:jc w:val="right"/>
      </w:pPr>
      <w:r>
        <w:rPr>
          <w:color w:val="000000"/>
        </w:rPr>
        <w:t>تستند الأخلاقيات الإسلامية للذكاء الاصطناعي إلى إطار مقاصد الشريعة الإسلامية، الذي يركز على حفظ الضروريات الخمس: الدين، والنفس، والعقل، والنسل، والمال. في ضوء هذا الإطار يمكن تحديد أربعة مبادئ حاكمة:</w:t>
      </w:r>
    </w:p>
    <w:p w14:paraId="4B4C28AC" w14:textId="77777777" w:rsidR="00B91932" w:rsidRDefault="00000000">
      <w:pPr>
        <w:pStyle w:val="a4"/>
        <w:numPr>
          <w:ilvl w:val="0"/>
          <w:numId w:val="3"/>
        </w:numPr>
        <w:spacing w:before="80" w:after="80" w:line="340" w:lineRule="auto"/>
        <w:jc w:val="right"/>
      </w:pPr>
      <w:r>
        <w:rPr>
          <w:color w:val="000000"/>
        </w:rPr>
        <w:t>مبدأ الشفافية والمساءلة: يجب أن تكون الخوارزميات والقرارات واضحة ومسؤولة أمام الله وأمام الناس. لا يجوز أن تكون "الصناديق السوداء" الخوارزمية غطاءً للتحكم غير المرئي في حياة الناس.</w:t>
      </w:r>
    </w:p>
    <w:p w14:paraId="43C11DD5" w14:textId="77777777" w:rsidR="00B91932" w:rsidRDefault="00000000">
      <w:pPr>
        <w:pStyle w:val="a4"/>
        <w:numPr>
          <w:ilvl w:val="0"/>
          <w:numId w:val="3"/>
        </w:numPr>
        <w:spacing w:before="80" w:after="80" w:line="340" w:lineRule="auto"/>
        <w:jc w:val="right"/>
      </w:pPr>
      <w:r>
        <w:rPr>
          <w:color w:val="000000"/>
        </w:rPr>
        <w:t>مبدأ العدالة ومنع التحيز: يجب أن تُصمَّم أنظمة الذكاء الاصطناعي بحيث تمنع التمييز والتحيز ضد أي فئة أو جماعة، وأن تضمن توزيعاً عادلاً للمنافع والأضرار.</w:t>
      </w:r>
    </w:p>
    <w:p w14:paraId="62A25BEE" w14:textId="77777777" w:rsidR="00B91932" w:rsidRDefault="00000000">
      <w:pPr>
        <w:pStyle w:val="a4"/>
        <w:numPr>
          <w:ilvl w:val="0"/>
          <w:numId w:val="3"/>
        </w:numPr>
        <w:spacing w:before="80" w:after="80" w:line="340" w:lineRule="auto"/>
        <w:jc w:val="right"/>
      </w:pPr>
      <w:r>
        <w:rPr>
          <w:color w:val="000000"/>
        </w:rPr>
        <w:t>مبدأ حفظ الكرامة الإنسانية: لا يجوز استخدام الذكاء الاصطناعي في أنظمة "التقييم الاجتماعي الشامل" (Social Scoring) التي تصنف المواطنين وتمنحهم حقوقاً بناءً على سلوكهم، لأن هذا يمس كرامة الإنسان.</w:t>
      </w:r>
    </w:p>
    <w:p w14:paraId="09AD945A" w14:textId="77777777" w:rsidR="00B91932" w:rsidRDefault="00000000">
      <w:pPr>
        <w:pStyle w:val="a4"/>
        <w:numPr>
          <w:ilvl w:val="0"/>
          <w:numId w:val="3"/>
        </w:numPr>
        <w:spacing w:before="80" w:after="80" w:line="340" w:lineRule="auto"/>
        <w:jc w:val="right"/>
      </w:pPr>
      <w:r>
        <w:rPr>
          <w:color w:val="000000"/>
        </w:rPr>
        <w:t>مبدأ الإحسان: يجب أن يُستخدم الذكاء الاصطناعي لأغراض نبيلة تتوافق مع القيم الإسلامية، وأن يسعى إلى تحقيق "الحياة الطيبة" بأبعادها الستة.</w:t>
      </w:r>
    </w:p>
    <w:p w14:paraId="632100D5" w14:textId="77777777" w:rsidR="00B91932" w:rsidRDefault="00B91932">
      <w:pPr>
        <w:spacing w:before="100" w:after="100"/>
      </w:pPr>
    </w:p>
    <w:tbl>
      <w:tblPr>
        <w:tblW w:w="920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0" w:type="dxa"/>
          <w:bottom w:w="120" w:type="dxa"/>
          <w:right w:w="10" w:type="dxa"/>
        </w:tblCellMar>
        <w:tblLook w:val="0000" w:firstRow="0" w:lastRow="0" w:firstColumn="0" w:lastColumn="0" w:noHBand="0" w:noVBand="0"/>
      </w:tblPr>
      <w:tblGrid>
        <w:gridCol w:w="9200"/>
      </w:tblGrid>
      <w:tr w:rsidR="00B91932" w14:paraId="023952BB" w14:textId="77777777">
        <w:tc>
          <w:tcPr>
            <w:tcW w:w="9200" w:type="dxa"/>
            <w:tcBorders>
              <w:top w:val="single" w:sz="6" w:space="0" w:color="9A7B1A"/>
              <w:left w:val="single" w:sz="6" w:space="0" w:color="9A7B1A"/>
              <w:bottom w:val="single" w:sz="6" w:space="0" w:color="9A7B1A"/>
              <w:right w:val="single" w:sz="6" w:space="0" w:color="9A7B1A"/>
            </w:tcBorders>
            <w:shd w:val="clear" w:color="auto" w:fill="F5EDD5"/>
            <w:tcMar>
              <w:top w:w="160" w:type="dxa"/>
              <w:left w:w="280" w:type="dxa"/>
              <w:bottom w:w="160" w:type="dxa"/>
              <w:right w:w="280" w:type="dxa"/>
            </w:tcMar>
          </w:tcPr>
          <w:p w14:paraId="0429D7CE" w14:textId="77777777" w:rsidR="00B91932" w:rsidRDefault="00000000">
            <w:pPr>
              <w:jc w:val="center"/>
            </w:pPr>
            <w:r>
              <w:rPr>
                <w:b/>
                <w:bCs/>
                <w:color w:val="7A1A1A"/>
                <w:sz w:val="28"/>
                <w:szCs w:val="28"/>
              </w:rPr>
              <w:t>﴿إِنَّ ٱللَّهَ يَأۡمُرُ بِٱلۡعَدۡلِ وَٱلۡإِحۡسَٰنِ وَإِيتَآيِٕ ذِي ٱلۡقُرۡبَىٰ وَيَنۡهَىٰ عَنِ ٱلۡفَحۡشَآءِ وَٱلۡمُنكَرِ وَٱلۡبَغۡيِۚ يَعِظُكُمۡ لَعَلَّكُمۡ تَذَكَّرُونَ﴾</w:t>
            </w:r>
          </w:p>
          <w:p w14:paraId="5448A6F1" w14:textId="77777777" w:rsidR="00B91932" w:rsidRDefault="00000000">
            <w:pPr>
              <w:spacing w:before="60"/>
              <w:jc w:val="center"/>
            </w:pPr>
            <w:r>
              <w:rPr>
                <w:color w:val="9A7B1A"/>
                <w:sz w:val="22"/>
                <w:szCs w:val="22"/>
              </w:rPr>
              <w:t>سورة النحل: 90</w:t>
            </w:r>
          </w:p>
        </w:tc>
      </w:tr>
    </w:tbl>
    <w:p w14:paraId="6C2787FA" w14:textId="77777777" w:rsidR="00B91932" w:rsidRDefault="00B91932">
      <w:pPr>
        <w:spacing w:before="100" w:after="100"/>
      </w:pPr>
    </w:p>
    <w:p w14:paraId="43987CEE" w14:textId="77777777" w:rsidR="00B91932" w:rsidRDefault="00B91932">
      <w:pPr>
        <w:pageBreakBefore/>
      </w:pPr>
    </w:p>
    <w:p w14:paraId="4BFD91A6" w14:textId="77777777" w:rsidR="00B91932" w:rsidRDefault="00000000">
      <w:pPr>
        <w:pStyle w:val="1"/>
        <w:pBdr>
          <w:bottom w:val="single" w:sz="8" w:space="4" w:color="9A7B1A"/>
        </w:pBdr>
        <w:bidi/>
        <w:jc w:val="right"/>
      </w:pPr>
      <w:r>
        <w:t>خامساً: تطبيقات في العدالة التصالحية الذكاء الاصطناعي في خدمة "الإحسان"</w:t>
      </w:r>
    </w:p>
    <w:p w14:paraId="59C96951" w14:textId="77777777" w:rsidR="00B91932" w:rsidRDefault="00000000">
      <w:pPr>
        <w:pStyle w:val="2"/>
        <w:bidi/>
        <w:jc w:val="right"/>
      </w:pPr>
      <w:r>
        <w:t>٥.١ تعزيز الإحسان في السياسة الجنائية</w:t>
      </w:r>
    </w:p>
    <w:p w14:paraId="1EDA245D" w14:textId="77777777" w:rsidR="00B91932" w:rsidRDefault="00000000">
      <w:pPr>
        <w:spacing w:before="100" w:after="100" w:line="360" w:lineRule="auto"/>
        <w:ind w:firstLine="360"/>
        <w:jc w:val="right"/>
      </w:pPr>
      <w:r>
        <w:rPr>
          <w:color w:val="000000"/>
        </w:rPr>
        <w:t xml:space="preserve">في الأطروحة الاستخلافية، لا تكتفي الدولة بمعاقبة المجرم بعدل، بل تسعى إلى "إصلاحه وإعادة تأهيله" بإحسان. هذا هو جوهر "العدالة التصالحية" (Restorative Justice) التي تسعى إلى إصلاح الضرر الناتج عن الجريمة وإعادة دمج الجاني في المجتمع. وقد وضعت الأمم المتحدة عبر مكتبها المعني بالمخدرات والجريمة (UNODC) معايير دولية لهذا النهج، تُعرِّف العدالة التصالحية بأنها "أي عملية يُشارك فيها المجني عليهم والمتهمون، وسواهم أحياناً ممن يتضررون من الجريمة، في حل ما ينجم عنها من مشكلات بصورة إيجابية وبوجه فاعل" </w:t>
      </w:r>
      <w:r>
        <w:rPr>
          <w:color w:val="0A5E5E"/>
          <w:sz w:val="22"/>
          <w:szCs w:val="22"/>
        </w:rPr>
        <w:t>(UNODC, Crime Prevention &amp; Criminal Justice Module 8: Restorative Justice, United Nations, 2018, pp. 6–9)</w:t>
      </w:r>
      <w:r>
        <w:rPr>
          <w:color w:val="000000"/>
        </w:rPr>
        <w:t>.</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0" w:type="dxa"/>
          <w:left w:w="10" w:type="dxa"/>
          <w:bottom w:w="100" w:type="dxa"/>
          <w:right w:w="10" w:type="dxa"/>
        </w:tblCellMar>
        <w:tblLook w:val="0000" w:firstRow="0" w:lastRow="0" w:firstColumn="0" w:lastColumn="0" w:noHBand="0" w:noVBand="0"/>
      </w:tblPr>
      <w:tblGrid>
        <w:gridCol w:w="9200"/>
      </w:tblGrid>
      <w:tr w:rsidR="00B91932" w14:paraId="2599CC9C" w14:textId="77777777">
        <w:tc>
          <w:tcPr>
            <w:tcW w:w="9200" w:type="dxa"/>
            <w:tcBorders>
              <w:top w:val="single" w:sz="4" w:space="0" w:color="1A3A6B"/>
              <w:left w:val="single" w:sz="12" w:space="0" w:color="1A3A6B"/>
              <w:bottom w:val="single" w:sz="4" w:space="0" w:color="1A3A6B"/>
              <w:right w:val="single" w:sz="4" w:space="0" w:color="1A3A6B"/>
            </w:tcBorders>
            <w:shd w:val="clear" w:color="auto" w:fill="D6E4F0"/>
            <w:tcMar>
              <w:top w:w="140" w:type="dxa"/>
              <w:left w:w="240" w:type="dxa"/>
              <w:bottom w:w="140" w:type="dxa"/>
              <w:right w:w="240" w:type="dxa"/>
            </w:tcMar>
          </w:tcPr>
          <w:p w14:paraId="31B1D8C1" w14:textId="77777777" w:rsidR="00B91932" w:rsidRDefault="00000000">
            <w:pPr>
              <w:jc w:val="right"/>
            </w:pPr>
            <w:r>
              <w:rPr>
                <w:b/>
                <w:bCs/>
                <w:color w:val="1A3A6B"/>
              </w:rPr>
              <w:t>الكينتسوغي النفسي (Kintsugi al-Nafs) والعدالة التصالحية</w:t>
            </w:r>
          </w:p>
          <w:p w14:paraId="0ED53D35" w14:textId="77777777" w:rsidR="00B91932" w:rsidRDefault="00000000">
            <w:pPr>
              <w:spacing w:before="80"/>
              <w:jc w:val="right"/>
            </w:pPr>
            <w:r>
              <w:rPr>
                <w:color w:val="0D1B33"/>
                <w:sz w:val="24"/>
                <w:szCs w:val="24"/>
              </w:rPr>
              <w:t>فن "الكينتسوغي" الياباني (ترميم الخزف بالذهب) يُمثّل استعارةً مركزية في الأطروحة الاستخلافية: الانكسارات لا تُخفى بل تُؤطَّر بالذهب الأخلاقي. كذلك العدالة التصالحية تُؤطّر جرح المجتمع لا لتخفيه بل لتحويله إلى موقع نمو وشفاء. الباحث إيولِمانز (Keulemans) يُعيد سياق الكينتسوغي تاريخياً ويربطه بثقافات الترميم والتجديد. (Keulemans, The Geo-cultural Conditions of Kintsugi, Journal of Modern Craft, vol. 9, no. 1, 2016, p. 21)</w:t>
            </w:r>
          </w:p>
        </w:tc>
      </w:tr>
    </w:tbl>
    <w:p w14:paraId="184B328C" w14:textId="77777777" w:rsidR="00B91932" w:rsidRDefault="00B91932">
      <w:pPr>
        <w:spacing w:before="100" w:after="100"/>
      </w:pPr>
    </w:p>
    <w:p w14:paraId="17DEEF57" w14:textId="77777777" w:rsidR="00B91932" w:rsidRDefault="00000000">
      <w:pPr>
        <w:pStyle w:val="2"/>
        <w:bidi/>
        <w:jc w:val="right"/>
      </w:pPr>
      <w:r>
        <w:t>٥.٢ دعم القاضي البشري وتقليل التحيز</w:t>
      </w:r>
    </w:p>
    <w:p w14:paraId="5E90A536" w14:textId="77777777" w:rsidR="00B91932" w:rsidRDefault="00000000">
      <w:pPr>
        <w:spacing w:before="100" w:after="100" w:line="360" w:lineRule="auto"/>
        <w:ind w:firstLine="360"/>
        <w:jc w:val="right"/>
      </w:pPr>
      <w:r>
        <w:rPr>
          <w:color w:val="000000"/>
        </w:rPr>
        <w:t xml:space="preserve">في الدولة الاستخلافية، يُستخدم الذكاء الاصطناعي لمساعدة القاضي لا لاستبداله. ويُؤكد حلاق أن "الحكم الإسلامي التاريخي الناجح كان قائماً على كفاءة أخلاقية ذاتية متجسِّدة في الفقيه والقاضي"، وهي كفاءة لا تُضخّ من الخارج بخوارزمية، بل تنبثق من داخل الشخصية الأخلاقية المتكاملة </w:t>
      </w:r>
      <w:r>
        <w:rPr>
          <w:color w:val="0A5E5E"/>
          <w:sz w:val="22"/>
          <w:szCs w:val="22"/>
        </w:rPr>
        <w:t>(Hallaq، المرجع السابق، ص. 37–56)</w:t>
      </w:r>
      <w:r>
        <w:rPr>
          <w:color w:val="000000"/>
        </w:rPr>
        <w:t>. لذا فإن توظيف الذكاء الاصطناعي في القضاء الاستخلافي لا بد أن يكون ضمن حدود خدمية: مساعدة القاضي في البحث عن السوابق التصالحية، وتقليل التحيزات اللاواعية عند اتخاذ القرارات الروتينية، مع إبقاء القرار النهائي للإنسان الذي يملك "الحكمة" و"الفراسة".</w:t>
      </w:r>
    </w:p>
    <w:p w14:paraId="6E1EE2D4" w14:textId="77777777" w:rsidR="00B91932" w:rsidRDefault="00000000">
      <w:pPr>
        <w:pStyle w:val="2"/>
        <w:bidi/>
        <w:jc w:val="right"/>
      </w:pPr>
      <w:r>
        <w:t>٥.٣ الشهادة الرقمية وتمكين المظلومين</w:t>
      </w:r>
    </w:p>
    <w:p w14:paraId="31F0D388" w14:textId="77777777" w:rsidR="00B91932" w:rsidRDefault="00000000">
      <w:pPr>
        <w:spacing w:before="100" w:after="100" w:line="360" w:lineRule="auto"/>
        <w:ind w:firstLine="360"/>
        <w:jc w:val="right"/>
      </w:pPr>
      <w:r>
        <w:rPr>
          <w:color w:val="000000"/>
        </w:rPr>
        <w:t>تؤسس الآية الكريمة ﴿لِّتَكُونُوا۟ شُهَدَآءَ عَلَى ٱلنَّاسِ﴾ (سورة الحج: 78) لمفهوم "الشهادة الحضارية"؛ وفي البُعد الرقمي تتجلى هذه الشهادة في: توثيق الانتهاكات وحفظها بصيغ رقمية آمنة، وتمكين المجتمع المدني من مراقبة مؤسسات العدالة، وإتاحة المنصات الرقمية الآمنة لتسهيل الحوار بين الجاني والضحية. هذه التطبيقات تُجسّد المبدأ الاستخلافي القائل إن التكنولوجيا يجب أن تخدم "العمران" لا "الاستهلاك".</w:t>
      </w:r>
    </w:p>
    <w:p w14:paraId="7EEFCD43" w14:textId="77777777" w:rsidR="00B91932" w:rsidRDefault="00B91932">
      <w:pPr>
        <w:pageBreakBefore/>
      </w:pPr>
    </w:p>
    <w:p w14:paraId="50A280C5" w14:textId="77777777" w:rsidR="00B91932" w:rsidRDefault="00000000">
      <w:pPr>
        <w:pStyle w:val="1"/>
        <w:pBdr>
          <w:bottom w:val="single" w:sz="8" w:space="4" w:color="9A7B1A"/>
        </w:pBdr>
        <w:bidi/>
        <w:jc w:val="right"/>
      </w:pPr>
      <w:r>
        <w:t>سادساً: نحو سيادة رقمية استخلافية آليات المقاومة والبدائل الأخلاقية</w:t>
      </w:r>
    </w:p>
    <w:p w14:paraId="0532E1F5" w14:textId="77777777" w:rsidR="00B91932" w:rsidRDefault="00000000">
      <w:pPr>
        <w:pStyle w:val="2"/>
        <w:bidi/>
        <w:jc w:val="right"/>
      </w:pPr>
      <w:r>
        <w:t>٦.١ السيادة الرقمية كشرط للاستخلاف</w:t>
      </w:r>
    </w:p>
    <w:p w14:paraId="0C13260F" w14:textId="77777777" w:rsidR="00B91932" w:rsidRDefault="00000000">
      <w:pPr>
        <w:spacing w:before="100" w:after="100" w:line="360" w:lineRule="auto"/>
        <w:ind w:firstLine="360"/>
        <w:jc w:val="right"/>
      </w:pPr>
      <w:r>
        <w:rPr>
          <w:color w:val="000000"/>
        </w:rPr>
        <w:t xml:space="preserve">تعدّ السيادة الرقمية اليوم امتداداً للسيادة الوطنية بمفهومها التقليدي. يُعرِّفها بولي وتيل (Pohle &amp; Thiel) بأنها "قدرة الدولة أو المجتمع على السيطرة على بنيتهم التحتية الرقمية وبياناتهم وسياساتهم التقنية" </w:t>
      </w:r>
      <w:r>
        <w:rPr>
          <w:color w:val="0A5E5E"/>
          <w:sz w:val="22"/>
          <w:szCs w:val="22"/>
        </w:rPr>
        <w:t>(Pohle &amp; Thiel، المرجع السابق، ص. 2–5)</w:t>
      </w:r>
      <w:r>
        <w:rPr>
          <w:color w:val="000000"/>
        </w:rPr>
        <w:t>. لا يمكن الحديث عن سيادة رقمية دون امتلاك "الأرض الرقمية" التي تُخزَّن عليها البيانات، إذ إن الاعتماد على مراكز بيانات خارج الحدود يعني خضوع البيانات الوطنية لقوانين دول أجنبية، مثل "كلاود آكت" (CLOUD Act – 18 U.S.C. § 2523) الأمريكي. ومن المنظور الاستخلافي، فإن السيادة الرقمية ليست مجرد قضية تقنية أو قانونية، بل هي شرط وجودي لقدرة المجتمع على ممارسة الاستخلاف: إن من لا يملك فضاءه الرقمي لا يملك شرطاً أساسياً من شروط الحرية الحضارية.</w:t>
      </w:r>
    </w:p>
    <w:p w14:paraId="55A7CDD0" w14:textId="77777777" w:rsidR="00B91932" w:rsidRDefault="00000000">
      <w:pPr>
        <w:pStyle w:val="2"/>
        <w:bidi/>
        <w:jc w:val="right"/>
      </w:pPr>
      <w:r>
        <w:t>٦.٢ بناء البدائل الأخلاقية: نموذج "ثورة" (Thaura AI)</w:t>
      </w:r>
    </w:p>
    <w:p w14:paraId="218F7F87" w14:textId="77777777" w:rsidR="00B91932" w:rsidRDefault="00000000">
      <w:pPr>
        <w:spacing w:before="100" w:after="100" w:line="360" w:lineRule="auto"/>
        <w:ind w:firstLine="360"/>
        <w:jc w:val="right"/>
      </w:pPr>
      <w:r>
        <w:rPr>
          <w:color w:val="000000"/>
        </w:rPr>
        <w:t xml:space="preserve">في مواجهة هيمنة عمالقة التقنية، بدأت تظهر مبادرات لبناء بدائل أخلاقية. من أبرزها منصة "ثورة" للذكاء الاصطناعي، التي بناها المهندسان السوريان هاني وسعيد الشهابي اللذان عاشا تجربة التهجير بأنفسهما. تسعى المنصة إلى تقديم "ذكاء اصطناعي للناس لا للشركات ولا للحكومات"، إذ لا تراقب المستخدمين ولا تطلب بيانات شخصية، وتتبنى موقفاً أخلاقياً صريحاً ضد التحيز البنيوي في النماذج الغربية وضد استغلال البيانات </w:t>
      </w:r>
      <w:r>
        <w:rPr>
          <w:color w:val="0A5E5E"/>
          <w:sz w:val="22"/>
          <w:szCs w:val="22"/>
        </w:rPr>
        <w:t>(الجزيرة نت، "ثورة.. ذكاء اصطناعي عربي صممه شابان سوريان يتمرد على عمالقة وادي السيليكون"، 31 ديسمبر 2025)</w:t>
      </w:r>
      <w:r>
        <w:rPr>
          <w:color w:val="000000"/>
        </w:rPr>
        <w:t>. هذه التجربة تمثل نموذجاً لما يمكن أن تكون عليه "المقاومة الرقمية" من منظور استخلافي: بناء بدائل تنبثق من المجتمعات نفسها، تعبر عن قيمها وهويتها، وتخدم مصالحها بدلاً من استغلالها.</w:t>
      </w:r>
    </w:p>
    <w:p w14:paraId="191C2527" w14:textId="77777777" w:rsidR="00B91932" w:rsidRDefault="00000000">
      <w:pPr>
        <w:pStyle w:val="2"/>
        <w:bidi/>
        <w:jc w:val="right"/>
      </w:pPr>
      <w:r>
        <w:t>٦.٣ التربية الرقمية النقدية وتخليق الذات</w:t>
      </w:r>
    </w:p>
    <w:p w14:paraId="67CA0B1A" w14:textId="77777777" w:rsidR="00B91932" w:rsidRDefault="00000000">
      <w:pPr>
        <w:spacing w:before="100" w:after="100" w:line="360" w:lineRule="auto"/>
        <w:ind w:firstLine="360"/>
        <w:jc w:val="right"/>
      </w:pPr>
      <w:r>
        <w:rPr>
          <w:color w:val="000000"/>
        </w:rPr>
        <w:t xml:space="preserve">أحد أهم آليات المقاومة في المنظور الاستخلافي هو "التربية الرقمية النقدية" (Critical Digital Literacy). يُحدد بانغرازيو وسيفتون-غرين (Pangrazio &amp; Sefton-Green) إطاراً لهذا المفهوم يتجاوز مجرد "الكفاءة التقنية" إلى تطوير قدرة المتعلم على "تحليل البنى الاجتماعية والسياسية والاقتصادية للتقنيات الرقمية وتقييمها نقدياً" </w:t>
      </w:r>
      <w:r>
        <w:rPr>
          <w:color w:val="0A5E5E"/>
          <w:sz w:val="22"/>
          <w:szCs w:val="22"/>
        </w:rPr>
        <w:t>(Pangrazio &amp; Sefton-Green, "Critical Digital Literacy: Technology in Education Beyond Issues of User Competence and Labour-Market Qualifications", TripleC, vol. 19, no. 1, 2021, pp. 5–11)</w:t>
      </w:r>
      <w:r>
        <w:rPr>
          <w:color w:val="000000"/>
        </w:rPr>
        <w:t>. وفي السياق الاستخلافي، هذه التربية تهدف إلى تمكين الأفراد من استخدام التكنولوجيا بوعي، وفهم آليات التلاعب الخوارزمي، وحماية انتباههم ووقتهم، وبناء ذواتهم وفق برنامج TLRT الذي يُصعّد بالنفس من مستوى "الأمارة بالسوء" إلى مستوى "المطمئنة" عبر الجسر السلوكي والكينتسوغي النفسي.</w:t>
      </w:r>
    </w:p>
    <w:p w14:paraId="4D18DEA7" w14:textId="77777777" w:rsidR="00B91932" w:rsidRDefault="00B91932">
      <w:pPr>
        <w:pageBreakBefore/>
      </w:pPr>
    </w:p>
    <w:p w14:paraId="4E229052" w14:textId="77777777" w:rsidR="00B91932" w:rsidRDefault="00000000">
      <w:pPr>
        <w:pStyle w:val="1"/>
        <w:pBdr>
          <w:bottom w:val="single" w:sz="8" w:space="4" w:color="9A7B1A"/>
        </w:pBdr>
        <w:bidi/>
        <w:jc w:val="right"/>
      </w:pPr>
      <w:r>
        <w:t>سابعاً: تركيب نهائي الاستخلاف الرقمي كإطار متكامل لحماية الكرامة الإنسانية</w:t>
      </w:r>
    </w:p>
    <w:p w14:paraId="1F0789F6" w14:textId="77777777" w:rsidR="00B91932" w:rsidRDefault="00000000">
      <w:pPr>
        <w:pStyle w:val="2"/>
        <w:bidi/>
        <w:jc w:val="right"/>
      </w:pPr>
      <w:r>
        <w:t>٧.١ توحيد الرؤية: الذكاء الاصطناعي بين التسخير والابتلاء</w:t>
      </w:r>
    </w:p>
    <w:p w14:paraId="7F44529E" w14:textId="77777777" w:rsidR="00B91932" w:rsidRDefault="00000000">
      <w:pPr>
        <w:spacing w:before="100" w:after="100" w:line="360" w:lineRule="auto"/>
        <w:ind w:firstLine="360"/>
        <w:jc w:val="right"/>
      </w:pPr>
      <w:r>
        <w:rPr>
          <w:color w:val="000000"/>
        </w:rPr>
        <w:t xml:space="preserve">بعد هذه الرحلة التحليلية في أبعاد الاستعمار الرقمي واقتصاد الانتباه وفقه الآلة، يمكن صياغة رؤية متكاملة لموقع الذكاء الاصطناعي في المنظور الاستخلافي. هذه الرؤية تنطلق من مبدأ أساسي: الذكاء الاصطناعي ليس مجرد أداة تقنية محايدة، بل هو "ابتلاء حضاري" يكشف حقيقة الإنسان ومدى التزامه بالأمانة الوجودية. ويرى هايدغر في تأمله لجوهر التكنولوجيا أنها ليست مجرد أداة محايدة، بل هي "طريقة في كشف الوجود" (Mode of Revealing)، وأن خطرها الحقيقي يكمن في "هيمنة التفكير الحسابي" (das rechnende Denken) على الوجود الإنساني، مما يُحوِّل الإنسان نفسه إلى "مورد قابل للاستغلال" </w:t>
      </w:r>
      <w:r>
        <w:rPr>
          <w:color w:val="0A5E5E"/>
          <w:sz w:val="22"/>
          <w:szCs w:val="22"/>
        </w:rPr>
        <w:t>(Heidegger, The Question Concerning Technology and Other Essays, trans. Lovitt, Harper &amp; Row, New York, 1977, pp. 3–35)</w:t>
      </w:r>
      <w:r>
        <w:rPr>
          <w:color w:val="000000"/>
        </w:rPr>
        <w:t>. هذا التشخيص الهايدغري ينسجم مع ما تحذر منه الأطروحة الاستخلافية من خطر أن يتحول الخليفة إلى مجرد "مستهلك بيانات".</w:t>
      </w:r>
    </w:p>
    <w:p w14:paraId="7B2276B3" w14:textId="77777777" w:rsidR="00B91932" w:rsidRDefault="00000000">
      <w:pPr>
        <w:pStyle w:val="2"/>
        <w:bidi/>
        <w:jc w:val="right"/>
      </w:pPr>
      <w:r>
        <w:t>٧.٢ مبادئ الاستخلاف الرقمي</w:t>
      </w:r>
    </w:p>
    <w:p w14:paraId="7430A23E" w14:textId="77777777" w:rsidR="00B91932" w:rsidRDefault="00000000">
      <w:pPr>
        <w:spacing w:before="100" w:after="100" w:line="360" w:lineRule="auto"/>
        <w:ind w:firstLine="360"/>
        <w:jc w:val="right"/>
      </w:pPr>
      <w:r>
        <w:rPr>
          <w:color w:val="000000"/>
        </w:rPr>
        <w:t>في ضوء هذا التحليل، تتبلور خمسة مبادئ حاكمة للاستخلاف الرقمي:</w:t>
      </w:r>
    </w:p>
    <w:p w14:paraId="08CD100D" w14:textId="77777777" w:rsidR="00B91932" w:rsidRDefault="00000000">
      <w:pPr>
        <w:pStyle w:val="a4"/>
        <w:numPr>
          <w:ilvl w:val="0"/>
          <w:numId w:val="4"/>
        </w:numPr>
        <w:spacing w:before="80" w:after="80" w:line="340" w:lineRule="auto"/>
        <w:jc w:val="right"/>
      </w:pPr>
      <w:r>
        <w:rPr>
          <w:color w:val="000000"/>
        </w:rPr>
        <w:t>حماية سيادة الانتباه: انتباه الإنسان أثمن موارده وأخطر أماناته في عصر المعلومات. الدولة الاستخلافية مطالبة بحمايته عبر التشريعات الحمائية والتربية الرقمية النقدية.</w:t>
      </w:r>
    </w:p>
    <w:p w14:paraId="3DED6903" w14:textId="77777777" w:rsidR="00B91932" w:rsidRDefault="00000000">
      <w:pPr>
        <w:pStyle w:val="a4"/>
        <w:numPr>
          <w:ilvl w:val="0"/>
          <w:numId w:val="4"/>
        </w:numPr>
        <w:spacing w:before="80" w:after="80" w:line="340" w:lineRule="auto"/>
        <w:jc w:val="right"/>
      </w:pPr>
      <w:r>
        <w:rPr>
          <w:color w:val="000000"/>
        </w:rPr>
        <w:t>البيانات كأمانة لا كسلعة: بيانات المواطن ملكٌ له لا للشركات ولا للدولة (إلا في أضيق الحدود وبضوابط قضائية صارمة)، وهي جزء من كرامته المحرَّمة.</w:t>
      </w:r>
    </w:p>
    <w:p w14:paraId="57E26AF6" w14:textId="77777777" w:rsidR="00B91932" w:rsidRDefault="00000000">
      <w:pPr>
        <w:pStyle w:val="a4"/>
        <w:numPr>
          <w:ilvl w:val="0"/>
          <w:numId w:val="4"/>
        </w:numPr>
        <w:spacing w:before="80" w:after="80" w:line="340" w:lineRule="auto"/>
        <w:jc w:val="right"/>
      </w:pPr>
      <w:r>
        <w:rPr>
          <w:color w:val="000000"/>
        </w:rPr>
        <w:t>التكنولوجيا في خدمة العمران لا الاستهلاك: توجيه التقنية أخلاقياً لخدمة التعليم والصحة والزراعة المستدامة والطاقة المتجددة، لا لخدمة الإدمان والاستهلاك.</w:t>
      </w:r>
    </w:p>
    <w:p w14:paraId="242E3529" w14:textId="77777777" w:rsidR="00B91932" w:rsidRDefault="00000000">
      <w:pPr>
        <w:pStyle w:val="a4"/>
        <w:numPr>
          <w:ilvl w:val="0"/>
          <w:numId w:val="4"/>
        </w:numPr>
        <w:spacing w:before="80" w:after="80" w:line="340" w:lineRule="auto"/>
        <w:jc w:val="right"/>
      </w:pPr>
      <w:r>
        <w:rPr>
          <w:color w:val="000000"/>
        </w:rPr>
        <w:t>الفضاء الرقمي كفضاء عام أخلاقي: الفضاء الإلكتروني ليس عالماً افتراضياً خارج نطاق القيم والقوانين، بل هو امتداد حقيقي للفضاء العام تنطبق عليه حرمة الأعراض وحظر الكذب والتضليل وصون الخصوصية.</w:t>
      </w:r>
    </w:p>
    <w:p w14:paraId="1BBA3EE9" w14:textId="77777777" w:rsidR="00B91932" w:rsidRDefault="00000000">
      <w:pPr>
        <w:pStyle w:val="a4"/>
        <w:numPr>
          <w:ilvl w:val="0"/>
          <w:numId w:val="4"/>
        </w:numPr>
        <w:spacing w:before="80" w:after="80" w:line="340" w:lineRule="auto"/>
        <w:jc w:val="right"/>
      </w:pPr>
      <w:r>
        <w:rPr>
          <w:color w:val="000000"/>
        </w:rPr>
        <w:t>الشهادة الرقمية الحضارية: تحويل التقنية إلى أداة لتوثيق العدل ونشره وتمكين المظلومين من رفع أصواتهم.</w:t>
      </w:r>
    </w:p>
    <w:p w14:paraId="530C4264" w14:textId="77777777" w:rsidR="00B91932" w:rsidRDefault="00B91932">
      <w:pPr>
        <w:spacing w:before="80" w:after="80"/>
      </w:pPr>
    </w:p>
    <w:p w14:paraId="185BD6B0" w14:textId="77777777" w:rsidR="00B91932" w:rsidRDefault="00000000">
      <w:pPr>
        <w:pStyle w:val="2"/>
        <w:bidi/>
        <w:jc w:val="right"/>
      </w:pPr>
      <w:r>
        <w:t>٧.٣ الخريطة الإجمالية: سبعة أبعاد للاستخلاف الرقمي</w:t>
      </w:r>
    </w:p>
    <w:p w14:paraId="1647E80B" w14:textId="77777777" w:rsidR="00B91932" w:rsidRDefault="00B91932">
      <w:pPr>
        <w:spacing w:before="80" w:after="80"/>
      </w:pP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00"/>
        <w:gridCol w:w="4600"/>
      </w:tblGrid>
      <w:tr w:rsidR="00B91932" w14:paraId="5793BFE8" w14:textId="77777777">
        <w:tblPrEx>
          <w:tblCellMar>
            <w:top w:w="0" w:type="dxa"/>
            <w:bottom w:w="0" w:type="dxa"/>
          </w:tblCellMar>
        </w:tblPrEx>
        <w:trPr>
          <w:tblHeader/>
        </w:trPr>
        <w:tc>
          <w:tcPr>
            <w:tcW w:w="4600" w:type="dxa"/>
            <w:tcBorders>
              <w:top w:val="single" w:sz="4" w:space="0" w:color="CCCCCC"/>
              <w:left w:val="single" w:sz="4" w:space="0" w:color="CCCCCC"/>
              <w:bottom w:val="single" w:sz="4" w:space="0" w:color="CCCCCC"/>
              <w:right w:val="single" w:sz="4" w:space="0" w:color="CCCCCC"/>
            </w:tcBorders>
            <w:shd w:val="clear" w:color="auto" w:fill="0D1B33"/>
            <w:tcMar>
              <w:top w:w="100" w:type="dxa"/>
              <w:left w:w="140" w:type="dxa"/>
              <w:bottom w:w="100" w:type="dxa"/>
              <w:right w:w="140" w:type="dxa"/>
            </w:tcMar>
          </w:tcPr>
          <w:p w14:paraId="5F9DBA1F" w14:textId="77777777" w:rsidR="00B91932" w:rsidRDefault="00000000">
            <w:pPr>
              <w:jc w:val="center"/>
            </w:pPr>
            <w:r>
              <w:rPr>
                <w:b/>
                <w:bCs/>
                <w:color w:val="FFFFFF"/>
                <w:sz w:val="24"/>
                <w:szCs w:val="24"/>
              </w:rPr>
              <w:t>البُعد</w:t>
            </w:r>
          </w:p>
        </w:tc>
        <w:tc>
          <w:tcPr>
            <w:tcW w:w="4600" w:type="dxa"/>
            <w:tcBorders>
              <w:top w:val="single" w:sz="4" w:space="0" w:color="CCCCCC"/>
              <w:left w:val="single" w:sz="4" w:space="0" w:color="CCCCCC"/>
              <w:bottom w:val="single" w:sz="4" w:space="0" w:color="CCCCCC"/>
              <w:right w:val="single" w:sz="4" w:space="0" w:color="CCCCCC"/>
            </w:tcBorders>
            <w:shd w:val="clear" w:color="auto" w:fill="0D1B33"/>
            <w:tcMar>
              <w:top w:w="100" w:type="dxa"/>
              <w:left w:w="140" w:type="dxa"/>
              <w:bottom w:w="100" w:type="dxa"/>
              <w:right w:w="140" w:type="dxa"/>
            </w:tcMar>
          </w:tcPr>
          <w:p w14:paraId="40FA2615" w14:textId="77777777" w:rsidR="00B91932" w:rsidRDefault="00000000">
            <w:pPr>
              <w:jc w:val="center"/>
            </w:pPr>
            <w:r>
              <w:rPr>
                <w:b/>
                <w:bCs/>
                <w:color w:val="FFFFFF"/>
                <w:sz w:val="24"/>
                <w:szCs w:val="24"/>
              </w:rPr>
              <w:t>المضمون في المنظور الاستخلافي</w:t>
            </w:r>
          </w:p>
        </w:tc>
      </w:tr>
      <w:tr w:rsidR="00B91932" w14:paraId="29894A3F" w14:textId="77777777">
        <w:tblPrEx>
          <w:tblCellMar>
            <w:top w:w="0" w:type="dxa"/>
            <w:bottom w:w="0" w:type="dxa"/>
          </w:tblCellMar>
        </w:tblPrEx>
        <w:tc>
          <w:tcPr>
            <w:tcW w:w="4600" w:type="dxa"/>
            <w:tcBorders>
              <w:top w:val="single" w:sz="4" w:space="0" w:color="CCCCCC"/>
              <w:left w:val="single" w:sz="4" w:space="0" w:color="CCCCCC"/>
              <w:bottom w:val="single" w:sz="4" w:space="0" w:color="CCCCCC"/>
              <w:right w:val="single" w:sz="4" w:space="0" w:color="CCCCCC"/>
            </w:tcBorders>
            <w:shd w:val="clear" w:color="auto" w:fill="F7F9FB"/>
            <w:tcMar>
              <w:top w:w="90" w:type="dxa"/>
              <w:left w:w="120" w:type="dxa"/>
              <w:bottom w:w="90" w:type="dxa"/>
              <w:right w:w="120" w:type="dxa"/>
            </w:tcMar>
          </w:tcPr>
          <w:p w14:paraId="5A35FDAC" w14:textId="77777777" w:rsidR="00B91932" w:rsidRDefault="00000000">
            <w:pPr>
              <w:jc w:val="right"/>
            </w:pPr>
            <w:r>
              <w:rPr>
                <w:color w:val="0D1B33"/>
                <w:sz w:val="23"/>
                <w:szCs w:val="23"/>
              </w:rPr>
              <w:t>المرجعية</w:t>
            </w:r>
          </w:p>
        </w:tc>
        <w:tc>
          <w:tcPr>
            <w:tcW w:w="4600" w:type="dxa"/>
            <w:tcBorders>
              <w:top w:val="single" w:sz="4" w:space="0" w:color="CCCCCC"/>
              <w:left w:val="single" w:sz="4" w:space="0" w:color="CCCCCC"/>
              <w:bottom w:val="single" w:sz="4" w:space="0" w:color="CCCCCC"/>
              <w:right w:val="single" w:sz="4" w:space="0" w:color="CCCCCC"/>
            </w:tcBorders>
            <w:shd w:val="clear" w:color="auto" w:fill="F7F9FB"/>
            <w:tcMar>
              <w:top w:w="90" w:type="dxa"/>
              <w:left w:w="120" w:type="dxa"/>
              <w:bottom w:w="90" w:type="dxa"/>
              <w:right w:w="120" w:type="dxa"/>
            </w:tcMar>
          </w:tcPr>
          <w:p w14:paraId="645199E1" w14:textId="77777777" w:rsidR="00B91932" w:rsidRDefault="00000000">
            <w:pPr>
              <w:jc w:val="right"/>
            </w:pPr>
            <w:r>
              <w:rPr>
                <w:color w:val="0D1B33"/>
                <w:sz w:val="23"/>
                <w:szCs w:val="23"/>
              </w:rPr>
              <w:t>الإرادة الإلهية الأخلاقية المكتشفة عبر الاجتهاد المتجدد، تحدد معايير الاستخدام المسؤول للتكنولوجيا</w:t>
            </w:r>
          </w:p>
        </w:tc>
      </w:tr>
      <w:tr w:rsidR="00B91932" w14:paraId="29DFBD02" w14:textId="77777777">
        <w:tblPrEx>
          <w:tblCellMar>
            <w:top w:w="0" w:type="dxa"/>
            <w:bottom w:w="0" w:type="dxa"/>
          </w:tblCellMar>
        </w:tblPrEx>
        <w:tc>
          <w:tcPr>
            <w:tcW w:w="4600" w:type="dxa"/>
            <w:tcBorders>
              <w:top w:val="single" w:sz="4" w:space="0" w:color="CCCCCC"/>
              <w:left w:val="single" w:sz="4" w:space="0" w:color="CCCCCC"/>
              <w:bottom w:val="single" w:sz="4" w:space="0" w:color="CCCCCC"/>
              <w:right w:val="single" w:sz="4" w:space="0" w:color="CCCCCC"/>
            </w:tcBorders>
            <w:shd w:val="clear" w:color="auto" w:fill="FFFFFF"/>
            <w:tcMar>
              <w:top w:w="90" w:type="dxa"/>
              <w:left w:w="120" w:type="dxa"/>
              <w:bottom w:w="90" w:type="dxa"/>
              <w:right w:w="120" w:type="dxa"/>
            </w:tcMar>
          </w:tcPr>
          <w:p w14:paraId="12F20FE2" w14:textId="77777777" w:rsidR="00B91932" w:rsidRDefault="00000000">
            <w:pPr>
              <w:jc w:val="right"/>
            </w:pPr>
            <w:r>
              <w:rPr>
                <w:color w:val="0D1B33"/>
                <w:sz w:val="23"/>
                <w:szCs w:val="23"/>
              </w:rPr>
              <w:t>الغاية</w:t>
            </w:r>
          </w:p>
        </w:tc>
        <w:tc>
          <w:tcPr>
            <w:tcW w:w="4600" w:type="dxa"/>
            <w:tcBorders>
              <w:top w:val="single" w:sz="4" w:space="0" w:color="CCCCCC"/>
              <w:left w:val="single" w:sz="4" w:space="0" w:color="CCCCCC"/>
              <w:bottom w:val="single" w:sz="4" w:space="0" w:color="CCCCCC"/>
              <w:right w:val="single" w:sz="4" w:space="0" w:color="CCCCCC"/>
            </w:tcBorders>
            <w:shd w:val="clear" w:color="auto" w:fill="FFFFFF"/>
            <w:tcMar>
              <w:top w:w="90" w:type="dxa"/>
              <w:left w:w="120" w:type="dxa"/>
              <w:bottom w:w="90" w:type="dxa"/>
              <w:right w:w="120" w:type="dxa"/>
            </w:tcMar>
          </w:tcPr>
          <w:p w14:paraId="6B57FF08" w14:textId="77777777" w:rsidR="00B91932" w:rsidRDefault="00000000">
            <w:pPr>
              <w:jc w:val="right"/>
            </w:pPr>
            <w:r>
              <w:rPr>
                <w:color w:val="0D1B33"/>
                <w:sz w:val="23"/>
                <w:szCs w:val="23"/>
              </w:rPr>
              <w:t>تمكين الإنسان من أداء وظيفة الاستخلاف، لا إخضاعه للتحكم الخوارزمي</w:t>
            </w:r>
          </w:p>
        </w:tc>
      </w:tr>
      <w:tr w:rsidR="00B91932" w14:paraId="7F095637" w14:textId="77777777">
        <w:tblPrEx>
          <w:tblCellMar>
            <w:top w:w="0" w:type="dxa"/>
            <w:bottom w:w="0" w:type="dxa"/>
          </w:tblCellMar>
        </w:tblPrEx>
        <w:tc>
          <w:tcPr>
            <w:tcW w:w="4600" w:type="dxa"/>
            <w:tcBorders>
              <w:top w:val="single" w:sz="4" w:space="0" w:color="CCCCCC"/>
              <w:left w:val="single" w:sz="4" w:space="0" w:color="CCCCCC"/>
              <w:bottom w:val="single" w:sz="4" w:space="0" w:color="CCCCCC"/>
              <w:right w:val="single" w:sz="4" w:space="0" w:color="CCCCCC"/>
            </w:tcBorders>
            <w:shd w:val="clear" w:color="auto" w:fill="F7F9FB"/>
            <w:tcMar>
              <w:top w:w="90" w:type="dxa"/>
              <w:left w:w="120" w:type="dxa"/>
              <w:bottom w:w="90" w:type="dxa"/>
              <w:right w:w="120" w:type="dxa"/>
            </w:tcMar>
          </w:tcPr>
          <w:p w14:paraId="0762CD2C" w14:textId="77777777" w:rsidR="00B91932" w:rsidRDefault="00000000">
            <w:pPr>
              <w:jc w:val="right"/>
            </w:pPr>
            <w:r>
              <w:rPr>
                <w:color w:val="0D1B33"/>
                <w:sz w:val="23"/>
                <w:szCs w:val="23"/>
              </w:rPr>
              <w:t>السيادة</w:t>
            </w:r>
          </w:p>
        </w:tc>
        <w:tc>
          <w:tcPr>
            <w:tcW w:w="4600" w:type="dxa"/>
            <w:tcBorders>
              <w:top w:val="single" w:sz="4" w:space="0" w:color="CCCCCC"/>
              <w:left w:val="single" w:sz="4" w:space="0" w:color="CCCCCC"/>
              <w:bottom w:val="single" w:sz="4" w:space="0" w:color="CCCCCC"/>
              <w:right w:val="single" w:sz="4" w:space="0" w:color="CCCCCC"/>
            </w:tcBorders>
            <w:shd w:val="clear" w:color="auto" w:fill="F7F9FB"/>
            <w:tcMar>
              <w:top w:w="90" w:type="dxa"/>
              <w:left w:w="120" w:type="dxa"/>
              <w:bottom w:w="90" w:type="dxa"/>
              <w:right w:w="120" w:type="dxa"/>
            </w:tcMar>
          </w:tcPr>
          <w:p w14:paraId="7465C37C" w14:textId="77777777" w:rsidR="00B91932" w:rsidRDefault="00000000">
            <w:pPr>
              <w:jc w:val="right"/>
            </w:pPr>
            <w:r>
              <w:rPr>
                <w:color w:val="0D1B33"/>
                <w:sz w:val="23"/>
                <w:szCs w:val="23"/>
              </w:rPr>
              <w:t>سيادة رقمية أخلاقية تحمي البيانات والبنية التحتية والانتباه من الاستعمار الرقمي</w:t>
            </w:r>
          </w:p>
        </w:tc>
      </w:tr>
      <w:tr w:rsidR="00B91932" w14:paraId="0B538700" w14:textId="77777777">
        <w:tblPrEx>
          <w:tblCellMar>
            <w:top w:w="0" w:type="dxa"/>
            <w:bottom w:w="0" w:type="dxa"/>
          </w:tblCellMar>
        </w:tblPrEx>
        <w:tc>
          <w:tcPr>
            <w:tcW w:w="4600" w:type="dxa"/>
            <w:tcBorders>
              <w:top w:val="single" w:sz="4" w:space="0" w:color="CCCCCC"/>
              <w:left w:val="single" w:sz="4" w:space="0" w:color="CCCCCC"/>
              <w:bottom w:val="single" w:sz="4" w:space="0" w:color="CCCCCC"/>
              <w:right w:val="single" w:sz="4" w:space="0" w:color="CCCCCC"/>
            </w:tcBorders>
            <w:shd w:val="clear" w:color="auto" w:fill="FFFFFF"/>
            <w:tcMar>
              <w:top w:w="90" w:type="dxa"/>
              <w:left w:w="120" w:type="dxa"/>
              <w:bottom w:w="90" w:type="dxa"/>
              <w:right w:w="120" w:type="dxa"/>
            </w:tcMar>
          </w:tcPr>
          <w:p w14:paraId="243D8B05" w14:textId="77777777" w:rsidR="00B91932" w:rsidRDefault="00000000">
            <w:pPr>
              <w:jc w:val="right"/>
            </w:pPr>
            <w:r>
              <w:rPr>
                <w:color w:val="0D1B33"/>
                <w:sz w:val="23"/>
                <w:szCs w:val="23"/>
              </w:rPr>
              <w:t>الإنسان</w:t>
            </w:r>
          </w:p>
        </w:tc>
        <w:tc>
          <w:tcPr>
            <w:tcW w:w="4600" w:type="dxa"/>
            <w:tcBorders>
              <w:top w:val="single" w:sz="4" w:space="0" w:color="CCCCCC"/>
              <w:left w:val="single" w:sz="4" w:space="0" w:color="CCCCCC"/>
              <w:bottom w:val="single" w:sz="4" w:space="0" w:color="CCCCCC"/>
              <w:right w:val="single" w:sz="4" w:space="0" w:color="CCCCCC"/>
            </w:tcBorders>
            <w:shd w:val="clear" w:color="auto" w:fill="FFFFFF"/>
            <w:tcMar>
              <w:top w:w="90" w:type="dxa"/>
              <w:left w:w="120" w:type="dxa"/>
              <w:bottom w:w="90" w:type="dxa"/>
              <w:right w:w="120" w:type="dxa"/>
            </w:tcMar>
          </w:tcPr>
          <w:p w14:paraId="680B0F36" w14:textId="77777777" w:rsidR="00B91932" w:rsidRDefault="00000000">
            <w:pPr>
              <w:jc w:val="right"/>
            </w:pPr>
            <w:r>
              <w:rPr>
                <w:color w:val="0D1B33"/>
                <w:sz w:val="23"/>
                <w:szCs w:val="23"/>
              </w:rPr>
              <w:t>خليفة مؤتمن، حر، مسؤول، مكرَّم فطرياً، لا مجرد "مستخدم" أو "منتج بيانات"</w:t>
            </w:r>
          </w:p>
        </w:tc>
      </w:tr>
      <w:tr w:rsidR="00B91932" w14:paraId="6E25075C" w14:textId="77777777">
        <w:tblPrEx>
          <w:tblCellMar>
            <w:top w:w="0" w:type="dxa"/>
            <w:bottom w:w="0" w:type="dxa"/>
          </w:tblCellMar>
        </w:tblPrEx>
        <w:tc>
          <w:tcPr>
            <w:tcW w:w="4600" w:type="dxa"/>
            <w:tcBorders>
              <w:top w:val="single" w:sz="4" w:space="0" w:color="CCCCCC"/>
              <w:left w:val="single" w:sz="4" w:space="0" w:color="CCCCCC"/>
              <w:bottom w:val="single" w:sz="4" w:space="0" w:color="CCCCCC"/>
              <w:right w:val="single" w:sz="4" w:space="0" w:color="CCCCCC"/>
            </w:tcBorders>
            <w:shd w:val="clear" w:color="auto" w:fill="F7F9FB"/>
            <w:tcMar>
              <w:top w:w="90" w:type="dxa"/>
              <w:left w:w="120" w:type="dxa"/>
              <w:bottom w:w="90" w:type="dxa"/>
              <w:right w:w="120" w:type="dxa"/>
            </w:tcMar>
          </w:tcPr>
          <w:p w14:paraId="1E6ED28F" w14:textId="77777777" w:rsidR="00B91932" w:rsidRDefault="00000000">
            <w:pPr>
              <w:jc w:val="right"/>
            </w:pPr>
            <w:r>
              <w:rPr>
                <w:color w:val="0D1B33"/>
                <w:sz w:val="23"/>
                <w:szCs w:val="23"/>
              </w:rPr>
              <w:t>التكنولوجيا</w:t>
            </w:r>
          </w:p>
        </w:tc>
        <w:tc>
          <w:tcPr>
            <w:tcW w:w="4600" w:type="dxa"/>
            <w:tcBorders>
              <w:top w:val="single" w:sz="4" w:space="0" w:color="CCCCCC"/>
              <w:left w:val="single" w:sz="4" w:space="0" w:color="CCCCCC"/>
              <w:bottom w:val="single" w:sz="4" w:space="0" w:color="CCCCCC"/>
              <w:right w:val="single" w:sz="4" w:space="0" w:color="CCCCCC"/>
            </w:tcBorders>
            <w:shd w:val="clear" w:color="auto" w:fill="F7F9FB"/>
            <w:tcMar>
              <w:top w:w="90" w:type="dxa"/>
              <w:left w:w="120" w:type="dxa"/>
              <w:bottom w:w="90" w:type="dxa"/>
              <w:right w:w="120" w:type="dxa"/>
            </w:tcMar>
          </w:tcPr>
          <w:p w14:paraId="1C907D56" w14:textId="77777777" w:rsidR="00B91932" w:rsidRDefault="00000000">
            <w:pPr>
              <w:jc w:val="right"/>
            </w:pPr>
            <w:r>
              <w:rPr>
                <w:color w:val="0D1B33"/>
                <w:sz w:val="23"/>
                <w:szCs w:val="23"/>
              </w:rPr>
              <w:t>أداة تسخير لخدمة العمران والعدل والإحسان، لا سيدة على الإنسان ولا بديل عن حكمته</w:t>
            </w:r>
          </w:p>
        </w:tc>
      </w:tr>
      <w:tr w:rsidR="00B91932" w14:paraId="19BDEEE1" w14:textId="77777777">
        <w:tblPrEx>
          <w:tblCellMar>
            <w:top w:w="0" w:type="dxa"/>
            <w:bottom w:w="0" w:type="dxa"/>
          </w:tblCellMar>
        </w:tblPrEx>
        <w:tc>
          <w:tcPr>
            <w:tcW w:w="4600" w:type="dxa"/>
            <w:tcBorders>
              <w:top w:val="single" w:sz="4" w:space="0" w:color="CCCCCC"/>
              <w:left w:val="single" w:sz="4" w:space="0" w:color="CCCCCC"/>
              <w:bottom w:val="single" w:sz="4" w:space="0" w:color="CCCCCC"/>
              <w:right w:val="single" w:sz="4" w:space="0" w:color="CCCCCC"/>
            </w:tcBorders>
            <w:shd w:val="clear" w:color="auto" w:fill="FFFFFF"/>
            <w:tcMar>
              <w:top w:w="90" w:type="dxa"/>
              <w:left w:w="120" w:type="dxa"/>
              <w:bottom w:w="90" w:type="dxa"/>
              <w:right w:w="120" w:type="dxa"/>
            </w:tcMar>
          </w:tcPr>
          <w:p w14:paraId="1D983A54" w14:textId="77777777" w:rsidR="00B91932" w:rsidRDefault="00000000">
            <w:pPr>
              <w:jc w:val="right"/>
            </w:pPr>
            <w:r>
              <w:rPr>
                <w:color w:val="0D1B33"/>
                <w:sz w:val="23"/>
                <w:szCs w:val="23"/>
              </w:rPr>
              <w:t>الآلية</w:t>
            </w:r>
          </w:p>
        </w:tc>
        <w:tc>
          <w:tcPr>
            <w:tcW w:w="4600" w:type="dxa"/>
            <w:tcBorders>
              <w:top w:val="single" w:sz="4" w:space="0" w:color="CCCCCC"/>
              <w:left w:val="single" w:sz="4" w:space="0" w:color="CCCCCC"/>
              <w:bottom w:val="single" w:sz="4" w:space="0" w:color="CCCCCC"/>
              <w:right w:val="single" w:sz="4" w:space="0" w:color="CCCCCC"/>
            </w:tcBorders>
            <w:shd w:val="clear" w:color="auto" w:fill="FFFFFF"/>
            <w:tcMar>
              <w:top w:w="90" w:type="dxa"/>
              <w:left w:w="120" w:type="dxa"/>
              <w:bottom w:w="90" w:type="dxa"/>
              <w:right w:w="120" w:type="dxa"/>
            </w:tcMar>
          </w:tcPr>
          <w:p w14:paraId="74025D30" w14:textId="77777777" w:rsidR="00B91932" w:rsidRDefault="00000000">
            <w:pPr>
              <w:jc w:val="right"/>
            </w:pPr>
            <w:r>
              <w:rPr>
                <w:color w:val="0D1B33"/>
                <w:sz w:val="23"/>
                <w:szCs w:val="23"/>
              </w:rPr>
              <w:t>تخليق الذات (TLRT) + تشريعات حمائية + بناء بدائل أخلاقية</w:t>
            </w:r>
          </w:p>
        </w:tc>
      </w:tr>
      <w:tr w:rsidR="00B91932" w14:paraId="021210F9" w14:textId="77777777">
        <w:tblPrEx>
          <w:tblCellMar>
            <w:top w:w="0" w:type="dxa"/>
            <w:bottom w:w="0" w:type="dxa"/>
          </w:tblCellMar>
        </w:tblPrEx>
        <w:tc>
          <w:tcPr>
            <w:tcW w:w="4600" w:type="dxa"/>
            <w:tcBorders>
              <w:top w:val="single" w:sz="4" w:space="0" w:color="CCCCCC"/>
              <w:left w:val="single" w:sz="4" w:space="0" w:color="CCCCCC"/>
              <w:bottom w:val="single" w:sz="4" w:space="0" w:color="CCCCCC"/>
              <w:right w:val="single" w:sz="4" w:space="0" w:color="CCCCCC"/>
            </w:tcBorders>
            <w:shd w:val="clear" w:color="auto" w:fill="F7F9FB"/>
            <w:tcMar>
              <w:top w:w="90" w:type="dxa"/>
              <w:left w:w="120" w:type="dxa"/>
              <w:bottom w:w="90" w:type="dxa"/>
              <w:right w:w="120" w:type="dxa"/>
            </w:tcMar>
          </w:tcPr>
          <w:p w14:paraId="2681EB8E" w14:textId="77777777" w:rsidR="00B91932" w:rsidRDefault="00000000">
            <w:pPr>
              <w:jc w:val="right"/>
            </w:pPr>
            <w:r>
              <w:rPr>
                <w:color w:val="0D1B33"/>
                <w:sz w:val="23"/>
                <w:szCs w:val="23"/>
              </w:rPr>
              <w:t>المقياس</w:t>
            </w:r>
          </w:p>
        </w:tc>
        <w:tc>
          <w:tcPr>
            <w:tcW w:w="4600" w:type="dxa"/>
            <w:tcBorders>
              <w:top w:val="single" w:sz="4" w:space="0" w:color="CCCCCC"/>
              <w:left w:val="single" w:sz="4" w:space="0" w:color="CCCCCC"/>
              <w:bottom w:val="single" w:sz="4" w:space="0" w:color="CCCCCC"/>
              <w:right w:val="single" w:sz="4" w:space="0" w:color="CCCCCC"/>
            </w:tcBorders>
            <w:shd w:val="clear" w:color="auto" w:fill="F7F9FB"/>
            <w:tcMar>
              <w:top w:w="90" w:type="dxa"/>
              <w:left w:w="120" w:type="dxa"/>
              <w:bottom w:w="90" w:type="dxa"/>
              <w:right w:w="120" w:type="dxa"/>
            </w:tcMar>
          </w:tcPr>
          <w:p w14:paraId="61367ACE" w14:textId="77777777" w:rsidR="00B91932" w:rsidRDefault="00000000">
            <w:pPr>
              <w:jc w:val="right"/>
            </w:pPr>
            <w:r>
              <w:rPr>
                <w:color w:val="0D1B33"/>
                <w:sz w:val="23"/>
                <w:szCs w:val="23"/>
              </w:rPr>
              <w:t>مدى مساهمة التكنولوجيا في تحقيق الحياة الطيبة ورفع مستوى النفوس من الأمارة إلى المطمئنة</w:t>
            </w:r>
          </w:p>
        </w:tc>
      </w:tr>
    </w:tbl>
    <w:p w14:paraId="0A21D5A9" w14:textId="77777777" w:rsidR="00B91932" w:rsidRDefault="00B91932">
      <w:pPr>
        <w:spacing w:before="100" w:after="100"/>
      </w:pPr>
    </w:p>
    <w:p w14:paraId="4F0E6686" w14:textId="77777777" w:rsidR="00B91932" w:rsidRDefault="00000000">
      <w:pPr>
        <w:pStyle w:val="2"/>
        <w:bidi/>
        <w:jc w:val="right"/>
      </w:pPr>
      <w:r>
        <w:t>٧.٤ حوار نقدي مع الاعتراضات الأساسية</w:t>
      </w:r>
    </w:p>
    <w:p w14:paraId="76800101" w14:textId="77777777" w:rsidR="00B91932" w:rsidRDefault="00000000">
      <w:pPr>
        <w:pStyle w:val="3"/>
        <w:bidi/>
        <w:jc w:val="right"/>
      </w:pPr>
      <w:r>
        <w:t>الاعتراض الأول: هل يمكن حقاً مقاومة هيمنة عمالقة التكنولوجيا؟</w:t>
      </w:r>
    </w:p>
    <w:p w14:paraId="27B36838" w14:textId="77777777" w:rsidR="00B91932" w:rsidRDefault="00000000">
      <w:pPr>
        <w:spacing w:before="100" w:after="100" w:line="360" w:lineRule="auto"/>
        <w:ind w:firstLine="360"/>
        <w:jc w:val="right"/>
      </w:pPr>
      <w:r>
        <w:rPr>
          <w:color w:val="000000"/>
        </w:rPr>
        <w:t>نعم، عبر مسارين متكاملين: (أ) بناء بدائل تكنولوجية أخلاقية تنبثق من المجتمعات نفسها وتعبر عن قيمها وهويتها، كما في تجربة منصة "ثورة". (ب) تطوير التشريعات الحمائية التي تحمي سيادة الانتباه والبيانات الشخصية، كما فعل الاتحاد الأوروبي عبر اللائحة العامة لحماية البيانات (GDPR) الصادرة عام 2018. المقاومة ليست مستحيلة، لكنها تتطلب إرادة سياسية ووعياً مجتمعياً وبناءً تقنياً ذاتياً. ويمكن إضافة مسار ثالث يُؤكد عليه الإطار الاستخلافي: المقاومة الروحية والتربوية عبر تنشئة جيل واعٍ بآليات التلاعب الرقمي ومُحصَّن بقيم الاستخلاف.</w:t>
      </w:r>
    </w:p>
    <w:p w14:paraId="28B1F28E" w14:textId="77777777" w:rsidR="00B91932" w:rsidRDefault="00000000">
      <w:pPr>
        <w:pStyle w:val="3"/>
        <w:bidi/>
        <w:jc w:val="right"/>
      </w:pPr>
      <w:r>
        <w:t>الاعتراض الثاني: أليس استخدام الذكاء الاصطناعي في القضاء أو التعليم خطراً على الحكمة البشرية؟</w:t>
      </w:r>
    </w:p>
    <w:p w14:paraId="4DB2ECA1" w14:textId="77777777" w:rsidR="00B91932" w:rsidRDefault="00000000">
      <w:pPr>
        <w:spacing w:before="100" w:after="100" w:line="360" w:lineRule="auto"/>
        <w:ind w:firstLine="360"/>
        <w:jc w:val="right"/>
      </w:pPr>
      <w:r>
        <w:rPr>
          <w:color w:val="000000"/>
        </w:rPr>
        <w:t xml:space="preserve">المنظور الاستخلافي لا يدعو إلى إحلال الذكاء الاصطناعي محل الحكمة البشرية، بل إلى استخدامه كأداة مساعدة. وهذا التمييز دقيق ومهم. يُؤكد حلاق أن "الحكم الرشيد في التقليد الإسلامي كان قائماً على كفاءة أخلاقية ذاتية لا يمكن أن تُستبدل بأنظمة إجرائية مهما بلغت من دقة" </w:t>
      </w:r>
      <w:r>
        <w:rPr>
          <w:color w:val="0A5E5E"/>
          <w:sz w:val="22"/>
          <w:szCs w:val="22"/>
        </w:rPr>
        <w:t>(Hallaq، المرجع السابق، ص. 45)</w:t>
      </w:r>
      <w:r>
        <w:rPr>
          <w:color w:val="000000"/>
        </w:rPr>
        <w:t>. المبدأ الاستخلافي هو: الذكاء الاصطناعي خادم للحكمة البشرية لا بديل عنها.</w:t>
      </w:r>
    </w:p>
    <w:p w14:paraId="642CBB6C" w14:textId="77777777" w:rsidR="00B91932" w:rsidRDefault="00000000">
      <w:pPr>
        <w:pStyle w:val="3"/>
        <w:bidi/>
        <w:jc w:val="right"/>
      </w:pPr>
      <w:r>
        <w:t>الاعتراض الثالث: كيف يمكن تحقيق التوازن بين الاستفادة من التكنولوجيا وحماية النفس من أخطارها؟</w:t>
      </w:r>
    </w:p>
    <w:p w14:paraId="231EFD65" w14:textId="77777777" w:rsidR="00B91932" w:rsidRDefault="00000000">
      <w:pPr>
        <w:spacing w:before="100" w:after="100" w:line="360" w:lineRule="auto"/>
        <w:ind w:firstLine="360"/>
        <w:jc w:val="right"/>
      </w:pPr>
      <w:r>
        <w:rPr>
          <w:color w:val="000000"/>
        </w:rPr>
        <w:t xml:space="preserve">هذا التوازن يتحقق عبر "التربية الرقمية النقدية" والاستخدام الواعي. وقد عبَّر عن هذا الموقف هايدغر حين كتب في مقاله المحوري "مسألة التقنية": "إن جوهر التكنولوجيا ليس تقنياً بالمعنى المادي، وما خلاصنا منه إلا عبر تحرير علاقتنا بها" </w:t>
      </w:r>
      <w:r>
        <w:rPr>
          <w:color w:val="0A5E5E"/>
          <w:sz w:val="22"/>
          <w:szCs w:val="22"/>
        </w:rPr>
        <w:t>(Heidegger، المرجع السابق، ص. 25)</w:t>
      </w:r>
      <w:r>
        <w:rPr>
          <w:color w:val="000000"/>
        </w:rPr>
        <w:t>. وهذا هو جوهر "الاستخلاف الرقمي الواعي": لا انعزال عن التكنولوجيا، بل تحرر علاقتنا بها عبر الوعي الفلسفي والإيماني الذي يُعيدها إلى موقعها الصحيح: أداةٌ في يد الخليفة لا سيدة على عقله.</w:t>
      </w:r>
    </w:p>
    <w:p w14:paraId="76EBD964" w14:textId="77777777" w:rsidR="00B91932" w:rsidRDefault="00B91932">
      <w:pPr>
        <w:pageBreakBefore/>
      </w:pPr>
    </w:p>
    <w:p w14:paraId="50FFB907" w14:textId="77777777" w:rsidR="00B91932" w:rsidRDefault="00000000">
      <w:pPr>
        <w:pStyle w:val="1"/>
        <w:pBdr>
          <w:bottom w:val="single" w:sz="8" w:space="4" w:color="9A7B1A"/>
        </w:pBdr>
        <w:bidi/>
        <w:jc w:val="right"/>
      </w:pPr>
      <w:r>
        <w:t>خاتمة: الاستخلاف الرقمي كمشروع حضاري</w:t>
      </w:r>
    </w:p>
    <w:p w14:paraId="7D6A2A5D" w14:textId="77777777" w:rsidR="00B91932" w:rsidRDefault="00000000">
      <w:pPr>
        <w:spacing w:before="100" w:after="100" w:line="360" w:lineRule="auto"/>
        <w:ind w:firstLine="360"/>
        <w:jc w:val="right"/>
      </w:pPr>
      <w:r>
        <w:rPr>
          <w:color w:val="000000"/>
        </w:rPr>
        <w:t>في الختام، يمكن القول إن "الاستخلاف الرقمي" ليس مجرد إطار فكري نظري، بل هو مشروع حضاري متكامل يهدف إلى إعادة تعريف العلاقة بين الإنسان والتكنولوجيا في العصر الرقمي. إنه يسعى إلى تحرير الإنسان من "الاستعمار الخوارزمي" و"رأسمالية المراقبة" – التي وثّقتها زوبوف بدقة علمية نادرة، وكشف جوهرها الفلسفي هايدغر قبل أن توجد، وتفكَّك بنيتها الأيديولوجية فوكو ضمن تحليله لتقنيات السيطرة – وإعادة الاعتبار للإنسان بوصفه "خليفة" مكرَّماً، حراً، مسؤولاً، مؤتمناً على الأرض ومن فيها.</w:t>
      </w:r>
    </w:p>
    <w:p w14:paraId="6CE83668" w14:textId="77777777" w:rsidR="00B91932" w:rsidRDefault="00000000">
      <w:pPr>
        <w:spacing w:before="100" w:after="100" w:line="360" w:lineRule="auto"/>
        <w:ind w:firstLine="360"/>
        <w:jc w:val="right"/>
      </w:pPr>
      <w:r>
        <w:rPr>
          <w:color w:val="000000"/>
        </w:rPr>
        <w:t>إن تحكُّم الخوارزميات في القرار الأخلاقي للإنسان يُمثِّل – بحسب التشخيص الاستخلافي – "موتاً للإنسان" كمشروع أخلاقي مستقل. وهو ما يجعل "الدولة الاستخلافية" ضرورةً حضاريةً لحماية "سيادة الانتباه" وحرمة "النفس البشرية" من أن تتحول إلى مجرد "سلسلة من البيانات" الموجَّهة آلياً. في هذا الصراع على النفس البشرية، لا مجال للحياد: فإما أن نستعيد إنسانيتنا الاستخلافية، وإما أن نستسلم للاستلاب الرقمي.</w:t>
      </w:r>
    </w:p>
    <w:tbl>
      <w:tblPr>
        <w:tblW w:w="920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0" w:type="dxa"/>
          <w:bottom w:w="120" w:type="dxa"/>
          <w:right w:w="10" w:type="dxa"/>
        </w:tblCellMar>
        <w:tblLook w:val="0000" w:firstRow="0" w:lastRow="0" w:firstColumn="0" w:lastColumn="0" w:noHBand="0" w:noVBand="0"/>
      </w:tblPr>
      <w:tblGrid>
        <w:gridCol w:w="9200"/>
      </w:tblGrid>
      <w:tr w:rsidR="00B91932" w14:paraId="2FE43960" w14:textId="77777777">
        <w:tc>
          <w:tcPr>
            <w:tcW w:w="9200" w:type="dxa"/>
            <w:tcBorders>
              <w:top w:val="single" w:sz="6" w:space="0" w:color="9A7B1A"/>
              <w:left w:val="single" w:sz="6" w:space="0" w:color="9A7B1A"/>
              <w:bottom w:val="single" w:sz="6" w:space="0" w:color="9A7B1A"/>
              <w:right w:val="single" w:sz="6" w:space="0" w:color="9A7B1A"/>
            </w:tcBorders>
            <w:shd w:val="clear" w:color="auto" w:fill="F5EDD5"/>
            <w:tcMar>
              <w:top w:w="160" w:type="dxa"/>
              <w:left w:w="280" w:type="dxa"/>
              <w:bottom w:w="160" w:type="dxa"/>
              <w:right w:w="280" w:type="dxa"/>
            </w:tcMar>
          </w:tcPr>
          <w:p w14:paraId="237C20F4" w14:textId="77777777" w:rsidR="00B91932" w:rsidRDefault="00000000">
            <w:pPr>
              <w:jc w:val="center"/>
            </w:pPr>
            <w:r>
              <w:rPr>
                <w:b/>
                <w:bCs/>
                <w:color w:val="7A1A1A"/>
                <w:sz w:val="28"/>
                <w:szCs w:val="28"/>
              </w:rPr>
              <w:t>﴿وَقُلِ ٱعۡمَلُوا۟ فَسَيَرَى ٱللَّهُ عَمَلَكُمۡ وَرَسُولُهُۥ وَٱلۡمُؤۡمِنُونَۖ﴾</w:t>
            </w:r>
          </w:p>
          <w:p w14:paraId="6C08FD24" w14:textId="77777777" w:rsidR="00B91932" w:rsidRDefault="00000000">
            <w:pPr>
              <w:spacing w:before="60"/>
              <w:jc w:val="center"/>
            </w:pPr>
            <w:r>
              <w:rPr>
                <w:color w:val="9A7B1A"/>
                <w:sz w:val="22"/>
                <w:szCs w:val="22"/>
              </w:rPr>
              <w:t>سورة التوبة: 105</w:t>
            </w:r>
          </w:p>
        </w:tc>
      </w:tr>
    </w:tbl>
    <w:p w14:paraId="6179F5E9" w14:textId="77777777" w:rsidR="00B91932" w:rsidRDefault="00B91932">
      <w:pPr>
        <w:spacing w:before="80" w:after="80"/>
      </w:pPr>
    </w:p>
    <w:p w14:paraId="1EDBC3EA" w14:textId="77777777" w:rsidR="00B91932" w:rsidRDefault="00000000">
      <w:pPr>
        <w:spacing w:before="200" w:after="200"/>
        <w:jc w:val="center"/>
      </w:pPr>
      <w:r>
        <w:rPr>
          <w:b/>
          <w:bCs/>
          <w:color w:val="0A5E5E"/>
          <w:sz w:val="28"/>
          <w:szCs w:val="28"/>
        </w:rPr>
        <w:t>وما توفيقي إلا بالله، عليه توكلت وإليه أنيب.</w:t>
      </w:r>
    </w:p>
    <w:p w14:paraId="6FF79A6F" w14:textId="77777777" w:rsidR="00B91932" w:rsidRDefault="00B91932">
      <w:pPr>
        <w:pageBreakBefore/>
      </w:pPr>
    </w:p>
    <w:p w14:paraId="08EC7788" w14:textId="77777777" w:rsidR="00B91932" w:rsidRDefault="00000000">
      <w:pPr>
        <w:pStyle w:val="1"/>
        <w:pBdr>
          <w:bottom w:val="single" w:sz="8" w:space="4" w:color="9A7B1A"/>
        </w:pBdr>
        <w:bidi/>
        <w:jc w:val="right"/>
      </w:pPr>
      <w:r>
        <w:t>المراجع والمصادر</w:t>
      </w:r>
    </w:p>
    <w:p w14:paraId="72B262C3" w14:textId="77777777" w:rsidR="00B91932" w:rsidRDefault="00000000">
      <w:pPr>
        <w:pStyle w:val="2"/>
        <w:bidi/>
        <w:jc w:val="right"/>
      </w:pPr>
      <w:r>
        <w:t>أولاً: المراجع الأكاديمية الأجنبية</w:t>
      </w:r>
    </w:p>
    <w:p w14:paraId="4083C22F" w14:textId="77777777" w:rsidR="00B91932" w:rsidRDefault="00000000">
      <w:pPr>
        <w:pStyle w:val="3"/>
        <w:bidi/>
        <w:jc w:val="right"/>
      </w:pPr>
      <w:r>
        <w:t>شوشانا زوبوف (Shoshana Zuboff) – رأسمالية المراقبة</w:t>
      </w:r>
    </w:p>
    <w:p w14:paraId="19BD5BC5" w14:textId="77777777" w:rsidR="00B91932" w:rsidRDefault="00000000">
      <w:pPr>
        <w:spacing w:before="80" w:after="80" w:line="340" w:lineRule="auto"/>
        <w:jc w:val="right"/>
      </w:pPr>
      <w:r>
        <w:rPr>
          <w:rFonts w:ascii="Times New Roman" w:eastAsia="Times New Roman" w:hAnsi="Times New Roman" w:cs="Times New Roman"/>
          <w:b/>
          <w:bCs/>
          <w:color w:val="000000"/>
          <w:sz w:val="22"/>
          <w:szCs w:val="22"/>
        </w:rPr>
        <w:t xml:space="preserve">Zuboff, Shoshana. </w:t>
      </w:r>
      <w:r>
        <w:rPr>
          <w:rFonts w:ascii="Times New Roman" w:eastAsia="Times New Roman" w:hAnsi="Times New Roman" w:cs="Times New Roman"/>
          <w:i/>
          <w:iCs/>
          <w:color w:val="000000"/>
          <w:sz w:val="22"/>
          <w:szCs w:val="22"/>
        </w:rPr>
        <w:t xml:space="preserve">The Age of Surveillance Capitalism: The Fight for a Human Future at the New Frontier of Power. </w:t>
      </w:r>
      <w:r>
        <w:rPr>
          <w:rFonts w:ascii="Times New Roman" w:eastAsia="Times New Roman" w:hAnsi="Times New Roman" w:cs="Times New Roman"/>
          <w:color w:val="000000"/>
          <w:sz w:val="22"/>
          <w:szCs w:val="22"/>
        </w:rPr>
        <w:t>New York: PublicAffairs, 2019. 704 pp.</w:t>
      </w:r>
    </w:p>
    <w:p w14:paraId="10764E1D" w14:textId="77777777" w:rsidR="00B91932" w:rsidRDefault="00000000">
      <w:pPr>
        <w:spacing w:before="80" w:after="80" w:line="340" w:lineRule="auto"/>
        <w:jc w:val="right"/>
      </w:pPr>
      <w:r>
        <w:rPr>
          <w:color w:val="000000"/>
        </w:rPr>
        <w:t xml:space="preserve">— ، </w:t>
      </w:r>
      <w:r>
        <w:rPr>
          <w:rFonts w:ascii="Times New Roman" w:eastAsia="Times New Roman" w:hAnsi="Times New Roman" w:cs="Times New Roman"/>
          <w:color w:val="000000"/>
          <w:sz w:val="22"/>
          <w:szCs w:val="22"/>
        </w:rPr>
        <w:t xml:space="preserve">"You Are the Object of a Global System of Behavioral Modification." </w:t>
      </w:r>
      <w:r>
        <w:rPr>
          <w:rFonts w:ascii="Times New Roman" w:eastAsia="Times New Roman" w:hAnsi="Times New Roman" w:cs="Times New Roman"/>
          <w:i/>
          <w:iCs/>
          <w:color w:val="000000"/>
          <w:sz w:val="22"/>
          <w:szCs w:val="22"/>
        </w:rPr>
        <w:t>The Guardian</w:t>
      </w:r>
      <w:r>
        <w:rPr>
          <w:rFonts w:ascii="Times New Roman" w:eastAsia="Times New Roman" w:hAnsi="Times New Roman" w:cs="Times New Roman"/>
          <w:color w:val="000000"/>
          <w:sz w:val="22"/>
          <w:szCs w:val="22"/>
        </w:rPr>
        <w:t>, January 20, 2019.</w:t>
      </w:r>
    </w:p>
    <w:p w14:paraId="259F7532" w14:textId="77777777" w:rsidR="00B91932" w:rsidRDefault="00000000">
      <w:pPr>
        <w:spacing w:before="80" w:after="80" w:line="340" w:lineRule="auto"/>
        <w:jc w:val="right"/>
      </w:pPr>
      <w:r>
        <w:rPr>
          <w:color w:val="000000"/>
        </w:rPr>
        <w:t>مواضع الاستشهاد الرئيسية في النص: الصفحات 8–11 (التعريف)؛ ص. 293–329 (مراحل نموذج العمل)؛ ص. 8 (الاقتباس المباشر لتعريف المصطلح).</w:t>
      </w:r>
    </w:p>
    <w:p w14:paraId="715FBDA7" w14:textId="77777777" w:rsidR="00B91932" w:rsidRDefault="00B91932">
      <w:pPr>
        <w:spacing w:before="80" w:after="80"/>
      </w:pPr>
    </w:p>
    <w:p w14:paraId="00FB9C3E" w14:textId="77777777" w:rsidR="00B91932" w:rsidRDefault="00000000">
      <w:pPr>
        <w:pStyle w:val="3"/>
        <w:bidi/>
        <w:jc w:val="right"/>
      </w:pPr>
      <w:r>
        <w:t>هيربرت سايمون (Herbert A. Simon) – اقتصاد الانتباه</w:t>
      </w:r>
    </w:p>
    <w:p w14:paraId="4FA5B1A4" w14:textId="77777777" w:rsidR="00B91932" w:rsidRDefault="00000000">
      <w:pPr>
        <w:spacing w:before="80" w:after="80" w:line="340" w:lineRule="auto"/>
        <w:jc w:val="right"/>
      </w:pPr>
      <w:r>
        <w:rPr>
          <w:rFonts w:ascii="Times New Roman" w:eastAsia="Times New Roman" w:hAnsi="Times New Roman" w:cs="Times New Roman"/>
          <w:b/>
          <w:bCs/>
          <w:color w:val="000000"/>
          <w:sz w:val="22"/>
          <w:szCs w:val="22"/>
        </w:rPr>
        <w:t xml:space="preserve">Simon, Herbert A. </w:t>
      </w:r>
      <w:r>
        <w:rPr>
          <w:rFonts w:ascii="Times New Roman" w:eastAsia="Times New Roman" w:hAnsi="Times New Roman" w:cs="Times New Roman"/>
          <w:color w:val="000000"/>
          <w:sz w:val="22"/>
          <w:szCs w:val="22"/>
        </w:rPr>
        <w:t xml:space="preserve">"Designing Organizations for an Information-Rich World." In </w:t>
      </w:r>
      <w:r>
        <w:rPr>
          <w:rFonts w:ascii="Times New Roman" w:eastAsia="Times New Roman" w:hAnsi="Times New Roman" w:cs="Times New Roman"/>
          <w:i/>
          <w:iCs/>
          <w:color w:val="000000"/>
          <w:sz w:val="22"/>
          <w:szCs w:val="22"/>
        </w:rPr>
        <w:t>Computers, Communications, and the Public Interest</w:t>
      </w:r>
      <w:r>
        <w:rPr>
          <w:rFonts w:ascii="Times New Roman" w:eastAsia="Times New Roman" w:hAnsi="Times New Roman" w:cs="Times New Roman"/>
          <w:color w:val="000000"/>
          <w:sz w:val="22"/>
          <w:szCs w:val="22"/>
        </w:rPr>
        <w:t>, edited by Martin Greenberger, pp. 37–72. Baltimore: Johns Hopkins University Press, 1971.</w:t>
      </w:r>
    </w:p>
    <w:p w14:paraId="229CC67C" w14:textId="77777777" w:rsidR="00B91932" w:rsidRDefault="00000000">
      <w:pPr>
        <w:spacing w:before="80" w:after="80" w:line="340" w:lineRule="auto"/>
        <w:jc w:val="right"/>
      </w:pPr>
      <w:r>
        <w:rPr>
          <w:color w:val="000000"/>
        </w:rPr>
        <w:t>مواضع الاستشهاد: ص. 40–41 (المقولة الشهيرة "وفرة المعلومات تخلق فقراً في الانتباه").</w:t>
      </w:r>
    </w:p>
    <w:p w14:paraId="7377432F" w14:textId="77777777" w:rsidR="00B91932" w:rsidRDefault="00B91932">
      <w:pPr>
        <w:spacing w:before="80" w:after="80"/>
      </w:pPr>
    </w:p>
    <w:p w14:paraId="41594E7F" w14:textId="77777777" w:rsidR="00B91932" w:rsidRDefault="00000000">
      <w:pPr>
        <w:pStyle w:val="3"/>
        <w:bidi/>
        <w:jc w:val="right"/>
      </w:pPr>
      <w:r>
        <w:t>مارتن هايدغر (Martin Heidegger) – فلسفة التقنية</w:t>
      </w:r>
    </w:p>
    <w:p w14:paraId="1A2531AF" w14:textId="77777777" w:rsidR="00B91932" w:rsidRDefault="00000000">
      <w:pPr>
        <w:spacing w:before="80" w:after="80" w:line="340" w:lineRule="auto"/>
        <w:jc w:val="right"/>
      </w:pPr>
      <w:r>
        <w:rPr>
          <w:rFonts w:ascii="Times New Roman" w:eastAsia="Times New Roman" w:hAnsi="Times New Roman" w:cs="Times New Roman"/>
          <w:b/>
          <w:bCs/>
          <w:color w:val="000000"/>
          <w:sz w:val="22"/>
          <w:szCs w:val="22"/>
        </w:rPr>
        <w:t xml:space="preserve">Heidegger, Martin. </w:t>
      </w:r>
      <w:r>
        <w:rPr>
          <w:rFonts w:ascii="Times New Roman" w:eastAsia="Times New Roman" w:hAnsi="Times New Roman" w:cs="Times New Roman"/>
          <w:i/>
          <w:iCs/>
          <w:color w:val="000000"/>
          <w:sz w:val="22"/>
          <w:szCs w:val="22"/>
        </w:rPr>
        <w:t>The Question Concerning Technology and Other Essays</w:t>
      </w:r>
      <w:r>
        <w:rPr>
          <w:rFonts w:ascii="Times New Roman" w:eastAsia="Times New Roman" w:hAnsi="Times New Roman" w:cs="Times New Roman"/>
          <w:color w:val="000000"/>
          <w:sz w:val="22"/>
          <w:szCs w:val="22"/>
        </w:rPr>
        <w:t>. Translated by William Lovitt. New York: Harper &amp; Row, 1977.</w:t>
      </w:r>
    </w:p>
    <w:p w14:paraId="1FEFCE5C" w14:textId="77777777" w:rsidR="00B91932" w:rsidRDefault="00000000">
      <w:pPr>
        <w:spacing w:before="80" w:after="80" w:line="340" w:lineRule="auto"/>
        <w:jc w:val="right"/>
      </w:pPr>
      <w:r>
        <w:rPr>
          <w:rFonts w:ascii="Times New Roman" w:eastAsia="Times New Roman" w:hAnsi="Times New Roman" w:cs="Times New Roman"/>
          <w:b/>
          <w:bCs/>
          <w:color w:val="000000"/>
          <w:sz w:val="22"/>
          <w:szCs w:val="22"/>
        </w:rPr>
        <w:t xml:space="preserve">— . </w:t>
      </w:r>
      <w:r>
        <w:rPr>
          <w:rFonts w:ascii="Times New Roman" w:eastAsia="Times New Roman" w:hAnsi="Times New Roman" w:cs="Times New Roman"/>
          <w:i/>
          <w:iCs/>
          <w:color w:val="000000"/>
          <w:sz w:val="22"/>
          <w:szCs w:val="22"/>
        </w:rPr>
        <w:t>Being and Time</w:t>
      </w:r>
      <w:r>
        <w:rPr>
          <w:rFonts w:ascii="Times New Roman" w:eastAsia="Times New Roman" w:hAnsi="Times New Roman" w:cs="Times New Roman"/>
          <w:color w:val="000000"/>
          <w:sz w:val="22"/>
          <w:szCs w:val="22"/>
        </w:rPr>
        <w:t>. Translated by John Macquarrie and Edward Robinson. New York: Harper &amp; Row, 1962.</w:t>
      </w:r>
    </w:p>
    <w:p w14:paraId="4DCC5359" w14:textId="77777777" w:rsidR="00B91932" w:rsidRDefault="00000000">
      <w:pPr>
        <w:spacing w:before="80" w:after="80" w:line="340" w:lineRule="auto"/>
        <w:jc w:val="right"/>
      </w:pPr>
      <w:r>
        <w:rPr>
          <w:color w:val="000000"/>
        </w:rPr>
        <w:t>مواضع الاستشهاد: ص. 3–35 (جوهر التقنية وطريقة الكشف)؛ ص. 25 (مقولة تحرير العلاقة بالتقنية).</w:t>
      </w:r>
    </w:p>
    <w:p w14:paraId="32A65274" w14:textId="77777777" w:rsidR="00B91932" w:rsidRDefault="00B91932">
      <w:pPr>
        <w:spacing w:before="80" w:after="80"/>
      </w:pPr>
    </w:p>
    <w:p w14:paraId="31B5ECCE" w14:textId="77777777" w:rsidR="00B91932" w:rsidRDefault="00000000">
      <w:pPr>
        <w:pStyle w:val="3"/>
        <w:bidi/>
        <w:jc w:val="right"/>
      </w:pPr>
      <w:r>
        <w:t>شيري تيركل (Sherry Turkle) – الاغتراب الرقمي</w:t>
      </w:r>
    </w:p>
    <w:p w14:paraId="2B4A6B4F" w14:textId="77777777" w:rsidR="00B91932" w:rsidRDefault="00000000">
      <w:pPr>
        <w:spacing w:before="80" w:after="80" w:line="340" w:lineRule="auto"/>
        <w:jc w:val="right"/>
      </w:pPr>
      <w:r>
        <w:rPr>
          <w:rFonts w:ascii="Times New Roman" w:eastAsia="Times New Roman" w:hAnsi="Times New Roman" w:cs="Times New Roman"/>
          <w:b/>
          <w:bCs/>
          <w:color w:val="000000"/>
          <w:sz w:val="22"/>
          <w:szCs w:val="22"/>
        </w:rPr>
        <w:t xml:space="preserve">Turkle, Sherry. </w:t>
      </w:r>
      <w:r>
        <w:rPr>
          <w:rFonts w:ascii="Times New Roman" w:eastAsia="Times New Roman" w:hAnsi="Times New Roman" w:cs="Times New Roman"/>
          <w:i/>
          <w:iCs/>
          <w:color w:val="000000"/>
          <w:sz w:val="22"/>
          <w:szCs w:val="22"/>
        </w:rPr>
        <w:t>Alone Together: Why We Expect More from Technology and Less from Each Other</w:t>
      </w:r>
      <w:r>
        <w:rPr>
          <w:rFonts w:ascii="Times New Roman" w:eastAsia="Times New Roman" w:hAnsi="Times New Roman" w:cs="Times New Roman"/>
          <w:color w:val="000000"/>
          <w:sz w:val="22"/>
          <w:szCs w:val="22"/>
        </w:rPr>
        <w:t>. New York: Basic Books, 2011.</w:t>
      </w:r>
    </w:p>
    <w:p w14:paraId="610392AF" w14:textId="77777777" w:rsidR="00B91932" w:rsidRDefault="00000000">
      <w:pPr>
        <w:spacing w:before="80" w:after="80" w:line="340" w:lineRule="auto"/>
        <w:jc w:val="right"/>
      </w:pPr>
      <w:r>
        <w:rPr>
          <w:color w:val="000000"/>
        </w:rPr>
        <w:t>مواضع الاستشهاد: ص. 1–19 (مقدمة الوحدة المشتركة)؛ ص. 280–295 (وهم الهدوء الرقمي).</w:t>
      </w:r>
    </w:p>
    <w:p w14:paraId="611F2D5F" w14:textId="77777777" w:rsidR="00B91932" w:rsidRDefault="00B91932">
      <w:pPr>
        <w:spacing w:before="80" w:after="80"/>
      </w:pPr>
    </w:p>
    <w:p w14:paraId="041C81A3" w14:textId="77777777" w:rsidR="00B91932" w:rsidRDefault="00000000">
      <w:pPr>
        <w:pStyle w:val="3"/>
        <w:bidi/>
        <w:jc w:val="right"/>
      </w:pPr>
      <w:r>
        <w:t>ميشيل فوكو (Michel Foucault) – تقنيات الذات</w:t>
      </w:r>
    </w:p>
    <w:p w14:paraId="54A601D0" w14:textId="77777777" w:rsidR="00B91932" w:rsidRDefault="00000000">
      <w:pPr>
        <w:spacing w:before="80" w:after="80" w:line="340" w:lineRule="auto"/>
        <w:jc w:val="right"/>
      </w:pPr>
      <w:r>
        <w:rPr>
          <w:rFonts w:ascii="Times New Roman" w:eastAsia="Times New Roman" w:hAnsi="Times New Roman" w:cs="Times New Roman"/>
          <w:b/>
          <w:bCs/>
          <w:color w:val="000000"/>
          <w:sz w:val="22"/>
          <w:szCs w:val="22"/>
        </w:rPr>
        <w:t xml:space="preserve">Foucault, Michel. </w:t>
      </w:r>
      <w:r>
        <w:rPr>
          <w:rFonts w:ascii="Times New Roman" w:eastAsia="Times New Roman" w:hAnsi="Times New Roman" w:cs="Times New Roman"/>
          <w:i/>
          <w:iCs/>
          <w:color w:val="000000"/>
          <w:sz w:val="22"/>
          <w:szCs w:val="22"/>
        </w:rPr>
        <w:t>Technologies of the Self: A Seminar with Michel Foucault</w:t>
      </w:r>
      <w:r>
        <w:rPr>
          <w:rFonts w:ascii="Times New Roman" w:eastAsia="Times New Roman" w:hAnsi="Times New Roman" w:cs="Times New Roman"/>
          <w:color w:val="000000"/>
          <w:sz w:val="22"/>
          <w:szCs w:val="22"/>
        </w:rPr>
        <w:t>. Edited by Luther H. Martin, Huck Gutman, and Patrick H. Hutton. Amherst: University of Massachusetts Press, 1988.</w:t>
      </w:r>
    </w:p>
    <w:p w14:paraId="7FA059DB" w14:textId="77777777" w:rsidR="00B91932" w:rsidRDefault="00000000">
      <w:pPr>
        <w:spacing w:before="80" w:after="80" w:line="340" w:lineRule="auto"/>
        <w:jc w:val="right"/>
      </w:pPr>
      <w:r>
        <w:rPr>
          <w:color w:val="000000"/>
        </w:rPr>
        <w:t>مواضع الاستشهاد: ص. 16–49 (تعريف تقنيات الذات وأنماطها الأربعة).</w:t>
      </w:r>
    </w:p>
    <w:p w14:paraId="45A429D5" w14:textId="77777777" w:rsidR="00B91932" w:rsidRDefault="00B91932">
      <w:pPr>
        <w:spacing w:before="80" w:after="80"/>
      </w:pPr>
    </w:p>
    <w:p w14:paraId="45E5B336" w14:textId="77777777" w:rsidR="00B91932" w:rsidRDefault="00000000">
      <w:pPr>
        <w:pStyle w:val="3"/>
        <w:bidi/>
        <w:jc w:val="right"/>
      </w:pPr>
      <w:r>
        <w:t>وائل حلاق (Wael B. Hallaq) – الدولة المستحيلة</w:t>
      </w:r>
    </w:p>
    <w:p w14:paraId="1818E880" w14:textId="77777777" w:rsidR="00B91932" w:rsidRDefault="00000000">
      <w:pPr>
        <w:spacing w:before="80" w:after="80" w:line="340" w:lineRule="auto"/>
        <w:jc w:val="right"/>
      </w:pPr>
      <w:r>
        <w:rPr>
          <w:rFonts w:ascii="Times New Roman" w:eastAsia="Times New Roman" w:hAnsi="Times New Roman" w:cs="Times New Roman"/>
          <w:b/>
          <w:bCs/>
          <w:color w:val="000000"/>
          <w:sz w:val="22"/>
          <w:szCs w:val="22"/>
        </w:rPr>
        <w:t xml:space="preserve">Hallaq, Wael B. </w:t>
      </w:r>
      <w:r>
        <w:rPr>
          <w:rFonts w:ascii="Times New Roman" w:eastAsia="Times New Roman" w:hAnsi="Times New Roman" w:cs="Times New Roman"/>
          <w:i/>
          <w:iCs/>
          <w:color w:val="000000"/>
          <w:sz w:val="22"/>
          <w:szCs w:val="22"/>
        </w:rPr>
        <w:t>The Impossible State: Islam, Politics, and Modernity's Moral Predicament</w:t>
      </w:r>
      <w:r>
        <w:rPr>
          <w:rFonts w:ascii="Times New Roman" w:eastAsia="Times New Roman" w:hAnsi="Times New Roman" w:cs="Times New Roman"/>
          <w:color w:val="000000"/>
          <w:sz w:val="22"/>
          <w:szCs w:val="22"/>
        </w:rPr>
        <w:t>. New York: Columbia University Press, 2013.</w:t>
      </w:r>
    </w:p>
    <w:p w14:paraId="0E9C2DBA" w14:textId="77777777" w:rsidR="00B91932" w:rsidRDefault="00000000">
      <w:pPr>
        <w:spacing w:before="80" w:after="80" w:line="340" w:lineRule="auto"/>
        <w:jc w:val="right"/>
      </w:pPr>
      <w:r>
        <w:rPr>
          <w:color w:val="000000"/>
        </w:rPr>
        <w:t>مواضع الاستشهاد: ص. 37–56 (الكفاءة الأخلاقية الذاتية في الحوكمة الإسلامية)؛ ص. 45 (الحكم الرشيد)؛ ص. 157–175 (نقد السيطرة التقنية البيروقراطية).</w:t>
      </w:r>
    </w:p>
    <w:p w14:paraId="1892E707" w14:textId="77777777" w:rsidR="00B91932" w:rsidRDefault="00B91932">
      <w:pPr>
        <w:spacing w:before="80" w:after="80"/>
      </w:pPr>
    </w:p>
    <w:p w14:paraId="56B5C2B2" w14:textId="77777777" w:rsidR="00B91932" w:rsidRDefault="00000000">
      <w:pPr>
        <w:pStyle w:val="3"/>
        <w:bidi/>
        <w:jc w:val="right"/>
      </w:pPr>
      <w:r>
        <w:t>جايك إيفودو (Jake O. Effoduh) – الاستعمار الرقمي</w:t>
      </w:r>
    </w:p>
    <w:p w14:paraId="15FB07A0" w14:textId="77777777" w:rsidR="00B91932" w:rsidRDefault="00000000">
      <w:pPr>
        <w:spacing w:before="80" w:after="80" w:line="340" w:lineRule="auto"/>
        <w:jc w:val="right"/>
      </w:pPr>
      <w:r>
        <w:rPr>
          <w:rFonts w:ascii="Times New Roman" w:eastAsia="Times New Roman" w:hAnsi="Times New Roman" w:cs="Times New Roman"/>
          <w:b/>
          <w:bCs/>
          <w:color w:val="000000"/>
          <w:sz w:val="22"/>
          <w:szCs w:val="22"/>
        </w:rPr>
        <w:t xml:space="preserve">Effoduh, Jake O. </w:t>
      </w:r>
      <w:r>
        <w:rPr>
          <w:rFonts w:ascii="Times New Roman" w:eastAsia="Times New Roman" w:hAnsi="Times New Roman" w:cs="Times New Roman"/>
          <w:color w:val="000000"/>
          <w:sz w:val="22"/>
          <w:szCs w:val="22"/>
        </w:rPr>
        <w:t>"Digital Colonialism and the Role of Local Intermediaries." Cambridge University Press, 2025.</w:t>
      </w:r>
    </w:p>
    <w:p w14:paraId="5A603A3F" w14:textId="77777777" w:rsidR="00B91932" w:rsidRDefault="00000000">
      <w:pPr>
        <w:spacing w:before="80" w:after="80" w:line="340" w:lineRule="auto"/>
        <w:jc w:val="right"/>
      </w:pPr>
      <w:r>
        <w:rPr>
          <w:color w:val="000000"/>
        </w:rPr>
        <w:t>مواضع الاستشهاد: ص. 12–18 (تعريف الاستعمار الرقمي وآلياته)؛ ص. 34–41 (الاستعمار المعرفي الخوارزمي).</w:t>
      </w:r>
    </w:p>
    <w:p w14:paraId="38A77AC6" w14:textId="77777777" w:rsidR="00B91932" w:rsidRDefault="00B91932">
      <w:pPr>
        <w:spacing w:before="80" w:after="80"/>
      </w:pPr>
    </w:p>
    <w:p w14:paraId="0C1DC963" w14:textId="77777777" w:rsidR="00B91932" w:rsidRDefault="00000000">
      <w:pPr>
        <w:pStyle w:val="3"/>
        <w:bidi/>
        <w:jc w:val="right"/>
      </w:pPr>
      <w:r>
        <w:t>بولي وتيل (Pohle &amp; Thiel) – السيادة الرقمية</w:t>
      </w:r>
    </w:p>
    <w:p w14:paraId="6DC38B11" w14:textId="77777777" w:rsidR="00B91932" w:rsidRDefault="00000000">
      <w:pPr>
        <w:spacing w:before="80" w:after="80" w:line="340" w:lineRule="auto"/>
        <w:jc w:val="right"/>
      </w:pPr>
      <w:r>
        <w:rPr>
          <w:rFonts w:ascii="Times New Roman" w:eastAsia="Times New Roman" w:hAnsi="Times New Roman" w:cs="Times New Roman"/>
          <w:b/>
          <w:bCs/>
          <w:color w:val="000000"/>
          <w:sz w:val="22"/>
          <w:szCs w:val="22"/>
        </w:rPr>
        <w:t xml:space="preserve">Pohle, Julia, and Thorsten Thiel. </w:t>
      </w:r>
      <w:r>
        <w:rPr>
          <w:rFonts w:ascii="Times New Roman" w:eastAsia="Times New Roman" w:hAnsi="Times New Roman" w:cs="Times New Roman"/>
          <w:i/>
          <w:iCs/>
          <w:color w:val="000000"/>
          <w:sz w:val="22"/>
          <w:szCs w:val="22"/>
        </w:rPr>
        <w:t>"Digital Sovereignty." Internet Policy Review</w:t>
      </w:r>
      <w:r>
        <w:rPr>
          <w:rFonts w:ascii="Times New Roman" w:eastAsia="Times New Roman" w:hAnsi="Times New Roman" w:cs="Times New Roman"/>
          <w:color w:val="000000"/>
          <w:sz w:val="22"/>
          <w:szCs w:val="22"/>
        </w:rPr>
        <w:t xml:space="preserve"> 9, no. 4 (2020): 1–19.</w:t>
      </w:r>
    </w:p>
    <w:p w14:paraId="01BAFC8C" w14:textId="77777777" w:rsidR="00B91932" w:rsidRDefault="00000000">
      <w:pPr>
        <w:spacing w:before="80" w:after="80" w:line="340" w:lineRule="auto"/>
        <w:jc w:val="right"/>
      </w:pPr>
      <w:r>
        <w:rPr>
          <w:color w:val="000000"/>
        </w:rPr>
        <w:t>مواضع الاستشهاد: ص. 2–5 (تعريف السيادة الرقمية)؛ ص. 3–7 (الإقطاعية الرقمية).</w:t>
      </w:r>
    </w:p>
    <w:p w14:paraId="7D773397" w14:textId="77777777" w:rsidR="00B91932" w:rsidRDefault="00B91932">
      <w:pPr>
        <w:spacing w:before="80" w:after="80"/>
      </w:pPr>
    </w:p>
    <w:p w14:paraId="6103128E" w14:textId="77777777" w:rsidR="00B91932" w:rsidRDefault="00000000">
      <w:pPr>
        <w:pStyle w:val="3"/>
        <w:bidi/>
        <w:jc w:val="right"/>
      </w:pPr>
      <w:r>
        <w:t>بانغرازيو وسيفتون-غرين (Pangrazio &amp; Sefton-Green) – التربية الرقمية النقدية</w:t>
      </w:r>
    </w:p>
    <w:p w14:paraId="4DEBB52A" w14:textId="77777777" w:rsidR="00B91932" w:rsidRDefault="00000000">
      <w:pPr>
        <w:spacing w:before="80" w:after="80" w:line="340" w:lineRule="auto"/>
        <w:jc w:val="right"/>
      </w:pPr>
      <w:r>
        <w:rPr>
          <w:rFonts w:ascii="Times New Roman" w:eastAsia="Times New Roman" w:hAnsi="Times New Roman" w:cs="Times New Roman"/>
          <w:b/>
          <w:bCs/>
          <w:color w:val="000000"/>
          <w:sz w:val="22"/>
          <w:szCs w:val="22"/>
        </w:rPr>
        <w:t xml:space="preserve">Pangrazio, Luci, and Julian Sefton-Green. </w:t>
      </w:r>
      <w:r>
        <w:rPr>
          <w:rFonts w:ascii="Times New Roman" w:eastAsia="Times New Roman" w:hAnsi="Times New Roman" w:cs="Times New Roman"/>
          <w:color w:val="000000"/>
          <w:sz w:val="22"/>
          <w:szCs w:val="22"/>
        </w:rPr>
        <w:t xml:space="preserve">"Critical Digital Literacy: Technology in Education Beyond Issues of User Competence and Labour-Market Qualifications." </w:t>
      </w:r>
      <w:r>
        <w:rPr>
          <w:rFonts w:ascii="Times New Roman" w:eastAsia="Times New Roman" w:hAnsi="Times New Roman" w:cs="Times New Roman"/>
          <w:i/>
          <w:iCs/>
          <w:color w:val="000000"/>
          <w:sz w:val="22"/>
          <w:szCs w:val="22"/>
        </w:rPr>
        <w:t>TripleC: Communication, Capitalism &amp; Critique</w:t>
      </w:r>
      <w:r>
        <w:rPr>
          <w:rFonts w:ascii="Times New Roman" w:eastAsia="Times New Roman" w:hAnsi="Times New Roman" w:cs="Times New Roman"/>
          <w:color w:val="000000"/>
          <w:sz w:val="22"/>
          <w:szCs w:val="22"/>
        </w:rPr>
        <w:t xml:space="preserve"> 19, no. 1 (2021): 1–19.</w:t>
      </w:r>
    </w:p>
    <w:p w14:paraId="6691F575" w14:textId="77777777" w:rsidR="00B91932" w:rsidRDefault="00000000">
      <w:pPr>
        <w:spacing w:before="80" w:after="80" w:line="340" w:lineRule="auto"/>
        <w:jc w:val="right"/>
      </w:pPr>
      <w:r>
        <w:rPr>
          <w:color w:val="000000"/>
        </w:rPr>
        <w:t>مواضع الاستشهاد: ص. 5–11 (إطار التربية الرقمية النقدية ومكوناتها).</w:t>
      </w:r>
    </w:p>
    <w:p w14:paraId="0882643F" w14:textId="77777777" w:rsidR="00B91932" w:rsidRDefault="00B91932">
      <w:pPr>
        <w:spacing w:before="80" w:after="80"/>
      </w:pPr>
    </w:p>
    <w:p w14:paraId="0D4C7718" w14:textId="77777777" w:rsidR="00B91932" w:rsidRDefault="00000000">
      <w:pPr>
        <w:pStyle w:val="3"/>
        <w:bidi/>
        <w:jc w:val="right"/>
      </w:pPr>
      <w:r>
        <w:t>إيولِمانز (Guy Keulemans) – الكينتسوغي</w:t>
      </w:r>
    </w:p>
    <w:p w14:paraId="49817BA8" w14:textId="77777777" w:rsidR="00B91932" w:rsidRDefault="00000000">
      <w:pPr>
        <w:spacing w:before="80" w:after="80" w:line="340" w:lineRule="auto"/>
        <w:jc w:val="right"/>
      </w:pPr>
      <w:r>
        <w:rPr>
          <w:rFonts w:ascii="Times New Roman" w:eastAsia="Times New Roman" w:hAnsi="Times New Roman" w:cs="Times New Roman"/>
          <w:b/>
          <w:bCs/>
          <w:color w:val="000000"/>
          <w:sz w:val="22"/>
          <w:szCs w:val="22"/>
        </w:rPr>
        <w:t xml:space="preserve">Keulemans, Guy. </w:t>
      </w:r>
      <w:r>
        <w:rPr>
          <w:rFonts w:ascii="Times New Roman" w:eastAsia="Times New Roman" w:hAnsi="Times New Roman" w:cs="Times New Roman"/>
          <w:color w:val="000000"/>
          <w:sz w:val="22"/>
          <w:szCs w:val="22"/>
        </w:rPr>
        <w:t xml:space="preserve">"The Geo-cultural Conditions of Kintsugi." </w:t>
      </w:r>
      <w:r>
        <w:rPr>
          <w:rFonts w:ascii="Times New Roman" w:eastAsia="Times New Roman" w:hAnsi="Times New Roman" w:cs="Times New Roman"/>
          <w:i/>
          <w:iCs/>
          <w:color w:val="000000"/>
          <w:sz w:val="22"/>
          <w:szCs w:val="22"/>
        </w:rPr>
        <w:t>The Journal of Modern Craft</w:t>
      </w:r>
      <w:r>
        <w:rPr>
          <w:rFonts w:ascii="Times New Roman" w:eastAsia="Times New Roman" w:hAnsi="Times New Roman" w:cs="Times New Roman"/>
          <w:color w:val="000000"/>
          <w:sz w:val="22"/>
          <w:szCs w:val="22"/>
        </w:rPr>
        <w:t xml:space="preserve"> 9, no. 1 (2016): 15–34.</w:t>
      </w:r>
    </w:p>
    <w:p w14:paraId="0771AEC2" w14:textId="77777777" w:rsidR="00B91932" w:rsidRDefault="00000000">
      <w:pPr>
        <w:spacing w:before="80" w:after="80" w:line="340" w:lineRule="auto"/>
        <w:jc w:val="right"/>
      </w:pPr>
      <w:r>
        <w:rPr>
          <w:color w:val="000000"/>
        </w:rPr>
        <w:t>مواضع الاستشهاد: ص. 21 (الكينتسوغي كاستعارة للترميم والنمو).</w:t>
      </w:r>
    </w:p>
    <w:p w14:paraId="2F49E9F9" w14:textId="77777777" w:rsidR="00B91932" w:rsidRDefault="00B91932">
      <w:pPr>
        <w:spacing w:before="80" w:after="80"/>
      </w:pPr>
    </w:p>
    <w:p w14:paraId="41A1B05A" w14:textId="77777777" w:rsidR="00B91932" w:rsidRDefault="00000000">
      <w:pPr>
        <w:pStyle w:val="2"/>
        <w:bidi/>
        <w:jc w:val="right"/>
      </w:pPr>
      <w:r>
        <w:t>ثانياً: المراجع الأكاديمية العربية</w:t>
      </w:r>
    </w:p>
    <w:p w14:paraId="72F73DB1" w14:textId="77777777" w:rsidR="00B91932" w:rsidRDefault="00000000">
      <w:pPr>
        <w:spacing w:before="80" w:after="80" w:line="340" w:lineRule="auto"/>
        <w:jc w:val="right"/>
      </w:pPr>
      <w:r>
        <w:rPr>
          <w:color w:val="000000"/>
        </w:rPr>
        <w:t xml:space="preserve">بوعبيبسة، عبد الكريم. "التربية الرقمية لمواجهة سطوة ثقافة التفاهة في المجتمع الشبكي". </w:t>
      </w:r>
      <w:r>
        <w:rPr>
          <w:b/>
          <w:bCs/>
          <w:color w:val="000000"/>
        </w:rPr>
        <w:t>مجلة الباحث في العلوم الإنسانية والاجتماعية، جامعة ورقلة، 2022.</w:t>
      </w:r>
      <w:r>
        <w:rPr>
          <w:color w:val="000000"/>
        </w:rPr>
        <w:t xml:space="preserve"> ص. 115–127 (ثقافة التفاهة الرقمية في السياق العربي).</w:t>
      </w:r>
    </w:p>
    <w:p w14:paraId="120696B4" w14:textId="77777777" w:rsidR="00B91932" w:rsidRDefault="00000000">
      <w:pPr>
        <w:spacing w:before="80" w:after="80" w:line="340" w:lineRule="auto"/>
        <w:jc w:val="right"/>
      </w:pPr>
      <w:r>
        <w:rPr>
          <w:color w:val="000000"/>
        </w:rPr>
        <w:t>"مقاربة ما بعد استعمارية في عصر الذكاء الاصطناعي التوليدي". الأكاديمية الديمقراطية، 30 مارس 2026.</w:t>
      </w:r>
    </w:p>
    <w:p w14:paraId="21D04458" w14:textId="77777777" w:rsidR="00B91932" w:rsidRDefault="00000000">
      <w:pPr>
        <w:spacing w:before="80" w:after="80" w:line="340" w:lineRule="auto"/>
        <w:jc w:val="right"/>
      </w:pPr>
      <w:r>
        <w:rPr>
          <w:color w:val="000000"/>
        </w:rPr>
        <w:t>"الضياع الأنطولوجي في فلسفة مارتن هيدغر". جدلية، 13 مايو 2023.</w:t>
      </w:r>
    </w:p>
    <w:p w14:paraId="4DDAAC59" w14:textId="77777777" w:rsidR="00B91932" w:rsidRDefault="00B91932">
      <w:pPr>
        <w:spacing w:before="80" w:after="80"/>
      </w:pPr>
    </w:p>
    <w:p w14:paraId="5912BE01" w14:textId="77777777" w:rsidR="00B91932" w:rsidRDefault="00000000">
      <w:pPr>
        <w:pStyle w:val="2"/>
        <w:bidi/>
        <w:jc w:val="right"/>
      </w:pPr>
      <w:r>
        <w:t>ثالثاً: الوثائق الرسمية والقرارات</w:t>
      </w:r>
    </w:p>
    <w:p w14:paraId="3F1006E1" w14:textId="77777777" w:rsidR="00B91932" w:rsidRDefault="00000000">
      <w:pPr>
        <w:spacing w:before="80" w:after="80" w:line="340" w:lineRule="auto"/>
        <w:jc w:val="right"/>
      </w:pPr>
      <w:r>
        <w:rPr>
          <w:color w:val="000000"/>
        </w:rPr>
        <w:t>مجمع الفقه الإسلامي الدولي. قرار رقم 258 (3/26) بشأن الذكاء الاصطناعي: أحكامه وضوابطه وأخلاقياته. الدورة السادسة والعشرون، الدوحة، دولة قطر، 4–8 مايو 2025م.</w:t>
      </w:r>
    </w:p>
    <w:p w14:paraId="64E4A966" w14:textId="77777777" w:rsidR="00B91932" w:rsidRDefault="00000000">
      <w:pPr>
        <w:spacing w:before="80" w:after="80" w:line="340" w:lineRule="auto"/>
        <w:jc w:val="right"/>
      </w:pPr>
      <w:r>
        <w:rPr>
          <w:rFonts w:ascii="Times New Roman" w:eastAsia="Times New Roman" w:hAnsi="Times New Roman" w:cs="Times New Roman"/>
          <w:color w:val="000000"/>
          <w:sz w:val="22"/>
          <w:szCs w:val="22"/>
        </w:rPr>
        <w:t xml:space="preserve">United States Congress. </w:t>
      </w:r>
      <w:r>
        <w:rPr>
          <w:rFonts w:ascii="Times New Roman" w:eastAsia="Times New Roman" w:hAnsi="Times New Roman" w:cs="Times New Roman"/>
          <w:i/>
          <w:iCs/>
          <w:color w:val="000000"/>
          <w:sz w:val="22"/>
          <w:szCs w:val="22"/>
        </w:rPr>
        <w:t>Clarifying Lawful Overseas Use of Data Act (CLOUD Act)</w:t>
      </w:r>
      <w:r>
        <w:rPr>
          <w:rFonts w:ascii="Times New Roman" w:eastAsia="Times New Roman" w:hAnsi="Times New Roman" w:cs="Times New Roman"/>
          <w:color w:val="000000"/>
          <w:sz w:val="22"/>
          <w:szCs w:val="22"/>
        </w:rPr>
        <w:t>, H.R. 4943, 115th Congress, 2018. 18 U.S.C. § 2523.</w:t>
      </w:r>
    </w:p>
    <w:p w14:paraId="334388B8" w14:textId="77777777" w:rsidR="00B91932" w:rsidRDefault="00000000">
      <w:pPr>
        <w:spacing w:before="80" w:after="80" w:line="340" w:lineRule="auto"/>
        <w:jc w:val="right"/>
      </w:pPr>
      <w:r>
        <w:rPr>
          <w:rFonts w:ascii="Times New Roman" w:eastAsia="Times New Roman" w:hAnsi="Times New Roman" w:cs="Times New Roman"/>
          <w:color w:val="000000"/>
          <w:sz w:val="22"/>
          <w:szCs w:val="22"/>
        </w:rPr>
        <w:t>UNODC. "Crime Prevention &amp; Criminal Justice Module 8: Restorative Justice." United Nations, 2018. pp. 6–9.</w:t>
      </w:r>
    </w:p>
    <w:p w14:paraId="40E0CC71" w14:textId="77777777" w:rsidR="00B91932" w:rsidRDefault="00B91932">
      <w:pPr>
        <w:spacing w:before="80" w:after="80"/>
      </w:pPr>
    </w:p>
    <w:p w14:paraId="0B0FDD7A" w14:textId="77777777" w:rsidR="00B91932" w:rsidRDefault="00000000">
      <w:pPr>
        <w:pStyle w:val="2"/>
        <w:bidi/>
        <w:jc w:val="right"/>
      </w:pPr>
      <w:r>
        <w:t>رابعاً: المصادر الإعلامية</w:t>
      </w:r>
    </w:p>
    <w:p w14:paraId="7AB03D4D" w14:textId="77777777" w:rsidR="00B91932" w:rsidRDefault="00000000">
      <w:pPr>
        <w:spacing w:before="80" w:after="80" w:line="340" w:lineRule="auto"/>
        <w:jc w:val="right"/>
      </w:pPr>
      <w:r>
        <w:rPr>
          <w:color w:val="000000"/>
        </w:rPr>
        <w:t>الجزيرة نت. "ثورة.. ذكاء اصطناعي عربي صممه شابان سوريان يتمرد على عمالقة وادي السيليكون". 31 ديسمبر 2025.</w:t>
      </w:r>
    </w:p>
    <w:p w14:paraId="562CA4B6" w14:textId="77777777" w:rsidR="00B91932" w:rsidRDefault="00000000">
      <w:pPr>
        <w:spacing w:before="80" w:after="80" w:line="340" w:lineRule="auto"/>
        <w:jc w:val="right"/>
      </w:pPr>
      <w:r>
        <w:rPr>
          <w:color w:val="000000"/>
        </w:rPr>
        <w:t>جريدة المدن. "ثورة.. منصة ذكاء اصطناعي سورية". 17 يناير 2026.</w:t>
      </w:r>
    </w:p>
    <w:p w14:paraId="09B7CFFC" w14:textId="77777777" w:rsidR="00B91932" w:rsidRDefault="00B91932">
      <w:pPr>
        <w:spacing w:before="80" w:after="80"/>
      </w:pPr>
    </w:p>
    <w:p w14:paraId="6BB29F4E" w14:textId="77777777" w:rsidR="00B91932" w:rsidRDefault="00000000">
      <w:pPr>
        <w:pStyle w:val="2"/>
        <w:bidi/>
        <w:jc w:val="right"/>
      </w:pPr>
      <w:r>
        <w:t>خامساً: المصادر الأولية الاستخلافية</w:t>
      </w:r>
    </w:p>
    <w:p w14:paraId="3E966C58" w14:textId="77777777" w:rsidR="00B91932" w:rsidRDefault="00000000">
      <w:pPr>
        <w:spacing w:before="80" w:after="80" w:line="340" w:lineRule="auto"/>
        <w:jc w:val="right"/>
      </w:pPr>
      <w:r>
        <w:rPr>
          <w:color w:val="000000"/>
        </w:rPr>
        <w:t>الزراع، عبد السلام. النفس الاستخلافية والأضلاع الثمانية. سلسلة الدراسات الاستخلافية، 2025–2026.</w:t>
      </w:r>
    </w:p>
    <w:p w14:paraId="2BC7534C" w14:textId="77777777" w:rsidR="00B91932" w:rsidRDefault="00000000">
      <w:pPr>
        <w:spacing w:before="80" w:after="80" w:line="340" w:lineRule="auto"/>
        <w:jc w:val="right"/>
      </w:pPr>
      <w:r>
        <w:rPr>
          <w:color w:val="000000"/>
        </w:rPr>
        <w:t>الزراع، عبد السلام. البعد الرابع في نموذج TLRT. ضمن: الدليل السريري للبروتوكول التحويلي، 2025.</w:t>
      </w:r>
    </w:p>
    <w:p w14:paraId="18D35098" w14:textId="77777777" w:rsidR="00B91932" w:rsidRDefault="00B91932">
      <w:pPr>
        <w:spacing w:before="80" w:after="80"/>
      </w:pPr>
    </w:p>
    <w:p w14:paraId="7DC7A3B8" w14:textId="77777777" w:rsidR="00B91932" w:rsidRDefault="00000000">
      <w:pPr>
        <w:pStyle w:val="2"/>
        <w:bidi/>
        <w:jc w:val="right"/>
      </w:pPr>
      <w:r>
        <w:t>سادساً: المصادر القرآنية والحديثية</w:t>
      </w:r>
    </w:p>
    <w:p w14:paraId="6EE0B523" w14:textId="77777777" w:rsidR="00B91932" w:rsidRDefault="00B91932">
      <w:pPr>
        <w:spacing w:before="60" w:after="60"/>
      </w:pP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66"/>
        <w:gridCol w:w="3067"/>
        <w:gridCol w:w="3067"/>
      </w:tblGrid>
      <w:tr w:rsidR="00B91932" w14:paraId="339FC870" w14:textId="77777777">
        <w:tblPrEx>
          <w:tblCellMar>
            <w:top w:w="0" w:type="dxa"/>
            <w:bottom w:w="0" w:type="dxa"/>
          </w:tblCellMar>
        </w:tblPrEx>
        <w:trPr>
          <w:tblHeader/>
        </w:trPr>
        <w:tc>
          <w:tcPr>
            <w:tcW w:w="3066" w:type="dxa"/>
            <w:tcBorders>
              <w:top w:val="single" w:sz="4" w:space="0" w:color="CCCCCC"/>
              <w:left w:val="single" w:sz="4" w:space="0" w:color="CCCCCC"/>
              <w:bottom w:val="single" w:sz="4" w:space="0" w:color="CCCCCC"/>
              <w:right w:val="single" w:sz="4" w:space="0" w:color="CCCCCC"/>
            </w:tcBorders>
            <w:shd w:val="clear" w:color="auto" w:fill="0D1B33"/>
            <w:tcMar>
              <w:top w:w="100" w:type="dxa"/>
              <w:left w:w="140" w:type="dxa"/>
              <w:bottom w:w="100" w:type="dxa"/>
              <w:right w:w="140" w:type="dxa"/>
            </w:tcMar>
          </w:tcPr>
          <w:p w14:paraId="3D92041D" w14:textId="77777777" w:rsidR="00B91932" w:rsidRDefault="00000000">
            <w:pPr>
              <w:jc w:val="center"/>
            </w:pPr>
            <w:r>
              <w:rPr>
                <w:b/>
                <w:bCs/>
                <w:color w:val="FFFFFF"/>
                <w:sz w:val="24"/>
                <w:szCs w:val="24"/>
              </w:rPr>
              <w:t>النص</w:t>
            </w:r>
          </w:p>
        </w:tc>
        <w:tc>
          <w:tcPr>
            <w:tcW w:w="3066" w:type="dxa"/>
            <w:tcBorders>
              <w:top w:val="single" w:sz="4" w:space="0" w:color="CCCCCC"/>
              <w:left w:val="single" w:sz="4" w:space="0" w:color="CCCCCC"/>
              <w:bottom w:val="single" w:sz="4" w:space="0" w:color="CCCCCC"/>
              <w:right w:val="single" w:sz="4" w:space="0" w:color="CCCCCC"/>
            </w:tcBorders>
            <w:shd w:val="clear" w:color="auto" w:fill="0D1B33"/>
            <w:tcMar>
              <w:top w:w="100" w:type="dxa"/>
              <w:left w:w="140" w:type="dxa"/>
              <w:bottom w:w="100" w:type="dxa"/>
              <w:right w:w="140" w:type="dxa"/>
            </w:tcMar>
          </w:tcPr>
          <w:p w14:paraId="25B4A4E1" w14:textId="77777777" w:rsidR="00B91932" w:rsidRDefault="00000000">
            <w:pPr>
              <w:jc w:val="center"/>
            </w:pPr>
            <w:r>
              <w:rPr>
                <w:b/>
                <w:bCs/>
                <w:color w:val="FFFFFF"/>
                <w:sz w:val="24"/>
                <w:szCs w:val="24"/>
              </w:rPr>
              <w:t>السورة/المصدر</w:t>
            </w:r>
          </w:p>
        </w:tc>
        <w:tc>
          <w:tcPr>
            <w:tcW w:w="3066" w:type="dxa"/>
            <w:tcBorders>
              <w:top w:val="single" w:sz="4" w:space="0" w:color="CCCCCC"/>
              <w:left w:val="single" w:sz="4" w:space="0" w:color="CCCCCC"/>
              <w:bottom w:val="single" w:sz="4" w:space="0" w:color="CCCCCC"/>
              <w:right w:val="single" w:sz="4" w:space="0" w:color="CCCCCC"/>
            </w:tcBorders>
            <w:shd w:val="clear" w:color="auto" w:fill="0D1B33"/>
            <w:tcMar>
              <w:top w:w="100" w:type="dxa"/>
              <w:left w:w="140" w:type="dxa"/>
              <w:bottom w:w="100" w:type="dxa"/>
              <w:right w:w="140" w:type="dxa"/>
            </w:tcMar>
          </w:tcPr>
          <w:p w14:paraId="1E260523" w14:textId="77777777" w:rsidR="00B91932" w:rsidRDefault="00000000">
            <w:pPr>
              <w:jc w:val="center"/>
            </w:pPr>
            <w:r>
              <w:rPr>
                <w:b/>
                <w:bCs/>
                <w:color w:val="FFFFFF"/>
                <w:sz w:val="24"/>
                <w:szCs w:val="24"/>
              </w:rPr>
              <w:t>رقم الآية/الحديث</w:t>
            </w:r>
          </w:p>
        </w:tc>
      </w:tr>
      <w:tr w:rsidR="00B91932" w14:paraId="73E64487" w14:textId="77777777">
        <w:tblPrEx>
          <w:tblCellMar>
            <w:top w:w="0" w:type="dxa"/>
            <w:bottom w:w="0" w:type="dxa"/>
          </w:tblCellMar>
        </w:tblPrEx>
        <w:tc>
          <w:tcPr>
            <w:tcW w:w="3066" w:type="dxa"/>
            <w:tcBorders>
              <w:top w:val="single" w:sz="4" w:space="0" w:color="CCCCCC"/>
              <w:left w:val="single" w:sz="4" w:space="0" w:color="CCCCCC"/>
              <w:bottom w:val="single" w:sz="4" w:space="0" w:color="CCCCCC"/>
              <w:right w:val="single" w:sz="4" w:space="0" w:color="CCCCCC"/>
            </w:tcBorders>
            <w:shd w:val="clear" w:color="auto" w:fill="F7F9FB"/>
            <w:tcMar>
              <w:top w:w="90" w:type="dxa"/>
              <w:left w:w="120" w:type="dxa"/>
              <w:bottom w:w="90" w:type="dxa"/>
              <w:right w:w="120" w:type="dxa"/>
            </w:tcMar>
          </w:tcPr>
          <w:p w14:paraId="13D9376C" w14:textId="77777777" w:rsidR="00B91932" w:rsidRDefault="00000000">
            <w:pPr>
              <w:jc w:val="right"/>
            </w:pPr>
            <w:r>
              <w:rPr>
                <w:color w:val="0D1B33"/>
                <w:sz w:val="23"/>
                <w:szCs w:val="23"/>
              </w:rPr>
              <w:t>﴿وَسَخَّرَ لَكُم مَّا فِي السَّمَاوَاتِ وَمَا فِي الْأَرْضِ جَمِيعاً مِّنْهُ﴾</w:t>
            </w:r>
          </w:p>
        </w:tc>
        <w:tc>
          <w:tcPr>
            <w:tcW w:w="3066" w:type="dxa"/>
            <w:tcBorders>
              <w:top w:val="single" w:sz="4" w:space="0" w:color="CCCCCC"/>
              <w:left w:val="single" w:sz="4" w:space="0" w:color="CCCCCC"/>
              <w:bottom w:val="single" w:sz="4" w:space="0" w:color="CCCCCC"/>
              <w:right w:val="single" w:sz="4" w:space="0" w:color="CCCCCC"/>
            </w:tcBorders>
            <w:shd w:val="clear" w:color="auto" w:fill="F7F9FB"/>
            <w:tcMar>
              <w:top w:w="90" w:type="dxa"/>
              <w:left w:w="120" w:type="dxa"/>
              <w:bottom w:w="90" w:type="dxa"/>
              <w:right w:w="120" w:type="dxa"/>
            </w:tcMar>
          </w:tcPr>
          <w:p w14:paraId="0F2FEFB2" w14:textId="77777777" w:rsidR="00B91932" w:rsidRDefault="00000000">
            <w:pPr>
              <w:jc w:val="right"/>
            </w:pPr>
            <w:r>
              <w:rPr>
                <w:color w:val="0D1B33"/>
                <w:sz w:val="23"/>
                <w:szCs w:val="23"/>
              </w:rPr>
              <w:t>سورة الجاثية</w:t>
            </w:r>
          </w:p>
        </w:tc>
        <w:tc>
          <w:tcPr>
            <w:tcW w:w="3066" w:type="dxa"/>
            <w:tcBorders>
              <w:top w:val="single" w:sz="4" w:space="0" w:color="CCCCCC"/>
              <w:left w:val="single" w:sz="4" w:space="0" w:color="CCCCCC"/>
              <w:bottom w:val="single" w:sz="4" w:space="0" w:color="CCCCCC"/>
              <w:right w:val="single" w:sz="4" w:space="0" w:color="CCCCCC"/>
            </w:tcBorders>
            <w:shd w:val="clear" w:color="auto" w:fill="F7F9FB"/>
            <w:tcMar>
              <w:top w:w="90" w:type="dxa"/>
              <w:left w:w="120" w:type="dxa"/>
              <w:bottom w:w="90" w:type="dxa"/>
              <w:right w:w="120" w:type="dxa"/>
            </w:tcMar>
          </w:tcPr>
          <w:p w14:paraId="3D0B41C0" w14:textId="77777777" w:rsidR="00B91932" w:rsidRDefault="00000000">
            <w:pPr>
              <w:jc w:val="right"/>
            </w:pPr>
            <w:r>
              <w:rPr>
                <w:color w:val="0D1B33"/>
                <w:sz w:val="23"/>
                <w:szCs w:val="23"/>
              </w:rPr>
              <w:t>13</w:t>
            </w:r>
          </w:p>
        </w:tc>
      </w:tr>
      <w:tr w:rsidR="00B91932" w14:paraId="26A5B417" w14:textId="77777777">
        <w:tblPrEx>
          <w:tblCellMar>
            <w:top w:w="0" w:type="dxa"/>
            <w:bottom w:w="0" w:type="dxa"/>
          </w:tblCellMar>
        </w:tblPrEx>
        <w:tc>
          <w:tcPr>
            <w:tcW w:w="3066" w:type="dxa"/>
            <w:tcBorders>
              <w:top w:val="single" w:sz="4" w:space="0" w:color="CCCCCC"/>
              <w:left w:val="single" w:sz="4" w:space="0" w:color="CCCCCC"/>
              <w:bottom w:val="single" w:sz="4" w:space="0" w:color="CCCCCC"/>
              <w:right w:val="single" w:sz="4" w:space="0" w:color="CCCCCC"/>
            </w:tcBorders>
            <w:shd w:val="clear" w:color="auto" w:fill="FFFFFF"/>
            <w:tcMar>
              <w:top w:w="90" w:type="dxa"/>
              <w:left w:w="120" w:type="dxa"/>
              <w:bottom w:w="90" w:type="dxa"/>
              <w:right w:w="120" w:type="dxa"/>
            </w:tcMar>
          </w:tcPr>
          <w:p w14:paraId="63DFF0D1" w14:textId="77777777" w:rsidR="00B91932" w:rsidRDefault="00000000">
            <w:pPr>
              <w:jc w:val="right"/>
            </w:pPr>
            <w:r>
              <w:rPr>
                <w:color w:val="0D1B33"/>
                <w:sz w:val="23"/>
                <w:szCs w:val="23"/>
              </w:rPr>
              <w:t>﴿وَلَا تَتَّبِعُوا۟ خُطُوَٰتِ ٱلشَّيۡطَٰنِ﴾</w:t>
            </w:r>
          </w:p>
        </w:tc>
        <w:tc>
          <w:tcPr>
            <w:tcW w:w="3066" w:type="dxa"/>
            <w:tcBorders>
              <w:top w:val="single" w:sz="4" w:space="0" w:color="CCCCCC"/>
              <w:left w:val="single" w:sz="4" w:space="0" w:color="CCCCCC"/>
              <w:bottom w:val="single" w:sz="4" w:space="0" w:color="CCCCCC"/>
              <w:right w:val="single" w:sz="4" w:space="0" w:color="CCCCCC"/>
            </w:tcBorders>
            <w:shd w:val="clear" w:color="auto" w:fill="FFFFFF"/>
            <w:tcMar>
              <w:top w:w="90" w:type="dxa"/>
              <w:left w:w="120" w:type="dxa"/>
              <w:bottom w:w="90" w:type="dxa"/>
              <w:right w:w="120" w:type="dxa"/>
            </w:tcMar>
          </w:tcPr>
          <w:p w14:paraId="212672D8" w14:textId="77777777" w:rsidR="00B91932" w:rsidRDefault="00000000">
            <w:pPr>
              <w:jc w:val="right"/>
            </w:pPr>
            <w:r>
              <w:rPr>
                <w:color w:val="0D1B33"/>
                <w:sz w:val="23"/>
                <w:szCs w:val="23"/>
              </w:rPr>
              <w:t>سورة البقرة</w:t>
            </w:r>
          </w:p>
        </w:tc>
        <w:tc>
          <w:tcPr>
            <w:tcW w:w="3066" w:type="dxa"/>
            <w:tcBorders>
              <w:top w:val="single" w:sz="4" w:space="0" w:color="CCCCCC"/>
              <w:left w:val="single" w:sz="4" w:space="0" w:color="CCCCCC"/>
              <w:bottom w:val="single" w:sz="4" w:space="0" w:color="CCCCCC"/>
              <w:right w:val="single" w:sz="4" w:space="0" w:color="CCCCCC"/>
            </w:tcBorders>
            <w:shd w:val="clear" w:color="auto" w:fill="FFFFFF"/>
            <w:tcMar>
              <w:top w:w="90" w:type="dxa"/>
              <w:left w:w="120" w:type="dxa"/>
              <w:bottom w:w="90" w:type="dxa"/>
              <w:right w:w="120" w:type="dxa"/>
            </w:tcMar>
          </w:tcPr>
          <w:p w14:paraId="5B10980B" w14:textId="77777777" w:rsidR="00B91932" w:rsidRDefault="00000000">
            <w:pPr>
              <w:jc w:val="right"/>
            </w:pPr>
            <w:r>
              <w:rPr>
                <w:color w:val="0D1B33"/>
                <w:sz w:val="23"/>
                <w:szCs w:val="23"/>
              </w:rPr>
              <w:t>168</w:t>
            </w:r>
          </w:p>
        </w:tc>
      </w:tr>
      <w:tr w:rsidR="00B91932" w14:paraId="04EC6DF7" w14:textId="77777777">
        <w:tblPrEx>
          <w:tblCellMar>
            <w:top w:w="0" w:type="dxa"/>
            <w:bottom w:w="0" w:type="dxa"/>
          </w:tblCellMar>
        </w:tblPrEx>
        <w:tc>
          <w:tcPr>
            <w:tcW w:w="3066" w:type="dxa"/>
            <w:tcBorders>
              <w:top w:val="single" w:sz="4" w:space="0" w:color="CCCCCC"/>
              <w:left w:val="single" w:sz="4" w:space="0" w:color="CCCCCC"/>
              <w:bottom w:val="single" w:sz="4" w:space="0" w:color="CCCCCC"/>
              <w:right w:val="single" w:sz="4" w:space="0" w:color="CCCCCC"/>
            </w:tcBorders>
            <w:shd w:val="clear" w:color="auto" w:fill="F7F9FB"/>
            <w:tcMar>
              <w:top w:w="90" w:type="dxa"/>
              <w:left w:w="120" w:type="dxa"/>
              <w:bottom w:w="90" w:type="dxa"/>
              <w:right w:w="120" w:type="dxa"/>
            </w:tcMar>
          </w:tcPr>
          <w:p w14:paraId="3DFAA4E1" w14:textId="77777777" w:rsidR="00B91932" w:rsidRDefault="00000000">
            <w:pPr>
              <w:jc w:val="right"/>
            </w:pPr>
            <w:r>
              <w:rPr>
                <w:color w:val="0D1B33"/>
                <w:sz w:val="23"/>
                <w:szCs w:val="23"/>
              </w:rPr>
              <w:t>﴿وَلَا تَقۡفُ مَا لَيۡسَ لَكَ بِهِۦ عِلۡمٌ﴾</w:t>
            </w:r>
          </w:p>
        </w:tc>
        <w:tc>
          <w:tcPr>
            <w:tcW w:w="3066" w:type="dxa"/>
            <w:tcBorders>
              <w:top w:val="single" w:sz="4" w:space="0" w:color="CCCCCC"/>
              <w:left w:val="single" w:sz="4" w:space="0" w:color="CCCCCC"/>
              <w:bottom w:val="single" w:sz="4" w:space="0" w:color="CCCCCC"/>
              <w:right w:val="single" w:sz="4" w:space="0" w:color="CCCCCC"/>
            </w:tcBorders>
            <w:shd w:val="clear" w:color="auto" w:fill="F7F9FB"/>
            <w:tcMar>
              <w:top w:w="90" w:type="dxa"/>
              <w:left w:w="120" w:type="dxa"/>
              <w:bottom w:w="90" w:type="dxa"/>
              <w:right w:w="120" w:type="dxa"/>
            </w:tcMar>
          </w:tcPr>
          <w:p w14:paraId="5394335D" w14:textId="77777777" w:rsidR="00B91932" w:rsidRDefault="00000000">
            <w:pPr>
              <w:jc w:val="right"/>
            </w:pPr>
            <w:r>
              <w:rPr>
                <w:color w:val="0D1B33"/>
                <w:sz w:val="23"/>
                <w:szCs w:val="23"/>
              </w:rPr>
              <w:t>سورة الإسراء</w:t>
            </w:r>
          </w:p>
        </w:tc>
        <w:tc>
          <w:tcPr>
            <w:tcW w:w="3066" w:type="dxa"/>
            <w:tcBorders>
              <w:top w:val="single" w:sz="4" w:space="0" w:color="CCCCCC"/>
              <w:left w:val="single" w:sz="4" w:space="0" w:color="CCCCCC"/>
              <w:bottom w:val="single" w:sz="4" w:space="0" w:color="CCCCCC"/>
              <w:right w:val="single" w:sz="4" w:space="0" w:color="CCCCCC"/>
            </w:tcBorders>
            <w:shd w:val="clear" w:color="auto" w:fill="F7F9FB"/>
            <w:tcMar>
              <w:top w:w="90" w:type="dxa"/>
              <w:left w:w="120" w:type="dxa"/>
              <w:bottom w:w="90" w:type="dxa"/>
              <w:right w:w="120" w:type="dxa"/>
            </w:tcMar>
          </w:tcPr>
          <w:p w14:paraId="778358A3" w14:textId="77777777" w:rsidR="00B91932" w:rsidRDefault="00000000">
            <w:pPr>
              <w:jc w:val="right"/>
            </w:pPr>
            <w:r>
              <w:rPr>
                <w:color w:val="0D1B33"/>
                <w:sz w:val="23"/>
                <w:szCs w:val="23"/>
              </w:rPr>
              <w:t>36</w:t>
            </w:r>
          </w:p>
        </w:tc>
      </w:tr>
      <w:tr w:rsidR="00B91932" w14:paraId="23ED6053" w14:textId="77777777">
        <w:tblPrEx>
          <w:tblCellMar>
            <w:top w:w="0" w:type="dxa"/>
            <w:bottom w:w="0" w:type="dxa"/>
          </w:tblCellMar>
        </w:tblPrEx>
        <w:tc>
          <w:tcPr>
            <w:tcW w:w="3066" w:type="dxa"/>
            <w:tcBorders>
              <w:top w:val="single" w:sz="4" w:space="0" w:color="CCCCCC"/>
              <w:left w:val="single" w:sz="4" w:space="0" w:color="CCCCCC"/>
              <w:bottom w:val="single" w:sz="4" w:space="0" w:color="CCCCCC"/>
              <w:right w:val="single" w:sz="4" w:space="0" w:color="CCCCCC"/>
            </w:tcBorders>
            <w:shd w:val="clear" w:color="auto" w:fill="FFFFFF"/>
            <w:tcMar>
              <w:top w:w="90" w:type="dxa"/>
              <w:left w:w="120" w:type="dxa"/>
              <w:bottom w:w="90" w:type="dxa"/>
              <w:right w:w="120" w:type="dxa"/>
            </w:tcMar>
          </w:tcPr>
          <w:p w14:paraId="7D433CDF" w14:textId="77777777" w:rsidR="00B91932" w:rsidRDefault="00000000">
            <w:pPr>
              <w:jc w:val="right"/>
            </w:pPr>
            <w:r>
              <w:rPr>
                <w:color w:val="0D1B33"/>
                <w:sz w:val="23"/>
                <w:szCs w:val="23"/>
              </w:rPr>
              <w:t>﴿إِنَّ ٱللَّهَ يَأۡمُرُ بِٱلۡعَدۡلِ وَٱلۡإِحۡسَٰنِ﴾</w:t>
            </w:r>
          </w:p>
        </w:tc>
        <w:tc>
          <w:tcPr>
            <w:tcW w:w="3066" w:type="dxa"/>
            <w:tcBorders>
              <w:top w:val="single" w:sz="4" w:space="0" w:color="CCCCCC"/>
              <w:left w:val="single" w:sz="4" w:space="0" w:color="CCCCCC"/>
              <w:bottom w:val="single" w:sz="4" w:space="0" w:color="CCCCCC"/>
              <w:right w:val="single" w:sz="4" w:space="0" w:color="CCCCCC"/>
            </w:tcBorders>
            <w:shd w:val="clear" w:color="auto" w:fill="FFFFFF"/>
            <w:tcMar>
              <w:top w:w="90" w:type="dxa"/>
              <w:left w:w="120" w:type="dxa"/>
              <w:bottom w:w="90" w:type="dxa"/>
              <w:right w:w="120" w:type="dxa"/>
            </w:tcMar>
          </w:tcPr>
          <w:p w14:paraId="1783344B" w14:textId="77777777" w:rsidR="00B91932" w:rsidRDefault="00000000">
            <w:pPr>
              <w:jc w:val="right"/>
            </w:pPr>
            <w:r>
              <w:rPr>
                <w:color w:val="0D1B33"/>
                <w:sz w:val="23"/>
                <w:szCs w:val="23"/>
              </w:rPr>
              <w:t>سورة النحل</w:t>
            </w:r>
          </w:p>
        </w:tc>
        <w:tc>
          <w:tcPr>
            <w:tcW w:w="3066" w:type="dxa"/>
            <w:tcBorders>
              <w:top w:val="single" w:sz="4" w:space="0" w:color="CCCCCC"/>
              <w:left w:val="single" w:sz="4" w:space="0" w:color="CCCCCC"/>
              <w:bottom w:val="single" w:sz="4" w:space="0" w:color="CCCCCC"/>
              <w:right w:val="single" w:sz="4" w:space="0" w:color="CCCCCC"/>
            </w:tcBorders>
            <w:shd w:val="clear" w:color="auto" w:fill="FFFFFF"/>
            <w:tcMar>
              <w:top w:w="90" w:type="dxa"/>
              <w:left w:w="120" w:type="dxa"/>
              <w:bottom w:w="90" w:type="dxa"/>
              <w:right w:w="120" w:type="dxa"/>
            </w:tcMar>
          </w:tcPr>
          <w:p w14:paraId="1F79EFB3" w14:textId="77777777" w:rsidR="00B91932" w:rsidRDefault="00000000">
            <w:pPr>
              <w:jc w:val="right"/>
            </w:pPr>
            <w:r>
              <w:rPr>
                <w:color w:val="0D1B33"/>
                <w:sz w:val="23"/>
                <w:szCs w:val="23"/>
              </w:rPr>
              <w:t>90</w:t>
            </w:r>
          </w:p>
        </w:tc>
      </w:tr>
      <w:tr w:rsidR="00B91932" w14:paraId="57E9D697" w14:textId="77777777">
        <w:tblPrEx>
          <w:tblCellMar>
            <w:top w:w="0" w:type="dxa"/>
            <w:bottom w:w="0" w:type="dxa"/>
          </w:tblCellMar>
        </w:tblPrEx>
        <w:tc>
          <w:tcPr>
            <w:tcW w:w="3066" w:type="dxa"/>
            <w:tcBorders>
              <w:top w:val="single" w:sz="4" w:space="0" w:color="CCCCCC"/>
              <w:left w:val="single" w:sz="4" w:space="0" w:color="CCCCCC"/>
              <w:bottom w:val="single" w:sz="4" w:space="0" w:color="CCCCCC"/>
              <w:right w:val="single" w:sz="4" w:space="0" w:color="CCCCCC"/>
            </w:tcBorders>
            <w:shd w:val="clear" w:color="auto" w:fill="F7F9FB"/>
            <w:tcMar>
              <w:top w:w="90" w:type="dxa"/>
              <w:left w:w="120" w:type="dxa"/>
              <w:bottom w:w="90" w:type="dxa"/>
              <w:right w:w="120" w:type="dxa"/>
            </w:tcMar>
          </w:tcPr>
          <w:p w14:paraId="64950FC4" w14:textId="77777777" w:rsidR="00B91932" w:rsidRDefault="00000000">
            <w:pPr>
              <w:jc w:val="right"/>
            </w:pPr>
            <w:r>
              <w:rPr>
                <w:color w:val="0D1B33"/>
                <w:sz w:val="23"/>
                <w:szCs w:val="23"/>
              </w:rPr>
              <w:t>﴿لِّتَكُونُوا۟ شُهَدَآءَ عَلَى ٱلنَّاسِ﴾</w:t>
            </w:r>
          </w:p>
        </w:tc>
        <w:tc>
          <w:tcPr>
            <w:tcW w:w="3066" w:type="dxa"/>
            <w:tcBorders>
              <w:top w:val="single" w:sz="4" w:space="0" w:color="CCCCCC"/>
              <w:left w:val="single" w:sz="4" w:space="0" w:color="CCCCCC"/>
              <w:bottom w:val="single" w:sz="4" w:space="0" w:color="CCCCCC"/>
              <w:right w:val="single" w:sz="4" w:space="0" w:color="CCCCCC"/>
            </w:tcBorders>
            <w:shd w:val="clear" w:color="auto" w:fill="F7F9FB"/>
            <w:tcMar>
              <w:top w:w="90" w:type="dxa"/>
              <w:left w:w="120" w:type="dxa"/>
              <w:bottom w:w="90" w:type="dxa"/>
              <w:right w:w="120" w:type="dxa"/>
            </w:tcMar>
          </w:tcPr>
          <w:p w14:paraId="458AB436" w14:textId="77777777" w:rsidR="00B91932" w:rsidRDefault="00000000">
            <w:pPr>
              <w:jc w:val="right"/>
            </w:pPr>
            <w:r>
              <w:rPr>
                <w:color w:val="0D1B33"/>
                <w:sz w:val="23"/>
                <w:szCs w:val="23"/>
              </w:rPr>
              <w:t>سورة الحج</w:t>
            </w:r>
          </w:p>
        </w:tc>
        <w:tc>
          <w:tcPr>
            <w:tcW w:w="3066" w:type="dxa"/>
            <w:tcBorders>
              <w:top w:val="single" w:sz="4" w:space="0" w:color="CCCCCC"/>
              <w:left w:val="single" w:sz="4" w:space="0" w:color="CCCCCC"/>
              <w:bottom w:val="single" w:sz="4" w:space="0" w:color="CCCCCC"/>
              <w:right w:val="single" w:sz="4" w:space="0" w:color="CCCCCC"/>
            </w:tcBorders>
            <w:shd w:val="clear" w:color="auto" w:fill="F7F9FB"/>
            <w:tcMar>
              <w:top w:w="90" w:type="dxa"/>
              <w:left w:w="120" w:type="dxa"/>
              <w:bottom w:w="90" w:type="dxa"/>
              <w:right w:w="120" w:type="dxa"/>
            </w:tcMar>
          </w:tcPr>
          <w:p w14:paraId="75304592" w14:textId="77777777" w:rsidR="00B91932" w:rsidRDefault="00000000">
            <w:pPr>
              <w:jc w:val="right"/>
            </w:pPr>
            <w:r>
              <w:rPr>
                <w:color w:val="0D1B33"/>
                <w:sz w:val="23"/>
                <w:szCs w:val="23"/>
              </w:rPr>
              <w:t>78</w:t>
            </w:r>
          </w:p>
        </w:tc>
      </w:tr>
      <w:tr w:rsidR="00B91932" w14:paraId="2FB39628" w14:textId="77777777">
        <w:tblPrEx>
          <w:tblCellMar>
            <w:top w:w="0" w:type="dxa"/>
            <w:bottom w:w="0" w:type="dxa"/>
          </w:tblCellMar>
        </w:tblPrEx>
        <w:tc>
          <w:tcPr>
            <w:tcW w:w="3066" w:type="dxa"/>
            <w:tcBorders>
              <w:top w:val="single" w:sz="4" w:space="0" w:color="CCCCCC"/>
              <w:left w:val="single" w:sz="4" w:space="0" w:color="CCCCCC"/>
              <w:bottom w:val="single" w:sz="4" w:space="0" w:color="CCCCCC"/>
              <w:right w:val="single" w:sz="4" w:space="0" w:color="CCCCCC"/>
            </w:tcBorders>
            <w:shd w:val="clear" w:color="auto" w:fill="FFFFFF"/>
            <w:tcMar>
              <w:top w:w="90" w:type="dxa"/>
              <w:left w:w="120" w:type="dxa"/>
              <w:bottom w:w="90" w:type="dxa"/>
              <w:right w:w="120" w:type="dxa"/>
            </w:tcMar>
          </w:tcPr>
          <w:p w14:paraId="40DA55EB" w14:textId="77777777" w:rsidR="00B91932" w:rsidRDefault="00000000">
            <w:pPr>
              <w:jc w:val="right"/>
            </w:pPr>
            <w:r>
              <w:rPr>
                <w:color w:val="0D1B33"/>
                <w:sz w:val="23"/>
                <w:szCs w:val="23"/>
              </w:rPr>
              <w:t>﴿وَقُلِ ٱعۡمَلُوا۟ فَسَيَرَى ٱللَّهُ عَمَلَكُمۡ﴾</w:t>
            </w:r>
          </w:p>
        </w:tc>
        <w:tc>
          <w:tcPr>
            <w:tcW w:w="3066" w:type="dxa"/>
            <w:tcBorders>
              <w:top w:val="single" w:sz="4" w:space="0" w:color="CCCCCC"/>
              <w:left w:val="single" w:sz="4" w:space="0" w:color="CCCCCC"/>
              <w:bottom w:val="single" w:sz="4" w:space="0" w:color="CCCCCC"/>
              <w:right w:val="single" w:sz="4" w:space="0" w:color="CCCCCC"/>
            </w:tcBorders>
            <w:shd w:val="clear" w:color="auto" w:fill="FFFFFF"/>
            <w:tcMar>
              <w:top w:w="90" w:type="dxa"/>
              <w:left w:w="120" w:type="dxa"/>
              <w:bottom w:w="90" w:type="dxa"/>
              <w:right w:w="120" w:type="dxa"/>
            </w:tcMar>
          </w:tcPr>
          <w:p w14:paraId="131EE3E7" w14:textId="77777777" w:rsidR="00B91932" w:rsidRDefault="00000000">
            <w:pPr>
              <w:jc w:val="right"/>
            </w:pPr>
            <w:r>
              <w:rPr>
                <w:color w:val="0D1B33"/>
                <w:sz w:val="23"/>
                <w:szCs w:val="23"/>
              </w:rPr>
              <w:t>سورة التوبة</w:t>
            </w:r>
          </w:p>
        </w:tc>
        <w:tc>
          <w:tcPr>
            <w:tcW w:w="3066" w:type="dxa"/>
            <w:tcBorders>
              <w:top w:val="single" w:sz="4" w:space="0" w:color="CCCCCC"/>
              <w:left w:val="single" w:sz="4" w:space="0" w:color="CCCCCC"/>
              <w:bottom w:val="single" w:sz="4" w:space="0" w:color="CCCCCC"/>
              <w:right w:val="single" w:sz="4" w:space="0" w:color="CCCCCC"/>
            </w:tcBorders>
            <w:shd w:val="clear" w:color="auto" w:fill="FFFFFF"/>
            <w:tcMar>
              <w:top w:w="90" w:type="dxa"/>
              <w:left w:w="120" w:type="dxa"/>
              <w:bottom w:w="90" w:type="dxa"/>
              <w:right w:w="120" w:type="dxa"/>
            </w:tcMar>
          </w:tcPr>
          <w:p w14:paraId="2319CBFE" w14:textId="77777777" w:rsidR="00B91932" w:rsidRDefault="00000000">
            <w:pPr>
              <w:jc w:val="right"/>
            </w:pPr>
            <w:r>
              <w:rPr>
                <w:color w:val="0D1B33"/>
                <w:sz w:val="23"/>
                <w:szCs w:val="23"/>
              </w:rPr>
              <w:t>105</w:t>
            </w:r>
          </w:p>
        </w:tc>
      </w:tr>
      <w:tr w:rsidR="00B91932" w14:paraId="38373205" w14:textId="77777777">
        <w:tblPrEx>
          <w:tblCellMar>
            <w:top w:w="0" w:type="dxa"/>
            <w:bottom w:w="0" w:type="dxa"/>
          </w:tblCellMar>
        </w:tblPrEx>
        <w:tc>
          <w:tcPr>
            <w:tcW w:w="3066" w:type="dxa"/>
            <w:tcBorders>
              <w:top w:val="single" w:sz="4" w:space="0" w:color="CCCCCC"/>
              <w:left w:val="single" w:sz="4" w:space="0" w:color="CCCCCC"/>
              <w:bottom w:val="single" w:sz="4" w:space="0" w:color="CCCCCC"/>
              <w:right w:val="single" w:sz="4" w:space="0" w:color="CCCCCC"/>
            </w:tcBorders>
            <w:shd w:val="clear" w:color="auto" w:fill="F7F9FB"/>
            <w:tcMar>
              <w:top w:w="90" w:type="dxa"/>
              <w:left w:w="120" w:type="dxa"/>
              <w:bottom w:w="90" w:type="dxa"/>
              <w:right w:w="120" w:type="dxa"/>
            </w:tcMar>
          </w:tcPr>
          <w:p w14:paraId="17944FEE" w14:textId="77777777" w:rsidR="00B91932" w:rsidRDefault="00000000">
            <w:pPr>
              <w:jc w:val="right"/>
            </w:pPr>
            <w:r>
              <w:rPr>
                <w:color w:val="0D1B33"/>
                <w:sz w:val="23"/>
                <w:szCs w:val="23"/>
              </w:rPr>
              <w:t>"إِنَّمَا الأَعْمَالُ بِالنِّيَّاتِ"</w:t>
            </w:r>
          </w:p>
        </w:tc>
        <w:tc>
          <w:tcPr>
            <w:tcW w:w="3066" w:type="dxa"/>
            <w:tcBorders>
              <w:top w:val="single" w:sz="4" w:space="0" w:color="CCCCCC"/>
              <w:left w:val="single" w:sz="4" w:space="0" w:color="CCCCCC"/>
              <w:bottom w:val="single" w:sz="4" w:space="0" w:color="CCCCCC"/>
              <w:right w:val="single" w:sz="4" w:space="0" w:color="CCCCCC"/>
            </w:tcBorders>
            <w:shd w:val="clear" w:color="auto" w:fill="F7F9FB"/>
            <w:tcMar>
              <w:top w:w="90" w:type="dxa"/>
              <w:left w:w="120" w:type="dxa"/>
              <w:bottom w:w="90" w:type="dxa"/>
              <w:right w:w="120" w:type="dxa"/>
            </w:tcMar>
          </w:tcPr>
          <w:p w14:paraId="2FCB174F" w14:textId="77777777" w:rsidR="00B91932" w:rsidRDefault="00000000">
            <w:pPr>
              <w:jc w:val="right"/>
            </w:pPr>
            <w:r>
              <w:rPr>
                <w:color w:val="0D1B33"/>
                <w:sz w:val="23"/>
                <w:szCs w:val="23"/>
              </w:rPr>
              <w:t>صحيح البخاري / مسلم</w:t>
            </w:r>
          </w:p>
        </w:tc>
        <w:tc>
          <w:tcPr>
            <w:tcW w:w="3066" w:type="dxa"/>
            <w:tcBorders>
              <w:top w:val="single" w:sz="4" w:space="0" w:color="CCCCCC"/>
              <w:left w:val="single" w:sz="4" w:space="0" w:color="CCCCCC"/>
              <w:bottom w:val="single" w:sz="4" w:space="0" w:color="CCCCCC"/>
              <w:right w:val="single" w:sz="4" w:space="0" w:color="CCCCCC"/>
            </w:tcBorders>
            <w:shd w:val="clear" w:color="auto" w:fill="F7F9FB"/>
            <w:tcMar>
              <w:top w:w="90" w:type="dxa"/>
              <w:left w:w="120" w:type="dxa"/>
              <w:bottom w:w="90" w:type="dxa"/>
              <w:right w:w="120" w:type="dxa"/>
            </w:tcMar>
          </w:tcPr>
          <w:p w14:paraId="1D49EDDE" w14:textId="77777777" w:rsidR="00B91932" w:rsidRDefault="00000000">
            <w:pPr>
              <w:jc w:val="right"/>
            </w:pPr>
            <w:r>
              <w:rPr>
                <w:color w:val="0D1B33"/>
                <w:sz w:val="23"/>
                <w:szCs w:val="23"/>
              </w:rPr>
              <w:t>البخاري (1)، مسلم (1907)</w:t>
            </w:r>
          </w:p>
        </w:tc>
      </w:tr>
    </w:tbl>
    <w:p w14:paraId="3886B186" w14:textId="77777777" w:rsidR="00B91932" w:rsidRDefault="00B91932">
      <w:pPr>
        <w:spacing w:before="100" w:after="100"/>
      </w:pPr>
    </w:p>
    <w:p w14:paraId="22553501" w14:textId="77777777" w:rsidR="00B91932" w:rsidRDefault="00000000">
      <w:pPr>
        <w:spacing w:before="200" w:after="100"/>
        <w:jc w:val="center"/>
      </w:pPr>
      <w:r>
        <w:rPr>
          <w:color w:val="9A7B1A"/>
        </w:rPr>
        <w:t>────────────────────</w:t>
      </w:r>
    </w:p>
    <w:p w14:paraId="39DF1A3E" w14:textId="77777777" w:rsidR="00B91932" w:rsidRDefault="00000000">
      <w:pPr>
        <w:spacing w:before="80" w:after="80"/>
        <w:jc w:val="center"/>
      </w:pPr>
      <w:r>
        <w:rPr>
          <w:color w:val="0A5E5E"/>
          <w:sz w:val="24"/>
          <w:szCs w:val="24"/>
        </w:rPr>
        <w:t>سلسلة الدراسات الاستخلافية</w:t>
      </w:r>
    </w:p>
    <w:p w14:paraId="3EFE7CD0" w14:textId="77777777" w:rsidR="00B91932" w:rsidRDefault="00000000">
      <w:pPr>
        <w:spacing w:before="60" w:after="60"/>
        <w:jc w:val="center"/>
      </w:pPr>
      <w:r>
        <w:rPr>
          <w:color w:val="0D1B33"/>
          <w:sz w:val="24"/>
          <w:szCs w:val="24"/>
        </w:rPr>
        <w:t>إعداد: الباحث عبد السلام الزراع</w:t>
      </w:r>
    </w:p>
    <w:p w14:paraId="44070B8F" w14:textId="54E218C7" w:rsidR="00B91932" w:rsidRDefault="00000000">
      <w:pPr>
        <w:spacing w:before="60" w:after="60"/>
        <w:jc w:val="center"/>
      </w:pPr>
      <w:r>
        <w:rPr>
          <w:color w:val="9A7B1A"/>
          <w:sz w:val="22"/>
          <w:szCs w:val="22"/>
        </w:rPr>
        <w:t xml:space="preserve"> – 1446هـ</w:t>
      </w:r>
    </w:p>
    <w:sectPr w:rsidR="00B91932">
      <w:pgSz w:w="11906" w:h="16838"/>
      <w:pgMar w:top="1440" w:right="1700" w:bottom="1440" w:left="17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B2"/>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 w:name="Aptos">
    <w:panose1 w:val="020B0004020202020204"/>
    <w:charset w:val="00"/>
    <w:family w:val="roman"/>
    <w:notTrueType/>
    <w:pitch w:val="default"/>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0135E3"/>
    <w:multiLevelType w:val="hybridMultilevel"/>
    <w:tmpl w:val="FFFFFFFF"/>
    <w:lvl w:ilvl="0" w:tplc="0FF20C14">
      <w:start w:val="1"/>
      <w:numFmt w:val="decimal"/>
      <w:lvlText w:val="%1."/>
      <w:lvlJc w:val="right"/>
      <w:pPr>
        <w:bidi/>
        <w:ind w:right="480" w:hanging="360"/>
      </w:pPr>
    </w:lvl>
    <w:lvl w:ilvl="1" w:tplc="DEDEABC2">
      <w:numFmt w:val="decimal"/>
      <w:lvlText w:val=""/>
      <w:lvlJc w:val="left"/>
    </w:lvl>
    <w:lvl w:ilvl="2" w:tplc="A022B7CE">
      <w:numFmt w:val="decimal"/>
      <w:lvlText w:val=""/>
      <w:lvlJc w:val="left"/>
    </w:lvl>
    <w:lvl w:ilvl="3" w:tplc="EE7E003C">
      <w:numFmt w:val="decimal"/>
      <w:lvlText w:val=""/>
      <w:lvlJc w:val="left"/>
    </w:lvl>
    <w:lvl w:ilvl="4" w:tplc="72B88F66">
      <w:numFmt w:val="decimal"/>
      <w:lvlText w:val=""/>
      <w:lvlJc w:val="left"/>
    </w:lvl>
    <w:lvl w:ilvl="5" w:tplc="C310D64A">
      <w:numFmt w:val="decimal"/>
      <w:lvlText w:val=""/>
      <w:lvlJc w:val="left"/>
    </w:lvl>
    <w:lvl w:ilvl="6" w:tplc="55620C0A">
      <w:numFmt w:val="decimal"/>
      <w:lvlText w:val=""/>
      <w:lvlJc w:val="left"/>
    </w:lvl>
    <w:lvl w:ilvl="7" w:tplc="1D3E27F8">
      <w:numFmt w:val="decimal"/>
      <w:lvlText w:val=""/>
      <w:lvlJc w:val="left"/>
    </w:lvl>
    <w:lvl w:ilvl="8" w:tplc="AAF62C58">
      <w:numFmt w:val="decimal"/>
      <w:lvlText w:val=""/>
      <w:lvlJc w:val="left"/>
    </w:lvl>
  </w:abstractNum>
  <w:abstractNum w:abstractNumId="1" w15:restartNumberingAfterBreak="0">
    <w:nsid w:val="43345A8D"/>
    <w:multiLevelType w:val="hybridMultilevel"/>
    <w:tmpl w:val="FFFFFFFF"/>
    <w:lvl w:ilvl="0" w:tplc="2B64F19E">
      <w:start w:val="1"/>
      <w:numFmt w:val="bullet"/>
      <w:lvlText w:val="●"/>
      <w:lvlJc w:val="right"/>
      <w:pPr>
        <w:bidi/>
        <w:ind w:right="480" w:hanging="360"/>
      </w:pPr>
    </w:lvl>
    <w:lvl w:ilvl="1" w:tplc="01CC54AA">
      <w:numFmt w:val="decimal"/>
      <w:lvlText w:val=""/>
      <w:lvlJc w:val="left"/>
    </w:lvl>
    <w:lvl w:ilvl="2" w:tplc="7F66FF96">
      <w:numFmt w:val="decimal"/>
      <w:lvlText w:val=""/>
      <w:lvlJc w:val="left"/>
    </w:lvl>
    <w:lvl w:ilvl="3" w:tplc="C924E1A0">
      <w:numFmt w:val="decimal"/>
      <w:lvlText w:val=""/>
      <w:lvlJc w:val="left"/>
    </w:lvl>
    <w:lvl w:ilvl="4" w:tplc="6EE00CC4">
      <w:numFmt w:val="decimal"/>
      <w:lvlText w:val=""/>
      <w:lvlJc w:val="left"/>
    </w:lvl>
    <w:lvl w:ilvl="5" w:tplc="1C6A5910">
      <w:numFmt w:val="decimal"/>
      <w:lvlText w:val=""/>
      <w:lvlJc w:val="left"/>
    </w:lvl>
    <w:lvl w:ilvl="6" w:tplc="162AAEDA">
      <w:numFmt w:val="decimal"/>
      <w:lvlText w:val=""/>
      <w:lvlJc w:val="left"/>
    </w:lvl>
    <w:lvl w:ilvl="7" w:tplc="6D827832">
      <w:numFmt w:val="decimal"/>
      <w:lvlText w:val=""/>
      <w:lvlJc w:val="left"/>
    </w:lvl>
    <w:lvl w:ilvl="8" w:tplc="A078BD1A">
      <w:numFmt w:val="decimal"/>
      <w:lvlText w:val=""/>
      <w:lvlJc w:val="left"/>
    </w:lvl>
  </w:abstractNum>
  <w:abstractNum w:abstractNumId="2" w15:restartNumberingAfterBreak="0">
    <w:nsid w:val="56400FCF"/>
    <w:multiLevelType w:val="hybridMultilevel"/>
    <w:tmpl w:val="FFFFFFFF"/>
    <w:lvl w:ilvl="0" w:tplc="760AEF6E">
      <w:start w:val="1"/>
      <w:numFmt w:val="bullet"/>
      <w:lvlText w:val="▸"/>
      <w:lvlJc w:val="right"/>
      <w:pPr>
        <w:bidi/>
        <w:ind w:right="480" w:hanging="360"/>
      </w:pPr>
    </w:lvl>
    <w:lvl w:ilvl="1" w:tplc="D6E4A654">
      <w:numFmt w:val="decimal"/>
      <w:lvlText w:val=""/>
      <w:lvlJc w:val="left"/>
    </w:lvl>
    <w:lvl w:ilvl="2" w:tplc="704EF350">
      <w:numFmt w:val="decimal"/>
      <w:lvlText w:val=""/>
      <w:lvlJc w:val="left"/>
    </w:lvl>
    <w:lvl w:ilvl="3" w:tplc="CB3E8EC2">
      <w:numFmt w:val="decimal"/>
      <w:lvlText w:val=""/>
      <w:lvlJc w:val="left"/>
    </w:lvl>
    <w:lvl w:ilvl="4" w:tplc="4E1624A4">
      <w:numFmt w:val="decimal"/>
      <w:lvlText w:val=""/>
      <w:lvlJc w:val="left"/>
    </w:lvl>
    <w:lvl w:ilvl="5" w:tplc="218C7D48">
      <w:numFmt w:val="decimal"/>
      <w:lvlText w:val=""/>
      <w:lvlJc w:val="left"/>
    </w:lvl>
    <w:lvl w:ilvl="6" w:tplc="B49AF220">
      <w:numFmt w:val="decimal"/>
      <w:lvlText w:val=""/>
      <w:lvlJc w:val="left"/>
    </w:lvl>
    <w:lvl w:ilvl="7" w:tplc="485C70D8">
      <w:numFmt w:val="decimal"/>
      <w:lvlText w:val=""/>
      <w:lvlJc w:val="left"/>
    </w:lvl>
    <w:lvl w:ilvl="8" w:tplc="A18AD88C">
      <w:numFmt w:val="decimal"/>
      <w:lvlText w:val=""/>
      <w:lvlJc w:val="left"/>
    </w:lvl>
  </w:abstractNum>
  <w:abstractNum w:abstractNumId="3" w15:restartNumberingAfterBreak="0">
    <w:nsid w:val="683628B3"/>
    <w:multiLevelType w:val="hybridMultilevel"/>
    <w:tmpl w:val="FFFFFFFF"/>
    <w:lvl w:ilvl="0" w:tplc="31364558">
      <w:start w:val="1"/>
      <w:numFmt w:val="bullet"/>
      <w:lvlText w:val="●"/>
      <w:lvlJc w:val="left"/>
      <w:pPr>
        <w:ind w:left="720" w:hanging="360"/>
      </w:pPr>
    </w:lvl>
    <w:lvl w:ilvl="1" w:tplc="907C8572">
      <w:start w:val="1"/>
      <w:numFmt w:val="bullet"/>
      <w:lvlText w:val="○"/>
      <w:lvlJc w:val="left"/>
      <w:pPr>
        <w:ind w:left="1440" w:hanging="360"/>
      </w:pPr>
    </w:lvl>
    <w:lvl w:ilvl="2" w:tplc="EDBE163E">
      <w:start w:val="1"/>
      <w:numFmt w:val="bullet"/>
      <w:lvlText w:val="■"/>
      <w:lvlJc w:val="left"/>
      <w:pPr>
        <w:ind w:left="2160" w:hanging="360"/>
      </w:pPr>
    </w:lvl>
    <w:lvl w:ilvl="3" w:tplc="C622BB2E">
      <w:start w:val="1"/>
      <w:numFmt w:val="bullet"/>
      <w:lvlText w:val="●"/>
      <w:lvlJc w:val="left"/>
      <w:pPr>
        <w:ind w:left="2880" w:hanging="360"/>
      </w:pPr>
    </w:lvl>
    <w:lvl w:ilvl="4" w:tplc="8E4A2714">
      <w:start w:val="1"/>
      <w:numFmt w:val="bullet"/>
      <w:lvlText w:val="○"/>
      <w:lvlJc w:val="left"/>
      <w:pPr>
        <w:ind w:left="3600" w:hanging="360"/>
      </w:pPr>
    </w:lvl>
    <w:lvl w:ilvl="5" w:tplc="B6EE5FA2">
      <w:start w:val="1"/>
      <w:numFmt w:val="bullet"/>
      <w:lvlText w:val="■"/>
      <w:lvlJc w:val="left"/>
      <w:pPr>
        <w:ind w:left="4320" w:hanging="360"/>
      </w:pPr>
    </w:lvl>
    <w:lvl w:ilvl="6" w:tplc="45147B60">
      <w:start w:val="1"/>
      <w:numFmt w:val="bullet"/>
      <w:lvlText w:val="●"/>
      <w:lvlJc w:val="left"/>
      <w:pPr>
        <w:ind w:left="5040" w:hanging="360"/>
      </w:pPr>
    </w:lvl>
    <w:lvl w:ilvl="7" w:tplc="999680F4">
      <w:start w:val="1"/>
      <w:numFmt w:val="bullet"/>
      <w:lvlText w:val="●"/>
      <w:lvlJc w:val="left"/>
      <w:pPr>
        <w:ind w:left="5760" w:hanging="360"/>
      </w:pPr>
    </w:lvl>
    <w:lvl w:ilvl="8" w:tplc="6F6E61E4">
      <w:start w:val="1"/>
      <w:numFmt w:val="bullet"/>
      <w:lvlText w:val="●"/>
      <w:lvlJc w:val="left"/>
      <w:pPr>
        <w:ind w:left="6480" w:hanging="360"/>
      </w:pPr>
    </w:lvl>
  </w:abstractNum>
  <w:abstractNum w:abstractNumId="4" w15:restartNumberingAfterBreak="0">
    <w:nsid w:val="6F0C6B1E"/>
    <w:multiLevelType w:val="hybridMultilevel"/>
    <w:tmpl w:val="FFFFFFFF"/>
    <w:lvl w:ilvl="0" w:tplc="4DDA1C32">
      <w:start w:val="1"/>
      <w:numFmt w:val="bullet"/>
      <w:lvlText w:val="◆"/>
      <w:lvlJc w:val="right"/>
      <w:pPr>
        <w:bidi/>
        <w:ind w:right="480" w:hanging="360"/>
      </w:pPr>
    </w:lvl>
    <w:lvl w:ilvl="1" w:tplc="002AC476">
      <w:numFmt w:val="decimal"/>
      <w:lvlText w:val=""/>
      <w:lvlJc w:val="left"/>
    </w:lvl>
    <w:lvl w:ilvl="2" w:tplc="780C05E0">
      <w:numFmt w:val="decimal"/>
      <w:lvlText w:val=""/>
      <w:lvlJc w:val="left"/>
    </w:lvl>
    <w:lvl w:ilvl="3" w:tplc="E6168F3C">
      <w:numFmt w:val="decimal"/>
      <w:lvlText w:val=""/>
      <w:lvlJc w:val="left"/>
    </w:lvl>
    <w:lvl w:ilvl="4" w:tplc="675C9CC2">
      <w:numFmt w:val="decimal"/>
      <w:lvlText w:val=""/>
      <w:lvlJc w:val="left"/>
    </w:lvl>
    <w:lvl w:ilvl="5" w:tplc="319A278E">
      <w:numFmt w:val="decimal"/>
      <w:lvlText w:val=""/>
      <w:lvlJc w:val="left"/>
    </w:lvl>
    <w:lvl w:ilvl="6" w:tplc="E19CAE3C">
      <w:numFmt w:val="decimal"/>
      <w:lvlText w:val=""/>
      <w:lvlJc w:val="left"/>
    </w:lvl>
    <w:lvl w:ilvl="7" w:tplc="B4C4597E">
      <w:numFmt w:val="decimal"/>
      <w:lvlText w:val=""/>
      <w:lvlJc w:val="left"/>
    </w:lvl>
    <w:lvl w:ilvl="8" w:tplc="B882C928">
      <w:numFmt w:val="decimal"/>
      <w:lvlText w:val=""/>
      <w:lvlJc w:val="left"/>
    </w:lvl>
  </w:abstractNum>
  <w:num w:numId="1" w16cid:durableId="149754600">
    <w:abstractNumId w:val="3"/>
    <w:lvlOverride w:ilvl="0">
      <w:startOverride w:val="1"/>
    </w:lvlOverride>
  </w:num>
  <w:num w:numId="2" w16cid:durableId="1140003486">
    <w:abstractNumId w:val="4"/>
    <w:lvlOverride w:ilvl="0">
      <w:startOverride w:val="1"/>
    </w:lvlOverride>
  </w:num>
  <w:num w:numId="3" w16cid:durableId="761413552">
    <w:abstractNumId w:val="2"/>
    <w:lvlOverride w:ilvl="0">
      <w:startOverride w:val="1"/>
    </w:lvlOverride>
  </w:num>
  <w:num w:numId="4" w16cid:durableId="140525435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1932"/>
    <w:rsid w:val="00254450"/>
    <w:rsid w:val="005453FA"/>
    <w:rsid w:val="00B919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05785603"/>
  <w15:docId w15:val="{4F731FD5-1EA2-5F46-97F5-ADDB99C06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6"/>
        <w:szCs w:val="26"/>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uiPriority w:val="9"/>
    <w:qFormat/>
    <w:pPr>
      <w:spacing w:before="320" w:after="160"/>
      <w:outlineLvl w:val="0"/>
    </w:pPr>
    <w:rPr>
      <w:b/>
      <w:bCs/>
      <w:color w:val="0D1B33"/>
      <w:sz w:val="34"/>
      <w:szCs w:val="34"/>
    </w:rPr>
  </w:style>
  <w:style w:type="paragraph" w:styleId="2">
    <w:name w:val="heading 2"/>
    <w:uiPriority w:val="9"/>
    <w:unhideWhenUsed/>
    <w:qFormat/>
    <w:pPr>
      <w:spacing w:before="240" w:after="120"/>
      <w:outlineLvl w:val="1"/>
    </w:pPr>
    <w:rPr>
      <w:b/>
      <w:bCs/>
      <w:color w:val="1A3A6B"/>
      <w:sz w:val="28"/>
      <w:szCs w:val="28"/>
    </w:rPr>
  </w:style>
  <w:style w:type="paragraph" w:styleId="3">
    <w:name w:val="heading 3"/>
    <w:uiPriority w:val="9"/>
    <w:unhideWhenUsed/>
    <w:qFormat/>
    <w:pPr>
      <w:spacing w:before="180" w:after="80"/>
      <w:outlineLvl w:val="2"/>
    </w:pPr>
    <w:rPr>
      <w:b/>
      <w:bCs/>
      <w:color w:val="0A5E5E"/>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4747</Words>
  <Characters>27063</Characters>
  <Application>Microsoft Office Word</Application>
  <DocSecurity>0</DocSecurity>
  <Lines>225</Lines>
  <Paragraphs>63</Paragraphs>
  <ScaleCrop>false</ScaleCrop>
  <Company/>
  <LinksUpToDate>false</LinksUpToDate>
  <CharactersWithSpaces>31747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zaraaabdesslem@gmail.com</cp:lastModifiedBy>
  <cp:revision>2</cp:revision>
  <dcterms:created xsi:type="dcterms:W3CDTF">2026-05-07T22:10:00Z</dcterms:created>
  <dcterms:modified xsi:type="dcterms:W3CDTF">2026-05-08T03:02:00Z</dcterms:modified>
</cp:coreProperties>
</file>