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D6224" w14:textId="77777777" w:rsidR="00FC056A" w:rsidRDefault="00FC056A">
      <w:pPr>
        <w:spacing w:before="700" w:after="60"/>
        <w:jc w:val="right"/>
      </w:pPr>
    </w:p>
    <w:p w14:paraId="508ABF84" w14:textId="77777777" w:rsidR="00FC056A" w:rsidRDefault="00000000">
      <w:pPr>
        <w:spacing w:after="40"/>
        <w:jc w:val="center"/>
      </w:pPr>
      <w:r>
        <w:rPr>
          <w:b/>
          <w:bCs/>
          <w:color w:val="9A7B1A"/>
          <w:sz w:val="36"/>
          <w:szCs w:val="36"/>
        </w:rPr>
        <w:t>بسم الله الرحمن الرحيم</w:t>
      </w:r>
    </w:p>
    <w:p w14:paraId="75E20CE2" w14:textId="77777777" w:rsidR="00FC056A" w:rsidRDefault="00FC056A">
      <w:pPr>
        <w:spacing w:before="80" w:after="80"/>
        <w:jc w:val="right"/>
      </w:pPr>
    </w:p>
    <w:p w14:paraId="7C152373" w14:textId="77777777" w:rsidR="00FC056A" w:rsidRDefault="00000000">
      <w:pPr>
        <w:spacing w:before="40" w:after="20"/>
        <w:jc w:val="center"/>
      </w:pPr>
      <w:r>
        <w:rPr>
          <w:b/>
          <w:bCs/>
          <w:color w:val="0D1B33"/>
          <w:sz w:val="52"/>
          <w:szCs w:val="52"/>
        </w:rPr>
        <w:t>تشريح «البقعة العمياء»</w:t>
      </w:r>
    </w:p>
    <w:p w14:paraId="51FDDB74" w14:textId="77777777" w:rsidR="00FC056A" w:rsidRDefault="00000000">
      <w:pPr>
        <w:spacing w:before="10" w:after="10"/>
        <w:jc w:val="center"/>
      </w:pPr>
      <w:r>
        <w:rPr>
          <w:b/>
          <w:bCs/>
          <w:color w:val="1A3A6B"/>
          <w:sz w:val="38"/>
          <w:szCs w:val="38"/>
        </w:rPr>
        <w:t>حوار بين التحيز الضمني وعلم النفس الاستخلافي</w:t>
      </w:r>
    </w:p>
    <w:p w14:paraId="12D8C18B" w14:textId="77777777" w:rsidR="00FC056A" w:rsidRDefault="00FC056A">
      <w:pPr>
        <w:spacing w:before="30" w:after="30"/>
        <w:jc w:val="right"/>
      </w:pPr>
    </w:p>
    <w:p w14:paraId="2085A127" w14:textId="77777777" w:rsidR="00FC056A" w:rsidRDefault="00000000">
      <w:pPr>
        <w:spacing w:before="10" w:after="10"/>
        <w:jc w:val="center"/>
      </w:pPr>
      <w:r>
        <w:rPr>
          <w:color w:val="0A5E5E"/>
          <w:sz w:val="28"/>
          <w:szCs w:val="28"/>
        </w:rPr>
        <w:t>مقاربة نقدية تأصيلية بين مدرسة باناجي-غرينوالد ونموذج TLRT الاستخلافي</w:t>
      </w:r>
    </w:p>
    <w:p w14:paraId="41841CBA" w14:textId="77777777" w:rsidR="00FC056A" w:rsidRDefault="00FC056A">
      <w:pPr>
        <w:spacing w:before="120" w:after="120"/>
        <w:jc w:val="right"/>
      </w:pPr>
    </w:p>
    <w:p w14:paraId="044ED0F5" w14:textId="77777777" w:rsidR="00FC056A" w:rsidRDefault="00FC056A">
      <w:pPr>
        <w:pBdr>
          <w:bottom w:val="single" w:sz="4" w:space="1" w:color="9A7B1A"/>
        </w:pBdr>
        <w:spacing w:before="100" w:after="100"/>
        <w:jc w:val="right"/>
      </w:pPr>
    </w:p>
    <w:p w14:paraId="5EB3021F" w14:textId="77777777" w:rsidR="00FC056A" w:rsidRDefault="00FC056A">
      <w:pPr>
        <w:spacing w:before="60" w:after="60"/>
        <w:jc w:val="right"/>
      </w:pPr>
    </w:p>
    <w:p w14:paraId="1465452B" w14:textId="77777777" w:rsidR="00FC056A" w:rsidRDefault="00000000">
      <w:pPr>
        <w:spacing w:before="20" w:after="10"/>
        <w:jc w:val="center"/>
      </w:pPr>
      <w:r>
        <w:rPr>
          <w:b/>
          <w:bCs/>
          <w:color w:val="0D1B33"/>
          <w:sz w:val="30"/>
          <w:szCs w:val="30"/>
        </w:rPr>
        <w:t>الباحث / عبد السلام الزراع</w:t>
      </w:r>
    </w:p>
    <w:p w14:paraId="0C1B374D" w14:textId="77777777" w:rsidR="00FC056A" w:rsidRDefault="00FC056A">
      <w:pPr>
        <w:spacing w:before="200" w:after="60"/>
        <w:jc w:val="right"/>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FC056A" w14:paraId="4C58D555" w14:textId="77777777">
        <w:tblPrEx>
          <w:tblCellMar>
            <w:top w:w="0" w:type="dxa"/>
            <w:bottom w:w="0" w:type="dxa"/>
          </w:tblCellMar>
        </w:tblPrEx>
        <w:tc>
          <w:tcPr>
            <w:tcW w:w="0" w:type="auto"/>
            <w:tcBorders>
              <w:top w:val="single" w:sz="4" w:space="0" w:color="9A7B1A"/>
              <w:left w:val="single" w:sz="4" w:space="0" w:color="9A7B1A"/>
              <w:bottom w:val="single" w:sz="4" w:space="0" w:color="9A7B1A"/>
              <w:right w:val="single" w:sz="4" w:space="0" w:color="9A7B1A"/>
            </w:tcBorders>
            <w:shd w:val="clear" w:color="auto" w:fill="FDF6E3"/>
            <w:tcMar>
              <w:top w:w="160" w:type="dxa"/>
              <w:left w:w="260" w:type="dxa"/>
              <w:bottom w:w="160" w:type="dxa"/>
              <w:right w:w="260" w:type="dxa"/>
            </w:tcMar>
          </w:tcPr>
          <w:p w14:paraId="0B252CB0" w14:textId="77777777" w:rsidR="00FC056A" w:rsidRDefault="00000000">
            <w:pPr>
              <w:spacing w:before="60" w:after="60"/>
              <w:jc w:val="center"/>
            </w:pPr>
            <w:r>
              <w:rPr>
                <w:color w:val="9A7B1A"/>
                <w:sz w:val="30"/>
                <w:szCs w:val="30"/>
              </w:rPr>
              <w:t xml:space="preserve">﴾ </w:t>
            </w:r>
            <w:r>
              <w:rPr>
                <w:b/>
                <w:bCs/>
                <w:color w:val="0D1B33"/>
                <w:sz w:val="28"/>
                <w:szCs w:val="28"/>
              </w:rPr>
              <w:t>يَا أَيُّهَا الَّذِينَ آمَنُوا كُونُوا قَوَّامِينَ بِالْقِسْطِ شُهَدَاءَ لِلَّهِ وَلَوْ عَلَىٰ أَنفُسِكُمْ</w:t>
            </w:r>
            <w:r>
              <w:rPr>
                <w:color w:val="9A7B1A"/>
                <w:sz w:val="30"/>
                <w:szCs w:val="30"/>
              </w:rPr>
              <w:t xml:space="preserve"> ﴿</w:t>
            </w:r>
          </w:p>
          <w:p w14:paraId="2C3019C1" w14:textId="77777777" w:rsidR="00FC056A" w:rsidRDefault="00000000">
            <w:pPr>
              <w:jc w:val="center"/>
            </w:pPr>
            <w:r>
              <w:rPr>
                <w:color w:val="9A7B1A"/>
                <w:sz w:val="22"/>
                <w:szCs w:val="22"/>
              </w:rPr>
              <w:t>[النساء: 135]</w:t>
            </w:r>
          </w:p>
        </w:tc>
      </w:tr>
    </w:tbl>
    <w:p w14:paraId="06FCFE04" w14:textId="77777777" w:rsidR="00FC056A" w:rsidRDefault="00FC056A">
      <w:pPr>
        <w:spacing w:before="500" w:after="60"/>
        <w:jc w:val="right"/>
      </w:pPr>
    </w:p>
    <w:p w14:paraId="32A994A7" w14:textId="77777777" w:rsidR="00FC056A" w:rsidRDefault="00000000" w:rsidP="00820B1E">
      <w:pPr>
        <w:pageBreakBefore/>
        <w:pBdr>
          <w:bottom w:val="single" w:sz="10" w:space="4" w:color="9A7B1A"/>
        </w:pBdr>
        <w:spacing w:before="360" w:after="200"/>
      </w:pPr>
      <w:r>
        <w:rPr>
          <w:b/>
          <w:bCs/>
          <w:color w:val="0D1B33"/>
          <w:sz w:val="36"/>
          <w:szCs w:val="36"/>
        </w:rPr>
        <w:t>ملخص البحث</w:t>
      </w:r>
    </w:p>
    <w:tbl>
      <w:tblPr>
        <w:tblW w:w="92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FC056A" w14:paraId="7C582339" w14:textId="77777777">
        <w:tblPrEx>
          <w:tblCellMar>
            <w:top w:w="0" w:type="dxa"/>
            <w:bottom w:w="0" w:type="dxa"/>
          </w:tblCellMar>
        </w:tblPrEx>
        <w:tc>
          <w:tcPr>
            <w:tcW w:w="0" w:type="auto"/>
            <w:tcBorders>
              <w:top w:val="single" w:sz="6" w:space="0" w:color="0A5E5E"/>
              <w:left w:val="single" w:sz="6" w:space="0" w:color="0A5E5E"/>
              <w:right w:val="single" w:sz="6" w:space="0" w:color="0A5E5E"/>
            </w:tcBorders>
            <w:shd w:val="clear" w:color="auto" w:fill="0A5E5E"/>
            <w:tcMar>
              <w:top w:w="80" w:type="dxa"/>
              <w:left w:w="220" w:type="dxa"/>
              <w:bottom w:w="80" w:type="dxa"/>
              <w:right w:w="220" w:type="dxa"/>
            </w:tcMar>
          </w:tcPr>
          <w:p w14:paraId="2EB8A329" w14:textId="77777777" w:rsidR="00FC056A" w:rsidRDefault="00000000" w:rsidP="00820B1E">
            <w:r>
              <w:rPr>
                <w:b/>
                <w:bCs/>
                <w:color w:val="FFFFFF"/>
              </w:rPr>
              <w:t>الملخص</w:t>
            </w:r>
          </w:p>
        </w:tc>
      </w:tr>
      <w:tr w:rsidR="00FC056A" w14:paraId="74165E90" w14:textId="77777777">
        <w:tblPrEx>
          <w:tblCellMar>
            <w:top w:w="0" w:type="dxa"/>
            <w:bottom w:w="0" w:type="dxa"/>
          </w:tblCellMar>
        </w:tblPrEx>
        <w:tc>
          <w:tcPr>
            <w:tcW w:w="0" w:type="auto"/>
            <w:tcBorders>
              <w:left w:val="single" w:sz="6" w:space="0" w:color="0A5E5E"/>
              <w:bottom w:val="single" w:sz="6" w:space="0" w:color="0A5E5E"/>
              <w:right w:val="single" w:sz="6" w:space="0" w:color="0A5E5E"/>
            </w:tcBorders>
            <w:shd w:val="clear" w:color="auto" w:fill="E0F0F0"/>
            <w:tcMar>
              <w:top w:w="120" w:type="dxa"/>
              <w:left w:w="260" w:type="dxa"/>
              <w:bottom w:w="120" w:type="dxa"/>
              <w:right w:w="260" w:type="dxa"/>
            </w:tcMar>
          </w:tcPr>
          <w:p w14:paraId="5C4C3EE9" w14:textId="77777777" w:rsidR="00FC056A" w:rsidRDefault="00000000" w:rsidP="00820B1E">
            <w:pPr>
              <w:spacing w:line="330" w:lineRule="auto"/>
            </w:pPr>
            <w:r>
              <w:rPr>
                <w:color w:val="102020"/>
              </w:rPr>
              <w:t>يُجري هذا البحث مقاربةً نقديةً تأصيليةً لمفهوم «البقعة العمياء» (Blindspot) كما صاغه ماهزارين باناجي وأنتوني غرينوالد (2013)، وذلك من خلال عدسة علم النفس الاستخلافي ونموذج TLRT لعبد السلام الزراع. يناقش البحث كيف أن «حشرات العقل» (Mindbugs) ليست مجرد أخطاء معرفية محايدة، بل هي تمظهرات لـ«تدسية النفس» وغبار «التماهيات الاستعاضية» التي تعلو «مرآة الفطرة». يُبيّن البحث أن اختبار الارتباط الضمني (IAT) يمثّل أداةً تشخيصيةً لما يسمّيه الزراع «الفصام الأخلاقي»، ويُعيد تأطير استراتيجيات التغلب على التحيز ضمن بروتوكول «إعادة ضبط المصنع» (TLRT) — في مسار الانتقال من «الشخص الطيب» إلى «الخليفة المسؤول».</w:t>
            </w:r>
          </w:p>
        </w:tc>
      </w:tr>
    </w:tbl>
    <w:p w14:paraId="1936A610" w14:textId="77777777" w:rsidR="00FC056A" w:rsidRDefault="00FC056A" w:rsidP="00820B1E">
      <w:pPr>
        <w:spacing w:before="80" w:after="80"/>
      </w:pPr>
    </w:p>
    <w:p w14:paraId="608D6EEE" w14:textId="77777777" w:rsidR="00FC056A" w:rsidRDefault="00000000" w:rsidP="00820B1E">
      <w:pPr>
        <w:spacing w:before="80" w:after="80" w:line="340" w:lineRule="auto"/>
      </w:pPr>
      <w:r>
        <w:rPr>
          <w:b/>
          <w:bCs/>
          <w:color w:val="0D1B33"/>
        </w:rPr>
        <w:t xml:space="preserve">الكلمات المفتاحية: </w:t>
      </w:r>
      <w:r>
        <w:rPr>
          <w:color w:val="0A5E5E"/>
        </w:rPr>
        <w:t>التحيز الضمني — اختبار IAT — الفطرة — التدسية — الفصام الأخلاقي — التماهيات الاستعاضية — TLRT — علم النفس الاستخلافي — الكينتسوغي النفسي</w:t>
      </w:r>
    </w:p>
    <w:p w14:paraId="2CE5865D" w14:textId="77777777" w:rsidR="00FC056A" w:rsidRDefault="00FC056A" w:rsidP="00820B1E">
      <w:pPr>
        <w:spacing w:before="120" w:after="120"/>
      </w:pPr>
    </w:p>
    <w:p w14:paraId="7C6078D2" w14:textId="77777777" w:rsidR="00FC056A" w:rsidRDefault="00000000" w:rsidP="00820B1E">
      <w:pPr>
        <w:pageBreakBefore/>
        <w:pBdr>
          <w:bottom w:val="single" w:sz="10" w:space="4" w:color="9A7B1A"/>
        </w:pBdr>
        <w:spacing w:before="360" w:after="200"/>
      </w:pPr>
      <w:r>
        <w:rPr>
          <w:b/>
          <w:bCs/>
          <w:color w:val="0D1B33"/>
          <w:sz w:val="36"/>
          <w:szCs w:val="36"/>
        </w:rPr>
        <w:t>1. مقدمة: حين يلتقي المختبر بالميثاق الأزلي</w:t>
      </w:r>
    </w:p>
    <w:p w14:paraId="1C0804BB" w14:textId="77777777" w:rsidR="00FC056A" w:rsidRDefault="00000000" w:rsidP="00820B1E">
      <w:pPr>
        <w:spacing w:before="80" w:after="80" w:line="340" w:lineRule="auto"/>
      </w:pPr>
      <w:r>
        <w:t xml:space="preserve">شكّل كتاب </w:t>
      </w:r>
      <w:r>
        <w:rPr>
          <w:rFonts w:ascii="Calibri" w:eastAsia="Calibri" w:hAnsi="Calibri" w:cs="Calibri"/>
          <w:i/>
          <w:iCs/>
        </w:rPr>
        <w:t>Blindspot: Hidden Biases of Good People</w:t>
      </w:r>
      <w:r>
        <w:t xml:space="preserve"> (باناجي وغرينوالد، 2013) زلزالاً في علم النفس الاجتماعي حين كشف بالأدلة التجريبية أن «الأشخاص الطيبين» — أولئك الذين يحملون قيماً واعيةً صريحةً تؤمن بالمساواة والعدل — يختزنون في لاوعيهم تحيزات ضمنية تدفعهم إلى سلوك تمييزي دون قصد. الثورة التي أحدثها اختبار الارتباط الضمني (</w:t>
      </w:r>
      <w:r>
        <w:rPr>
          <w:rFonts w:ascii="Calibri" w:eastAsia="Calibri" w:hAnsi="Calibri" w:cs="Calibri"/>
          <w:i/>
          <w:iCs/>
        </w:rPr>
        <w:t>IAT</w:t>
      </w:r>
      <w:r>
        <w:t>) لم تكن فقط في كشف هذه الازدواجية، بل في تفكيك الثنائية التقليدية بين «العنصري / غير العنصري» وإحلال مفهوم «الدرجات» على سلّم التحيز غير المرئي.</w:t>
      </w:r>
    </w:p>
    <w:p w14:paraId="7AAA37BF" w14:textId="77777777" w:rsidR="00FC056A" w:rsidRDefault="00000000" w:rsidP="00820B1E">
      <w:pPr>
        <w:spacing w:before="80" w:after="80" w:line="340" w:lineRule="auto"/>
      </w:pPr>
      <w:r>
        <w:t>لكن السؤال الذي يظل معلقاً في الخطاب السيكولوجي الغربي هو سؤال الماهية والغائية: إذا كانت هذه التحيزات متجذرةً في «النظام التلقائي» للدماغ — هل هي جزء أصيل من الطبيعة البشرية أم دخيل عليها؟ وإن كانت دخيلاً، فمن أي مصدر يُستمد المعيار الذي نحكم به على «دخالتها»؟ عند هذا الحدّ تتوقف النظرية الغربية، وعنده تبدأ الإجابة الاستخلافية.</w:t>
      </w:r>
    </w:p>
    <w:p w14:paraId="6F2994F8" w14:textId="77777777" w:rsidR="00FC056A" w:rsidRDefault="00000000" w:rsidP="00820B1E">
      <w:pPr>
        <w:spacing w:before="80" w:after="80" w:line="340" w:lineRule="auto"/>
      </w:pPr>
      <w:r>
        <w:t xml:space="preserve">يقدّم علم النفس الاستخلافي، كما صاغه عبد السلام الزراع </w:t>
      </w:r>
      <w:r>
        <w:rPr>
          <w:color w:val="0A5E5E"/>
          <w:sz w:val="22"/>
          <w:szCs w:val="22"/>
        </w:rPr>
        <w:t>[802، 967]</w:t>
      </w:r>
      <w:r>
        <w:t xml:space="preserve">، إجابةً جذريةً: هذه «البقع العمياء» ليست من «نظام التشغيل الفطري» الأصلي، بل هي «غبار الجسد وضجيج الحياة» </w:t>
      </w:r>
      <w:r>
        <w:rPr>
          <w:color w:val="0A5E5E"/>
          <w:sz w:val="22"/>
          <w:szCs w:val="22"/>
        </w:rPr>
        <w:t>[824]</w:t>
      </w:r>
      <w:r>
        <w:t xml:space="preserve"> الذي تراكم على «مرآة الفطرة» بفعل التنشئة الاجتماعية المادية والثقافات القائمة على التراتبية والهيمنة. إذا كان باناجي وغرينوالد يرصدان </w:t>
      </w:r>
      <w:r>
        <w:rPr>
          <w:b/>
          <w:bCs/>
          <w:color w:val="0D1B33"/>
        </w:rPr>
        <w:t>«ماذا يحدث»</w:t>
      </w:r>
      <w:r>
        <w:t xml:space="preserve"> في العقل، فإن الزراع يقدم تفسيراً لـ</w:t>
      </w:r>
      <w:r>
        <w:rPr>
          <w:b/>
          <w:bCs/>
          <w:color w:val="0D1B33"/>
        </w:rPr>
        <w:t>«لِمَ حدث»</w:t>
      </w:r>
      <w:r>
        <w:t xml:space="preserve"> انطلاقاً من تصوّر «الميثاق الأزلي» الذي أُخذ على النفس البشرية بالعدل والشهادة </w:t>
      </w:r>
      <w:r>
        <w:rPr>
          <w:color w:val="0A5E5E"/>
          <w:sz w:val="22"/>
          <w:szCs w:val="22"/>
        </w:rPr>
        <w:t>[802، 1169]</w:t>
      </w:r>
      <w:r>
        <w:t>.</w:t>
      </w:r>
    </w:p>
    <w:p w14:paraId="2944CE3A" w14:textId="77777777" w:rsidR="00FC056A" w:rsidRDefault="00FC056A" w:rsidP="00820B1E">
      <w:pPr>
        <w:spacing w:before="40" w:after="60"/>
      </w:pPr>
    </w:p>
    <w:tbl>
      <w:tblPr>
        <w:tblW w:w="92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FC056A" w14:paraId="09DF9937" w14:textId="77777777">
        <w:tblPrEx>
          <w:tblCellMar>
            <w:top w:w="0" w:type="dxa"/>
            <w:bottom w:w="0" w:type="dxa"/>
          </w:tblCellMar>
        </w:tblPrEx>
        <w:tc>
          <w:tcPr>
            <w:tcW w:w="0" w:type="auto"/>
            <w:tcBorders>
              <w:top w:val="single" w:sz="6" w:space="0" w:color="0A5E5E"/>
              <w:left w:val="single" w:sz="6" w:space="0" w:color="0A5E5E"/>
              <w:right w:val="single" w:sz="6" w:space="0" w:color="0A5E5E"/>
            </w:tcBorders>
            <w:shd w:val="clear" w:color="auto" w:fill="0A5E5E"/>
            <w:tcMar>
              <w:top w:w="80" w:type="dxa"/>
              <w:left w:w="220" w:type="dxa"/>
              <w:bottom w:w="80" w:type="dxa"/>
              <w:right w:w="220" w:type="dxa"/>
            </w:tcMar>
          </w:tcPr>
          <w:p w14:paraId="4FA862B5" w14:textId="77777777" w:rsidR="00FC056A" w:rsidRDefault="00000000" w:rsidP="00820B1E">
            <w:r>
              <w:rPr>
                <w:b/>
                <w:bCs/>
                <w:color w:val="FFFFFF"/>
              </w:rPr>
              <w:t>سؤال البحث المحوري</w:t>
            </w:r>
          </w:p>
        </w:tc>
      </w:tr>
      <w:tr w:rsidR="00FC056A" w14:paraId="0B5FAD05" w14:textId="77777777">
        <w:tblPrEx>
          <w:tblCellMar>
            <w:top w:w="0" w:type="dxa"/>
            <w:bottom w:w="0" w:type="dxa"/>
          </w:tblCellMar>
        </w:tblPrEx>
        <w:tc>
          <w:tcPr>
            <w:tcW w:w="0" w:type="auto"/>
            <w:tcBorders>
              <w:left w:val="single" w:sz="6" w:space="0" w:color="0A5E5E"/>
              <w:bottom w:val="single" w:sz="6" w:space="0" w:color="0A5E5E"/>
              <w:right w:val="single" w:sz="6" w:space="0" w:color="0A5E5E"/>
            </w:tcBorders>
            <w:shd w:val="clear" w:color="auto" w:fill="E0F0F0"/>
            <w:tcMar>
              <w:top w:w="120" w:type="dxa"/>
              <w:left w:w="260" w:type="dxa"/>
              <w:bottom w:w="120" w:type="dxa"/>
              <w:right w:w="260" w:type="dxa"/>
            </w:tcMar>
          </w:tcPr>
          <w:p w14:paraId="62059630" w14:textId="77777777" w:rsidR="00FC056A" w:rsidRDefault="00000000" w:rsidP="00820B1E">
            <w:pPr>
              <w:spacing w:line="330" w:lineRule="auto"/>
            </w:pPr>
            <w:r>
              <w:rPr>
                <w:color w:val="102020"/>
              </w:rPr>
              <w:t>هل يمكن لمنهجية اختبار IAT أن تُشكّل أداةً تشخيصيةً ضمن البروتوكول الاستخلافي؟ وكيف يُعيد النموذج الاستخلافي تأطير مفاهيم الكتاب (حشرات العقل، البقعة العمياء، استراتيجيات التحييد) ضمن منظومته المتكاملة من الفطرة والتدسية والتزكية والاستخلاف؟</w:t>
            </w:r>
          </w:p>
        </w:tc>
      </w:tr>
    </w:tbl>
    <w:p w14:paraId="707D5CC6" w14:textId="77777777" w:rsidR="00FC056A" w:rsidRDefault="00FC056A" w:rsidP="00820B1E">
      <w:pPr>
        <w:spacing w:before="120" w:after="120"/>
      </w:pPr>
    </w:p>
    <w:p w14:paraId="145D0E78" w14:textId="77777777" w:rsidR="00FC056A" w:rsidRDefault="00000000" w:rsidP="00820B1E">
      <w:pPr>
        <w:pBdr>
          <w:right w:val="thick" w:sz="14" w:space="6" w:color="0A5E5E"/>
        </w:pBdr>
        <w:spacing w:before="280" w:after="140"/>
        <w:ind w:right="260"/>
      </w:pPr>
      <w:r>
        <w:rPr>
          <w:b/>
          <w:bCs/>
          <w:color w:val="1A3A6B"/>
          <w:sz w:val="30"/>
          <w:szCs w:val="30"/>
        </w:rPr>
        <w:t>1.1  الإطار المنهجي: المقاربة النقدية التأصيلية</w:t>
      </w:r>
    </w:p>
    <w:p w14:paraId="5100D2B5" w14:textId="77777777" w:rsidR="00FC056A" w:rsidRDefault="00000000" w:rsidP="00820B1E">
      <w:pPr>
        <w:spacing w:before="80" w:after="80" w:line="340" w:lineRule="auto"/>
      </w:pPr>
      <w:r>
        <w:t>تعتمد هذه الدراسة منهجية «النقد التأصيلي» (</w:t>
      </w:r>
      <w:r>
        <w:rPr>
          <w:rFonts w:ascii="Calibri" w:eastAsia="Calibri" w:hAnsi="Calibri" w:cs="Calibri"/>
          <w:i/>
          <w:iCs/>
        </w:rPr>
        <w:t>Foundational Critique</w:t>
      </w:r>
      <w:r>
        <w:t>)، وهي منهجية تتجاوز النقد الخارجي للنظريات الغربية — أي رفضها أو قبولها كلياً — إلى استيعابها ضمن إطار مرجعي أعمق يُحكِّم مسلّماتها ويُعيد توجيه نتائجها نحو غاية وجودية لا تمتلكها في ذاتها. وهذه المنهجية تقوم على ثلاث عمليات متسلسلة:</w:t>
      </w:r>
    </w:p>
    <w:p w14:paraId="27A03DAD" w14:textId="77777777" w:rsidR="00FC056A" w:rsidRDefault="00000000" w:rsidP="00820B1E">
      <w:pPr>
        <w:pStyle w:val="a4"/>
        <w:numPr>
          <w:ilvl w:val="0"/>
          <w:numId w:val="2"/>
        </w:numPr>
        <w:spacing w:before="60" w:after="60" w:line="300" w:lineRule="auto"/>
      </w:pPr>
      <w:r>
        <w:t>الاستيعاب النقدي: استيعاب الأدلة التجريبية لاختبار IAT واعتبارها مادةً تشخيصيةً صالحة في إطار اكتشاف أعطاب الفطرة.</w:t>
      </w:r>
    </w:p>
    <w:p w14:paraId="496ADA1B" w14:textId="77777777" w:rsidR="00FC056A" w:rsidRDefault="00000000" w:rsidP="00820B1E">
      <w:pPr>
        <w:pStyle w:val="a4"/>
        <w:numPr>
          <w:ilvl w:val="0"/>
          <w:numId w:val="2"/>
        </w:numPr>
        <w:spacing w:before="60" w:after="60" w:line="300" w:lineRule="auto"/>
      </w:pPr>
      <w:r>
        <w:t>إعادة التأصيل: نقل هذه الأدلة من إطار «الخطأ المعرفي المحايد» إلى إطار «التدسية الوجودية» بوصفها ظاهرةً أخلاقيةً لها قاعدة فطرية مرجعية.</w:t>
      </w:r>
    </w:p>
    <w:p w14:paraId="233E29DB" w14:textId="77777777" w:rsidR="00FC056A" w:rsidRDefault="00000000" w:rsidP="00820B1E">
      <w:pPr>
        <w:pStyle w:val="a4"/>
        <w:numPr>
          <w:ilvl w:val="0"/>
          <w:numId w:val="2"/>
        </w:numPr>
        <w:spacing w:before="60" w:after="60" w:line="300" w:lineRule="auto"/>
      </w:pPr>
      <w:r>
        <w:t>التوجيه الغائي: ربط استراتيجيات التدخل بغاية «التزكية الاستخلافية» لا مجرد «تحسين الأداء الاجتماعي».</w:t>
      </w:r>
    </w:p>
    <w:p w14:paraId="22D88D8D" w14:textId="77777777" w:rsidR="00FC056A" w:rsidRDefault="00FC056A" w:rsidP="00820B1E">
      <w:pPr>
        <w:spacing w:before="120" w:after="120"/>
      </w:pPr>
    </w:p>
    <w:p w14:paraId="68BB2FA4" w14:textId="77777777" w:rsidR="00FC056A" w:rsidRDefault="00000000" w:rsidP="00820B1E">
      <w:pPr>
        <w:pageBreakBefore/>
        <w:pBdr>
          <w:bottom w:val="single" w:sz="10" w:space="4" w:color="9A7B1A"/>
        </w:pBdr>
        <w:spacing w:before="360" w:after="200"/>
      </w:pPr>
      <w:r>
        <w:rPr>
          <w:b/>
          <w:bCs/>
          <w:color w:val="0D1B33"/>
          <w:sz w:val="36"/>
          <w:szCs w:val="36"/>
        </w:rPr>
        <w:t>2. رسم خرائط التقابل: من «حشرات العقل» إلى «تدسية النفس»</w:t>
      </w:r>
    </w:p>
    <w:p w14:paraId="701F831D" w14:textId="77777777" w:rsidR="00FC056A" w:rsidRDefault="00000000" w:rsidP="00820B1E">
      <w:pPr>
        <w:pBdr>
          <w:right w:val="thick" w:sz="14" w:space="6" w:color="0A5E5E"/>
        </w:pBdr>
        <w:spacing w:before="280" w:after="140"/>
        <w:ind w:right="260"/>
      </w:pPr>
      <w:r>
        <w:rPr>
          <w:b/>
          <w:bCs/>
          <w:color w:val="1A3A6B"/>
          <w:sz w:val="30"/>
          <w:szCs w:val="30"/>
        </w:rPr>
        <w:t>2.1  «حشرات العقل» (Mindbugs): التشخيص الغربي وحدوده</w:t>
      </w:r>
    </w:p>
    <w:p w14:paraId="03F5D5E4" w14:textId="77777777" w:rsidR="00FC056A" w:rsidRDefault="00000000" w:rsidP="00EC2816">
      <w:pPr>
        <w:spacing w:before="80" w:after="80" w:line="340" w:lineRule="auto"/>
      </w:pPr>
      <w:r>
        <w:t xml:space="preserve">يُعرِّف باناجي وغرينوالد (2013) «حشرات العقل» بأنها أخطاء تلقائية في الإدراك والذاكرة والتفكير الاجتماعي، تنشأ من حاجة الدماغ إلى التصنيف السريع وتوفير الطاقة المعرفية وفق نظرية «المعالجة المزدوجة» </w:t>
      </w:r>
      <w:r>
        <w:rPr>
          <w:color w:val="0A5E5E"/>
          <w:sz w:val="22"/>
          <w:szCs w:val="22"/>
        </w:rPr>
        <w:t>(Kahneman, 2011)</w:t>
      </w:r>
      <w:r>
        <w:t>. وبينما يصف المؤلفان هذه العملية بأنها «محايدة من حيث المبدأ» — تشبه «البقعة العمياء» في شبكية العين — فإن هذا التوصيف يُخفي افتراضاً فلسفياً جوهرياً: غياب معيار ما قبل اجتماعي يمكن أن يُحكِّم هذه التحيزات ويحكم عليها بالانحراف لا بالطبيعية.</w:t>
      </w:r>
    </w:p>
    <w:p w14:paraId="091B43F4" w14:textId="77777777" w:rsidR="00FC056A" w:rsidRDefault="00000000" w:rsidP="00EC2816">
      <w:pPr>
        <w:spacing w:before="80" w:after="80" w:line="340" w:lineRule="auto"/>
      </w:pPr>
      <w:r>
        <w:t>هذا الغياب ليس مجرد ثغرة نظرية؛ له تبعات عملية خطيرة: إذا كان التحيز «بقعةً بيولوجية» لا مرجعية فطرية تقياسية لها، فبأيّ شرعية نُصحح؟ ولمصلحة أيّ معيار نتدخّل؟ الإجابة الغربية — «لأنه يُلحق ضرراً اجتماعياً» — تتعرّض لنقد الدوران المنطقي: من أين يأتي المعيار الذي يجعل الضرر الاجتماعي سيئاً؟ الاستخلافية تُجيب: من الميثاق الفطري.</w:t>
      </w:r>
    </w:p>
    <w:p w14:paraId="760A9CFD" w14:textId="77777777" w:rsidR="00FC056A" w:rsidRDefault="00FC056A" w:rsidP="00EC2816">
      <w:pPr>
        <w:spacing w:before="40" w:after="6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3400"/>
        <w:gridCol w:w="3400"/>
      </w:tblGrid>
      <w:tr w:rsidR="00FC056A" w14:paraId="1A21764F" w14:textId="77777777">
        <w:tblPrEx>
          <w:tblCellMar>
            <w:top w:w="0" w:type="dxa"/>
            <w:bottom w:w="0" w:type="dxa"/>
          </w:tblCellMar>
        </w:tblPrEx>
        <w:trPr>
          <w:tblHeader/>
        </w:trPr>
        <w:tc>
          <w:tcPr>
            <w:tcW w:w="2400" w:type="dxa"/>
            <w:tcBorders>
              <w:top w:val="single" w:sz="3" w:space="0" w:color="FFFFFF"/>
              <w:left w:val="single" w:sz="3" w:space="0" w:color="FFFFFF"/>
              <w:bottom w:val="single" w:sz="3" w:space="0" w:color="FFFFFF"/>
              <w:right w:val="single" w:sz="3" w:space="0" w:color="FFFFFF"/>
            </w:tcBorders>
            <w:shd w:val="clear" w:color="auto" w:fill="0D1B33"/>
            <w:tcMar>
              <w:top w:w="100" w:type="dxa"/>
              <w:left w:w="160" w:type="dxa"/>
              <w:bottom w:w="100" w:type="dxa"/>
              <w:right w:w="160" w:type="dxa"/>
            </w:tcMar>
          </w:tcPr>
          <w:p w14:paraId="10357C57" w14:textId="77777777" w:rsidR="00FC056A" w:rsidRDefault="00000000" w:rsidP="00EC2816">
            <w:r>
              <w:rPr>
                <w:b/>
                <w:bCs/>
                <w:color w:val="FFFFFF"/>
                <w:sz w:val="22"/>
                <w:szCs w:val="22"/>
              </w:rPr>
              <w:t>المحور</w:t>
            </w:r>
          </w:p>
        </w:tc>
        <w:tc>
          <w:tcPr>
            <w:tcW w:w="3400" w:type="dxa"/>
            <w:tcBorders>
              <w:top w:val="single" w:sz="3" w:space="0" w:color="FFFFFF"/>
              <w:left w:val="single" w:sz="3" w:space="0" w:color="FFFFFF"/>
              <w:bottom w:val="single" w:sz="3" w:space="0" w:color="FFFFFF"/>
              <w:right w:val="single" w:sz="3" w:space="0" w:color="FFFFFF"/>
            </w:tcBorders>
            <w:shd w:val="clear" w:color="auto" w:fill="0D1B33"/>
            <w:tcMar>
              <w:top w:w="100" w:type="dxa"/>
              <w:left w:w="160" w:type="dxa"/>
              <w:bottom w:w="100" w:type="dxa"/>
              <w:right w:w="160" w:type="dxa"/>
            </w:tcMar>
          </w:tcPr>
          <w:p w14:paraId="6EEFD4C4" w14:textId="77777777" w:rsidR="00FC056A" w:rsidRDefault="00000000" w:rsidP="00EC2816">
            <w:r>
              <w:rPr>
                <w:b/>
                <w:bCs/>
                <w:color w:val="FFFFFF"/>
                <w:sz w:val="22"/>
                <w:szCs w:val="22"/>
              </w:rPr>
              <w:t>مدرسة باناجي-غرينوالد</w:t>
            </w:r>
          </w:p>
        </w:tc>
        <w:tc>
          <w:tcPr>
            <w:tcW w:w="3400" w:type="dxa"/>
            <w:tcBorders>
              <w:top w:val="single" w:sz="3" w:space="0" w:color="FFFFFF"/>
              <w:left w:val="single" w:sz="3" w:space="0" w:color="FFFFFF"/>
              <w:bottom w:val="single" w:sz="3" w:space="0" w:color="FFFFFF"/>
              <w:right w:val="single" w:sz="3" w:space="0" w:color="FFFFFF"/>
            </w:tcBorders>
            <w:shd w:val="clear" w:color="auto" w:fill="0D1B33"/>
            <w:tcMar>
              <w:top w:w="100" w:type="dxa"/>
              <w:left w:w="160" w:type="dxa"/>
              <w:bottom w:w="100" w:type="dxa"/>
              <w:right w:w="160" w:type="dxa"/>
            </w:tcMar>
          </w:tcPr>
          <w:p w14:paraId="01C26821" w14:textId="77777777" w:rsidR="00FC056A" w:rsidRDefault="00000000" w:rsidP="00EC2816">
            <w:r>
              <w:rPr>
                <w:b/>
                <w:bCs/>
                <w:color w:val="FFFFFF"/>
                <w:sz w:val="22"/>
                <w:szCs w:val="22"/>
              </w:rPr>
              <w:t>علم النفس الاستخلافي (الزراع)</w:t>
            </w:r>
          </w:p>
        </w:tc>
      </w:tr>
      <w:tr w:rsidR="00FC056A" w14:paraId="479DCFD3" w14:textId="77777777">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10C470A6" w14:textId="77777777" w:rsidR="00FC056A" w:rsidRDefault="00000000" w:rsidP="00EC2816">
            <w:r>
              <w:rPr>
                <w:b/>
                <w:bCs/>
                <w:color w:val="0D1B33"/>
                <w:sz w:val="22"/>
                <w:szCs w:val="22"/>
              </w:rPr>
              <w:t>طبيعة التحيز</w:t>
            </w:r>
          </w:p>
        </w:tc>
        <w:tc>
          <w:tcPr>
            <w:tcW w:w="3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5B224068" w14:textId="77777777" w:rsidR="00FC056A" w:rsidRDefault="00000000" w:rsidP="00EC2816">
            <w:r>
              <w:rPr>
                <w:color w:val="222222"/>
                <w:sz w:val="22"/>
                <w:szCs w:val="22"/>
              </w:rPr>
              <w:t>خطأ معرفي محايد في المعالجة التلقائية</w:t>
            </w:r>
          </w:p>
        </w:tc>
        <w:tc>
          <w:tcPr>
            <w:tcW w:w="3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4C0DC726" w14:textId="77777777" w:rsidR="00FC056A" w:rsidRDefault="00000000" w:rsidP="00EC2816">
            <w:r>
              <w:rPr>
                <w:color w:val="222222"/>
                <w:sz w:val="22"/>
                <w:szCs w:val="22"/>
              </w:rPr>
              <w:t>تدسية وجودية — غبار على مرآة الفطرة</w:t>
            </w:r>
          </w:p>
        </w:tc>
      </w:tr>
      <w:tr w:rsidR="00FC056A" w14:paraId="5D805FD3" w14:textId="77777777">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0C3AB563" w14:textId="77777777" w:rsidR="00FC056A" w:rsidRDefault="00000000" w:rsidP="00EC2816">
            <w:r>
              <w:rPr>
                <w:b/>
                <w:bCs/>
                <w:color w:val="0D1B33"/>
                <w:sz w:val="22"/>
                <w:szCs w:val="22"/>
              </w:rPr>
              <w:t>مصدر المعيار</w:t>
            </w:r>
          </w:p>
        </w:tc>
        <w:tc>
          <w:tcPr>
            <w:tcW w:w="3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434D4160" w14:textId="77777777" w:rsidR="00FC056A" w:rsidRDefault="00000000" w:rsidP="00EC2816">
            <w:r>
              <w:rPr>
                <w:color w:val="222222"/>
                <w:sz w:val="22"/>
                <w:szCs w:val="22"/>
              </w:rPr>
              <w:t>التضرر الاجتماعي القابل للقياس</w:t>
            </w:r>
          </w:p>
        </w:tc>
        <w:tc>
          <w:tcPr>
            <w:tcW w:w="3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05D1D260" w14:textId="77777777" w:rsidR="00FC056A" w:rsidRDefault="00000000" w:rsidP="00EC2816">
            <w:r>
              <w:rPr>
                <w:color w:val="222222"/>
                <w:sz w:val="22"/>
                <w:szCs w:val="22"/>
              </w:rPr>
              <w:t>الفطرة والميثاق الأزلي — سابق على الاجتماع</w:t>
            </w:r>
          </w:p>
        </w:tc>
      </w:tr>
      <w:tr w:rsidR="00FC056A" w14:paraId="16C14A98" w14:textId="77777777">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20E90F46" w14:textId="77777777" w:rsidR="00FC056A" w:rsidRDefault="00000000" w:rsidP="00EC2816">
            <w:r>
              <w:rPr>
                <w:b/>
                <w:bCs/>
                <w:color w:val="0D1B33"/>
                <w:sz w:val="22"/>
                <w:szCs w:val="22"/>
              </w:rPr>
              <w:t>وظيفة IAT</w:t>
            </w:r>
          </w:p>
        </w:tc>
        <w:tc>
          <w:tcPr>
            <w:tcW w:w="3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27FBC04E" w14:textId="77777777" w:rsidR="00FC056A" w:rsidRDefault="00000000" w:rsidP="00EC2816">
            <w:r>
              <w:rPr>
                <w:color w:val="222222"/>
                <w:sz w:val="22"/>
                <w:szCs w:val="22"/>
              </w:rPr>
              <w:t>كشف التحيز الضمني وتوعية الفرد</w:t>
            </w:r>
          </w:p>
        </w:tc>
        <w:tc>
          <w:tcPr>
            <w:tcW w:w="3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000D3BF1" w14:textId="77777777" w:rsidR="00FC056A" w:rsidRDefault="00000000" w:rsidP="00EC2816">
            <w:r>
              <w:rPr>
                <w:color w:val="222222"/>
                <w:sz w:val="22"/>
                <w:szCs w:val="22"/>
              </w:rPr>
              <w:t>مقياس لدرجة التدسية — أداة تشخيص وجودي</w:t>
            </w:r>
          </w:p>
        </w:tc>
      </w:tr>
      <w:tr w:rsidR="00FC056A" w14:paraId="4973E704" w14:textId="77777777">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10576BFC" w14:textId="77777777" w:rsidR="00FC056A" w:rsidRDefault="00000000" w:rsidP="00EC2816">
            <w:r>
              <w:rPr>
                <w:b/>
                <w:bCs/>
                <w:color w:val="0D1B33"/>
                <w:sz w:val="22"/>
                <w:szCs w:val="22"/>
              </w:rPr>
              <w:t>نموذج التغيير</w:t>
            </w:r>
          </w:p>
        </w:tc>
        <w:tc>
          <w:tcPr>
            <w:tcW w:w="3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04D65D9D" w14:textId="77777777" w:rsidR="00FC056A" w:rsidRDefault="00000000" w:rsidP="00EC2816">
            <w:r>
              <w:rPr>
                <w:color w:val="222222"/>
                <w:sz w:val="22"/>
                <w:szCs w:val="22"/>
              </w:rPr>
              <w:t>تكييف معرفي وهندسة بيئية</w:t>
            </w:r>
          </w:p>
        </w:tc>
        <w:tc>
          <w:tcPr>
            <w:tcW w:w="3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2ED200C2" w14:textId="77777777" w:rsidR="00FC056A" w:rsidRDefault="00000000" w:rsidP="00EC2816">
            <w:r>
              <w:rPr>
                <w:color w:val="222222"/>
                <w:sz w:val="22"/>
                <w:szCs w:val="22"/>
              </w:rPr>
              <w:t>تزكية النفس وإعادة بناء الهوية الاستخلافية</w:t>
            </w:r>
          </w:p>
        </w:tc>
      </w:tr>
      <w:tr w:rsidR="00FC056A" w14:paraId="49AF9778" w14:textId="77777777">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7E725243" w14:textId="77777777" w:rsidR="00FC056A" w:rsidRDefault="00000000" w:rsidP="00EC2816">
            <w:r>
              <w:rPr>
                <w:b/>
                <w:bCs/>
                <w:color w:val="0D1B33"/>
                <w:sz w:val="22"/>
                <w:szCs w:val="22"/>
              </w:rPr>
              <w:t>الغاية النهائية</w:t>
            </w:r>
          </w:p>
        </w:tc>
        <w:tc>
          <w:tcPr>
            <w:tcW w:w="3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02CAD9B7" w14:textId="77777777" w:rsidR="00FC056A" w:rsidRDefault="00000000" w:rsidP="00EC2816">
            <w:r>
              <w:rPr>
                <w:color w:val="222222"/>
                <w:sz w:val="22"/>
                <w:szCs w:val="22"/>
              </w:rPr>
              <w:t>تقليل التمييز وتحقيق المساواة</w:t>
            </w:r>
          </w:p>
        </w:tc>
        <w:tc>
          <w:tcPr>
            <w:tcW w:w="3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3B0F013F" w14:textId="77777777" w:rsidR="00FC056A" w:rsidRDefault="00000000" w:rsidP="00EC2816">
            <w:r>
              <w:rPr>
                <w:color w:val="222222"/>
                <w:sz w:val="22"/>
                <w:szCs w:val="22"/>
              </w:rPr>
              <w:t>إقامة العدل كتكليف استخلافي، لا فقط كأداء اجتماعي</w:t>
            </w:r>
          </w:p>
        </w:tc>
      </w:tr>
    </w:tbl>
    <w:p w14:paraId="7052AF4E" w14:textId="77777777" w:rsidR="00FC056A" w:rsidRDefault="00FC056A" w:rsidP="00EC2816">
      <w:pPr>
        <w:spacing w:before="120" w:after="120"/>
      </w:pPr>
    </w:p>
    <w:p w14:paraId="2F1C45F0" w14:textId="77777777" w:rsidR="00FC056A" w:rsidRDefault="00000000" w:rsidP="00EC2816">
      <w:pPr>
        <w:pBdr>
          <w:right w:val="thick" w:sz="14" w:space="6" w:color="0A5E5E"/>
        </w:pBdr>
        <w:spacing w:before="280" w:after="140"/>
        <w:ind w:right="260"/>
      </w:pPr>
      <w:r>
        <w:rPr>
          <w:b/>
          <w:bCs/>
          <w:color w:val="1A3A6B"/>
          <w:sz w:val="30"/>
          <w:szCs w:val="30"/>
        </w:rPr>
        <w:t>2.2  تشريح التقابل المفاهيمي: خريطة كاملة</w:t>
      </w:r>
    </w:p>
    <w:p w14:paraId="6AB3D2BD" w14:textId="77777777" w:rsidR="00FC056A" w:rsidRDefault="00000000" w:rsidP="00EC2816">
      <w:pPr>
        <w:spacing w:before="80" w:after="80" w:line="340" w:lineRule="auto"/>
      </w:pPr>
      <w:r>
        <w:t>يمكن رسم تقابل منهجي بين المنظومتين المفاهيميتين عبر جدول الخرائط التالي، الذي يُبيّن أن الإطار الاستخلافي لا يرفض المفاهيم الغربية بل يُعيد تجذيرها:</w:t>
      </w:r>
    </w:p>
    <w:p w14:paraId="0FA8929A" w14:textId="77777777" w:rsidR="00FC056A" w:rsidRDefault="00FC056A" w:rsidP="00EC2816">
      <w:pPr>
        <w:spacing w:before="40" w:after="6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3200"/>
        <w:gridCol w:w="3200"/>
      </w:tblGrid>
      <w:tr w:rsidR="00FC056A" w14:paraId="762608A5" w14:textId="77777777">
        <w:tblPrEx>
          <w:tblCellMar>
            <w:top w:w="0" w:type="dxa"/>
            <w:bottom w:w="0" w:type="dxa"/>
          </w:tblCellMar>
        </w:tblPrEx>
        <w:trPr>
          <w:tblHeader/>
        </w:trPr>
        <w:tc>
          <w:tcPr>
            <w:tcW w:w="2800" w:type="dxa"/>
            <w:tcBorders>
              <w:top w:val="single" w:sz="3" w:space="0" w:color="FFFFFF"/>
              <w:left w:val="single" w:sz="3" w:space="0" w:color="FFFFFF"/>
              <w:bottom w:val="single" w:sz="3" w:space="0" w:color="FFFFFF"/>
              <w:right w:val="single" w:sz="3" w:space="0" w:color="FFFFFF"/>
            </w:tcBorders>
            <w:shd w:val="clear" w:color="auto" w:fill="0D1B33"/>
            <w:tcMar>
              <w:top w:w="100" w:type="dxa"/>
              <w:left w:w="160" w:type="dxa"/>
              <w:bottom w:w="100" w:type="dxa"/>
              <w:right w:w="160" w:type="dxa"/>
            </w:tcMar>
          </w:tcPr>
          <w:p w14:paraId="510CCDAD" w14:textId="77777777" w:rsidR="00FC056A" w:rsidRDefault="00000000" w:rsidP="00EC2816">
            <w:r>
              <w:rPr>
                <w:b/>
                <w:bCs/>
                <w:color w:val="FFFFFF"/>
                <w:sz w:val="22"/>
                <w:szCs w:val="22"/>
              </w:rPr>
              <w:t>المفهوم الغربي</w:t>
            </w:r>
          </w:p>
        </w:tc>
        <w:tc>
          <w:tcPr>
            <w:tcW w:w="3200" w:type="dxa"/>
            <w:tcBorders>
              <w:top w:val="single" w:sz="3" w:space="0" w:color="FFFFFF"/>
              <w:left w:val="single" w:sz="3" w:space="0" w:color="FFFFFF"/>
              <w:bottom w:val="single" w:sz="3" w:space="0" w:color="FFFFFF"/>
              <w:right w:val="single" w:sz="3" w:space="0" w:color="FFFFFF"/>
            </w:tcBorders>
            <w:shd w:val="clear" w:color="auto" w:fill="0D1B33"/>
            <w:tcMar>
              <w:top w:w="100" w:type="dxa"/>
              <w:left w:w="160" w:type="dxa"/>
              <w:bottom w:w="100" w:type="dxa"/>
              <w:right w:w="160" w:type="dxa"/>
            </w:tcMar>
          </w:tcPr>
          <w:p w14:paraId="733B345F" w14:textId="77777777" w:rsidR="00FC056A" w:rsidRDefault="00000000" w:rsidP="00EC2816">
            <w:r>
              <w:rPr>
                <w:b/>
                <w:bCs/>
                <w:color w:val="FFFFFF"/>
                <w:sz w:val="22"/>
                <w:szCs w:val="22"/>
              </w:rPr>
              <w:t>المقابل الاستخلافي</w:t>
            </w:r>
          </w:p>
        </w:tc>
        <w:tc>
          <w:tcPr>
            <w:tcW w:w="3200" w:type="dxa"/>
            <w:tcBorders>
              <w:top w:val="single" w:sz="3" w:space="0" w:color="FFFFFF"/>
              <w:left w:val="single" w:sz="3" w:space="0" w:color="FFFFFF"/>
              <w:bottom w:val="single" w:sz="3" w:space="0" w:color="FFFFFF"/>
              <w:right w:val="single" w:sz="3" w:space="0" w:color="FFFFFF"/>
            </w:tcBorders>
            <w:shd w:val="clear" w:color="auto" w:fill="0D1B33"/>
            <w:tcMar>
              <w:top w:w="100" w:type="dxa"/>
              <w:left w:w="160" w:type="dxa"/>
              <w:bottom w:w="100" w:type="dxa"/>
              <w:right w:w="160" w:type="dxa"/>
            </w:tcMar>
          </w:tcPr>
          <w:p w14:paraId="41550823" w14:textId="77777777" w:rsidR="00FC056A" w:rsidRDefault="00000000" w:rsidP="00EC2816">
            <w:r>
              <w:rPr>
                <w:b/>
                <w:bCs/>
                <w:color w:val="FFFFFF"/>
                <w:sz w:val="22"/>
                <w:szCs w:val="22"/>
              </w:rPr>
              <w:t>مستوى التعمق الإضافي</w:t>
            </w:r>
          </w:p>
        </w:tc>
      </w:tr>
      <w:tr w:rsidR="00FC056A" w14:paraId="542EC07A" w14:textId="77777777">
        <w:tblPrEx>
          <w:tblCellMar>
            <w:top w:w="0" w:type="dxa"/>
            <w:bottom w:w="0" w:type="dxa"/>
          </w:tblCellMar>
        </w:tblPrEx>
        <w:tc>
          <w:tcPr>
            <w:tcW w:w="28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2C268B4B" w14:textId="77777777" w:rsidR="00FC056A" w:rsidRDefault="00000000" w:rsidP="00EC2816">
            <w:r>
              <w:rPr>
                <w:b/>
                <w:bCs/>
                <w:color w:val="0D1B33"/>
                <w:sz w:val="22"/>
                <w:szCs w:val="22"/>
              </w:rPr>
              <w:t>النظام التلقائي (System 1)</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5DBA7E8E" w14:textId="77777777" w:rsidR="00FC056A" w:rsidRDefault="00000000" w:rsidP="00EC2816">
            <w:r>
              <w:rPr>
                <w:color w:val="222222"/>
                <w:sz w:val="22"/>
                <w:szCs w:val="22"/>
              </w:rPr>
              <w:t>النفس الأمّارة بسوئها في حالتها الخام</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56960445" w14:textId="77777777" w:rsidR="00FC056A" w:rsidRDefault="00000000" w:rsidP="00EC2816">
            <w:r>
              <w:rPr>
                <w:color w:val="222222"/>
                <w:sz w:val="22"/>
                <w:szCs w:val="22"/>
              </w:rPr>
              <w:t>يضيف بُعد المسؤولية الأخلاقية للنظام</w:t>
            </w:r>
          </w:p>
        </w:tc>
      </w:tr>
      <w:tr w:rsidR="00FC056A" w14:paraId="76F7DFE4" w14:textId="77777777">
        <w:tblPrEx>
          <w:tblCellMar>
            <w:top w:w="0" w:type="dxa"/>
            <w:bottom w:w="0" w:type="dxa"/>
          </w:tblCellMar>
        </w:tblPrEx>
        <w:tc>
          <w:tcPr>
            <w:tcW w:w="28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209AFA5D" w14:textId="77777777" w:rsidR="00FC056A" w:rsidRDefault="00000000" w:rsidP="00EC2816">
            <w:r>
              <w:rPr>
                <w:b/>
                <w:bCs/>
                <w:color w:val="0D1B33"/>
                <w:sz w:val="22"/>
                <w:szCs w:val="22"/>
              </w:rPr>
              <w:t>النظام التأملي (System 2)</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748386CB" w14:textId="77777777" w:rsidR="00FC056A" w:rsidRDefault="00000000" w:rsidP="00EC2816">
            <w:r>
              <w:rPr>
                <w:color w:val="222222"/>
                <w:sz w:val="22"/>
                <w:szCs w:val="22"/>
              </w:rPr>
              <w:t>النفس اللوامة (الوعي الذاتي المحاسِب)</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74D6FEBF" w14:textId="77777777" w:rsidR="00FC056A" w:rsidRDefault="00000000" w:rsidP="00EC2816">
            <w:r>
              <w:rPr>
                <w:color w:val="222222"/>
                <w:sz w:val="22"/>
                <w:szCs w:val="22"/>
              </w:rPr>
              <w:t>يضيف إمكانية التزكية والإصلاح الوجودي</w:t>
            </w:r>
          </w:p>
        </w:tc>
      </w:tr>
      <w:tr w:rsidR="00FC056A" w14:paraId="1E494A07" w14:textId="77777777">
        <w:tblPrEx>
          <w:tblCellMar>
            <w:top w:w="0" w:type="dxa"/>
            <w:bottom w:w="0" w:type="dxa"/>
          </w:tblCellMar>
        </w:tblPrEx>
        <w:tc>
          <w:tcPr>
            <w:tcW w:w="28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1E552D6F" w14:textId="77777777" w:rsidR="00FC056A" w:rsidRDefault="00000000" w:rsidP="00EC2816">
            <w:r>
              <w:rPr>
                <w:b/>
                <w:bCs/>
                <w:color w:val="0D1B33"/>
                <w:sz w:val="22"/>
                <w:szCs w:val="22"/>
              </w:rPr>
              <w:t>حشرات العقل (Mindbugs)</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44BCBBB0" w14:textId="77777777" w:rsidR="00FC056A" w:rsidRDefault="00000000" w:rsidP="00EC2816">
            <w:r>
              <w:rPr>
                <w:color w:val="222222"/>
                <w:sz w:val="22"/>
                <w:szCs w:val="22"/>
              </w:rPr>
              <w:t>مظاهر التدسية وغبار التماهيات الاستعاضية</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177929E7" w14:textId="77777777" w:rsidR="00FC056A" w:rsidRDefault="00000000" w:rsidP="00EC2816">
            <w:r>
              <w:rPr>
                <w:color w:val="222222"/>
                <w:sz w:val="22"/>
                <w:szCs w:val="22"/>
              </w:rPr>
              <w:t>يُحوّل الخطأ إلى تشخيص وجودي أعمق</w:t>
            </w:r>
          </w:p>
        </w:tc>
      </w:tr>
      <w:tr w:rsidR="00FC056A" w14:paraId="0EBBA4B5" w14:textId="77777777">
        <w:tblPrEx>
          <w:tblCellMar>
            <w:top w:w="0" w:type="dxa"/>
            <w:bottom w:w="0" w:type="dxa"/>
          </w:tblCellMar>
        </w:tblPrEx>
        <w:tc>
          <w:tcPr>
            <w:tcW w:w="28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7CA9B07A" w14:textId="77777777" w:rsidR="00FC056A" w:rsidRDefault="00000000" w:rsidP="00EC2816">
            <w:r>
              <w:rPr>
                <w:b/>
                <w:bCs/>
                <w:color w:val="0D1B33"/>
                <w:sz w:val="22"/>
                <w:szCs w:val="22"/>
              </w:rPr>
              <w:t>البقعة العمياء (Blindspot)</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14E43288" w14:textId="77777777" w:rsidR="00FC056A" w:rsidRDefault="00000000" w:rsidP="00EC2816">
            <w:r>
              <w:rPr>
                <w:color w:val="222222"/>
                <w:sz w:val="22"/>
                <w:szCs w:val="22"/>
              </w:rPr>
              <w:t>الرَّيْن — تراكم الحجب على القلب</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117348C7" w14:textId="77777777" w:rsidR="00FC056A" w:rsidRDefault="00000000" w:rsidP="00EC2816">
            <w:r>
              <w:rPr>
                <w:color w:val="222222"/>
                <w:sz w:val="22"/>
                <w:szCs w:val="22"/>
              </w:rPr>
              <w:t>يمنح الظاهرة إطاراً أخلاقياً متجذّراً</w:t>
            </w:r>
          </w:p>
        </w:tc>
      </w:tr>
      <w:tr w:rsidR="00FC056A" w14:paraId="1B91A3E2" w14:textId="77777777">
        <w:tblPrEx>
          <w:tblCellMar>
            <w:top w:w="0" w:type="dxa"/>
            <w:bottom w:w="0" w:type="dxa"/>
          </w:tblCellMar>
        </w:tblPrEx>
        <w:tc>
          <w:tcPr>
            <w:tcW w:w="28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4FAA5FE3" w14:textId="77777777" w:rsidR="00FC056A" w:rsidRDefault="00000000" w:rsidP="00EC2816">
            <w:r>
              <w:rPr>
                <w:b/>
                <w:bCs/>
                <w:color w:val="0D1B33"/>
                <w:sz w:val="22"/>
                <w:szCs w:val="22"/>
              </w:rPr>
              <w:t>اختبار IAT</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562D60C7" w14:textId="77777777" w:rsidR="00FC056A" w:rsidRDefault="00000000" w:rsidP="00EC2816">
            <w:r>
              <w:rPr>
                <w:color w:val="222222"/>
                <w:sz w:val="22"/>
                <w:szCs w:val="22"/>
              </w:rPr>
              <w:t>مرآة التدسية — مقياس درجة الاغتراب</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25E69FEA" w14:textId="77777777" w:rsidR="00FC056A" w:rsidRDefault="00000000" w:rsidP="00EC2816">
            <w:r>
              <w:rPr>
                <w:color w:val="222222"/>
                <w:sz w:val="22"/>
                <w:szCs w:val="22"/>
              </w:rPr>
              <w:t>يُحوّل الأداة من الكشف إلى التشخيص العلاجي</w:t>
            </w:r>
          </w:p>
        </w:tc>
      </w:tr>
      <w:tr w:rsidR="00FC056A" w14:paraId="4D45A7C8" w14:textId="77777777">
        <w:tblPrEx>
          <w:tblCellMar>
            <w:top w:w="0" w:type="dxa"/>
            <w:bottom w:w="0" w:type="dxa"/>
          </w:tblCellMar>
        </w:tblPrEx>
        <w:tc>
          <w:tcPr>
            <w:tcW w:w="28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3D48E0B4" w14:textId="77777777" w:rsidR="00FC056A" w:rsidRDefault="00000000" w:rsidP="00EC2816">
            <w:r>
              <w:rPr>
                <w:b/>
                <w:bCs/>
                <w:color w:val="0D1B33"/>
                <w:sz w:val="22"/>
                <w:szCs w:val="22"/>
              </w:rPr>
              <w:t>الشخص الطيب (Good Person)</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2FE13DCC" w14:textId="77777777" w:rsidR="00FC056A" w:rsidRDefault="00000000" w:rsidP="00EC2816">
            <w:r>
              <w:rPr>
                <w:color w:val="222222"/>
                <w:sz w:val="22"/>
                <w:szCs w:val="22"/>
              </w:rPr>
              <w:t>الخليفة الغافل — صاحب نية دون وعي استخلافي</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6F0C7DDE" w14:textId="77777777" w:rsidR="00FC056A" w:rsidRDefault="00000000" w:rsidP="00EC2816">
            <w:r>
              <w:rPr>
                <w:color w:val="222222"/>
                <w:sz w:val="22"/>
                <w:szCs w:val="22"/>
              </w:rPr>
              <w:t>يرفع مستوى المطلوب من الحسن إلى الإحسان</w:t>
            </w:r>
          </w:p>
        </w:tc>
      </w:tr>
      <w:tr w:rsidR="00FC056A" w14:paraId="3E85CEC9" w14:textId="77777777">
        <w:tblPrEx>
          <w:tblCellMar>
            <w:top w:w="0" w:type="dxa"/>
            <w:bottom w:w="0" w:type="dxa"/>
          </w:tblCellMar>
        </w:tblPrEx>
        <w:tc>
          <w:tcPr>
            <w:tcW w:w="28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04428059" w14:textId="77777777" w:rsidR="00FC056A" w:rsidRDefault="00000000" w:rsidP="00EC2816">
            <w:r>
              <w:rPr>
                <w:b/>
                <w:bCs/>
                <w:color w:val="0D1B33"/>
                <w:sz w:val="22"/>
                <w:szCs w:val="22"/>
              </w:rPr>
              <w:t>التكييف المضاد</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06427DE6" w14:textId="77777777" w:rsidR="00FC056A" w:rsidRDefault="00000000" w:rsidP="00EC2816">
            <w:r>
              <w:rPr>
                <w:color w:val="222222"/>
                <w:sz w:val="22"/>
                <w:szCs w:val="22"/>
              </w:rPr>
              <w:t>الصحبة الصالحة والخبير الحي</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3FE4906F" w14:textId="77777777" w:rsidR="00FC056A" w:rsidRDefault="00000000" w:rsidP="00EC2816">
            <w:r>
              <w:rPr>
                <w:color w:val="222222"/>
                <w:sz w:val="22"/>
                <w:szCs w:val="22"/>
              </w:rPr>
              <w:t>يُضيف البعد العلائقي الروحي للتدخل</w:t>
            </w:r>
          </w:p>
        </w:tc>
      </w:tr>
      <w:tr w:rsidR="00FC056A" w14:paraId="72F254F9" w14:textId="77777777">
        <w:tblPrEx>
          <w:tblCellMar>
            <w:top w:w="0" w:type="dxa"/>
            <w:bottom w:w="0" w:type="dxa"/>
          </w:tblCellMar>
        </w:tblPrEx>
        <w:tc>
          <w:tcPr>
            <w:tcW w:w="28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2E5AD468" w14:textId="77777777" w:rsidR="00FC056A" w:rsidRDefault="00000000" w:rsidP="00EC2816">
            <w:r>
              <w:rPr>
                <w:b/>
                <w:bCs/>
                <w:color w:val="0D1B33"/>
                <w:sz w:val="22"/>
                <w:szCs w:val="22"/>
              </w:rPr>
              <w:t>سياسة الاختبار الأعمى</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6D935605" w14:textId="77777777" w:rsidR="00FC056A" w:rsidRDefault="00000000" w:rsidP="00EC2816">
            <w:r>
              <w:rPr>
                <w:color w:val="222222"/>
                <w:sz w:val="22"/>
                <w:szCs w:val="22"/>
              </w:rPr>
              <w:t>سد الذرائع — هندسة البيئة الاستخلافية</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4857FF84" w14:textId="77777777" w:rsidR="00FC056A" w:rsidRDefault="00000000" w:rsidP="00EC2816">
            <w:r>
              <w:rPr>
                <w:color w:val="222222"/>
                <w:sz w:val="22"/>
                <w:szCs w:val="22"/>
              </w:rPr>
              <w:t>يُجذّر الممارسة في منهج فقهي نفسي متكامل</w:t>
            </w:r>
          </w:p>
        </w:tc>
      </w:tr>
      <w:tr w:rsidR="00FC056A" w14:paraId="1061DD22" w14:textId="77777777">
        <w:tblPrEx>
          <w:tblCellMar>
            <w:top w:w="0" w:type="dxa"/>
            <w:bottom w:w="0" w:type="dxa"/>
          </w:tblCellMar>
        </w:tblPrEx>
        <w:tc>
          <w:tcPr>
            <w:tcW w:w="28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55B2D57C" w14:textId="77777777" w:rsidR="00FC056A" w:rsidRDefault="00000000" w:rsidP="00EC2816">
            <w:r>
              <w:rPr>
                <w:b/>
                <w:bCs/>
                <w:color w:val="0D1B33"/>
                <w:sz w:val="22"/>
                <w:szCs w:val="22"/>
              </w:rPr>
              <w:t>ما بعد الصدمة النموية (PTG)</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48B4C7A5" w14:textId="77777777" w:rsidR="00FC056A" w:rsidRDefault="00000000" w:rsidP="00EC2816">
            <w:r>
              <w:rPr>
                <w:color w:val="222222"/>
                <w:sz w:val="22"/>
                <w:szCs w:val="22"/>
              </w:rPr>
              <w:t>الكينتسوغي النفسي</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5A5BD75C" w14:textId="77777777" w:rsidR="00FC056A" w:rsidRDefault="00000000" w:rsidP="00EC2816">
            <w:r>
              <w:rPr>
                <w:color w:val="222222"/>
                <w:sz w:val="22"/>
                <w:szCs w:val="22"/>
              </w:rPr>
              <w:t>يُضيف البعد الغائي للتحوّل: من ضحية إلى خليفة</w:t>
            </w:r>
          </w:p>
        </w:tc>
      </w:tr>
    </w:tbl>
    <w:p w14:paraId="156D2CBB" w14:textId="77777777" w:rsidR="00FC056A" w:rsidRDefault="00FC056A" w:rsidP="00EC2816">
      <w:pPr>
        <w:spacing w:before="120" w:after="120"/>
      </w:pPr>
    </w:p>
    <w:p w14:paraId="1859D16F" w14:textId="77777777" w:rsidR="00FC056A" w:rsidRDefault="00000000" w:rsidP="00EC2816">
      <w:pPr>
        <w:pageBreakBefore/>
        <w:pBdr>
          <w:bottom w:val="single" w:sz="10" w:space="4" w:color="9A7B1A"/>
        </w:pBdr>
        <w:spacing w:before="360" w:after="200"/>
      </w:pPr>
      <w:r>
        <w:rPr>
          <w:b/>
          <w:bCs/>
          <w:color w:val="0D1B33"/>
          <w:sz w:val="36"/>
          <w:szCs w:val="36"/>
        </w:rPr>
        <w:t>3. الفطرة والتدسية: جوهر الرد الاستخلافي على «حيادية» التحيز</w:t>
      </w:r>
    </w:p>
    <w:p w14:paraId="48C45E73" w14:textId="77777777" w:rsidR="00FC056A" w:rsidRDefault="00000000" w:rsidP="00EC2816">
      <w:pPr>
        <w:pBdr>
          <w:right w:val="thick" w:sz="14" w:space="6" w:color="0A5E5E"/>
        </w:pBdr>
        <w:spacing w:before="280" w:after="140"/>
        <w:ind w:right="260"/>
      </w:pPr>
      <w:r>
        <w:rPr>
          <w:b/>
          <w:bCs/>
          <w:color w:val="1A3A6B"/>
          <w:sz w:val="30"/>
          <w:szCs w:val="30"/>
        </w:rPr>
        <w:t>3.1  مفهوم الفطرة كمعيار قياسي سابق على التحيز</w:t>
      </w:r>
    </w:p>
    <w:p w14:paraId="3068346D" w14:textId="77777777" w:rsidR="00FC056A" w:rsidRDefault="00000000" w:rsidP="00EC2816">
      <w:pPr>
        <w:spacing w:before="80" w:after="80" w:line="340" w:lineRule="auto"/>
      </w:pPr>
      <w:r>
        <w:t xml:space="preserve">يقوم البناء الاستخلافي كله على مسلّمة لا يملكها النموذج الغربي: وجود «معيار قياسي ما قبل اجتماعي» ودَعَه الله في الإنسان، يمكن الاحتكام إليه لتصنيف التحيزات بوصفها «انحرافاً» لا «طبيعة». وهذا المعيار هو </w:t>
      </w:r>
      <w:r>
        <w:rPr>
          <w:b/>
          <w:bCs/>
          <w:color w:val="0D1B33"/>
        </w:rPr>
        <w:t>الفطرة</w:t>
      </w:r>
      <w:r>
        <w:t xml:space="preserve"> — الاستعداد الكامن في كل إنسان نحو العدل والتوحيد والإقرار بالحق.</w:t>
      </w:r>
    </w:p>
    <w:p w14:paraId="28AFFA7D" w14:textId="77777777" w:rsidR="00FC056A" w:rsidRDefault="00FC056A" w:rsidP="00EC2816">
      <w:pPr>
        <w:spacing w:before="30" w:after="5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FC056A" w14:paraId="2BD8C945" w14:textId="77777777">
        <w:tblPrEx>
          <w:tblCellMar>
            <w:top w:w="0" w:type="dxa"/>
            <w:bottom w:w="0" w:type="dxa"/>
          </w:tblCellMar>
        </w:tblPrEx>
        <w:tc>
          <w:tcPr>
            <w:tcW w:w="0" w:type="auto"/>
            <w:tcBorders>
              <w:top w:val="double" w:sz="4" w:space="0" w:color="1A5535"/>
              <w:left w:val="double" w:sz="4" w:space="0" w:color="1A5535"/>
              <w:bottom w:val="double" w:sz="4" w:space="0" w:color="1A5535"/>
              <w:right w:val="double" w:sz="4" w:space="0" w:color="1A5535"/>
            </w:tcBorders>
            <w:shd w:val="clear" w:color="auto" w:fill="EEF7EE"/>
            <w:tcMar>
              <w:top w:w="140" w:type="dxa"/>
              <w:left w:w="220" w:type="dxa"/>
              <w:bottom w:w="140" w:type="dxa"/>
              <w:right w:w="220" w:type="dxa"/>
            </w:tcMar>
          </w:tcPr>
          <w:p w14:paraId="02294C6E" w14:textId="77777777" w:rsidR="00FC056A" w:rsidRDefault="00000000" w:rsidP="00EC2816">
            <w:pPr>
              <w:spacing w:before="60" w:after="40"/>
            </w:pPr>
            <w:r>
              <w:rPr>
                <w:color w:val="1A5535"/>
                <w:sz w:val="28"/>
                <w:szCs w:val="28"/>
              </w:rPr>
              <w:t xml:space="preserve">« </w:t>
            </w:r>
            <w:r>
              <w:rPr>
                <w:color w:val="1A3A1A"/>
              </w:rPr>
              <w:t>كل مولود يُولد على الفطرة، فأبواه يُهوِّدانه أو يُنصِّرانه أو يُمجِّسانه</w:t>
            </w:r>
            <w:r>
              <w:rPr>
                <w:color w:val="1A5535"/>
                <w:sz w:val="28"/>
                <w:szCs w:val="28"/>
              </w:rPr>
              <w:t xml:space="preserve"> »</w:t>
            </w:r>
          </w:p>
          <w:p w14:paraId="0565C239" w14:textId="77777777" w:rsidR="00FC056A" w:rsidRDefault="00000000" w:rsidP="00EC2816">
            <w:r>
              <w:rPr>
                <w:i/>
                <w:iCs/>
                <w:color w:val="1A5535"/>
                <w:sz w:val="20"/>
                <w:szCs w:val="20"/>
              </w:rPr>
              <w:t>متفق عليه — صحيح البخاري (1358) وصحيح مسلم (2658)</w:t>
            </w:r>
          </w:p>
        </w:tc>
      </w:tr>
    </w:tbl>
    <w:p w14:paraId="36AE2E42" w14:textId="77777777" w:rsidR="00FC056A" w:rsidRDefault="00FC056A" w:rsidP="00EC2816">
      <w:pPr>
        <w:spacing w:before="30" w:after="60"/>
      </w:pPr>
    </w:p>
    <w:p w14:paraId="53317623" w14:textId="77777777" w:rsidR="00FC056A" w:rsidRDefault="00000000" w:rsidP="00EC2816">
      <w:pPr>
        <w:spacing w:before="80" w:after="80" w:line="340" w:lineRule="auto"/>
      </w:pPr>
      <w:r>
        <w:t xml:space="preserve">الحديث الشريف يقدم نموذجاً تشخيصياً دقيقاً للتحيز الضمني قبل أن يصيغه باناجي وغرينوالد بقرون: التحيزات (التهويد، التنصير، التمجيس) ليست أصلية في الإنسان، بل هي «برمجة فوقية» طبقتها البيئة الاجتماعية على «نظام التشغيل الفطري» الأصيل </w:t>
      </w:r>
      <w:r>
        <w:rPr>
          <w:color w:val="0A5E5E"/>
          <w:sz w:val="22"/>
          <w:szCs w:val="22"/>
        </w:rPr>
        <w:t>[802]</w:t>
      </w:r>
      <w:r>
        <w:t>. والفارق الجوهري مع الغربيين: الحديث يُقدّم معياراً مرجعياً — الفطرة — في حين يظل الكتاب دون مرجع تحكيمي خارج الاجتماع.</w:t>
      </w:r>
    </w:p>
    <w:p w14:paraId="2B8E0697" w14:textId="77777777" w:rsidR="00FC056A" w:rsidRDefault="00FC056A" w:rsidP="00EC2816">
      <w:pPr>
        <w:spacing w:before="30" w:after="6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FC056A" w14:paraId="396707C5" w14:textId="77777777">
        <w:tblPrEx>
          <w:tblCellMar>
            <w:top w:w="0" w:type="dxa"/>
            <w:bottom w:w="0" w:type="dxa"/>
          </w:tblCellMar>
        </w:tblPrEx>
        <w:tc>
          <w:tcPr>
            <w:tcW w:w="0" w:type="auto"/>
            <w:tcBorders>
              <w:top w:val="single" w:sz="4" w:space="0" w:color="9A7B1A"/>
              <w:left w:val="single" w:sz="4" w:space="0" w:color="9A7B1A"/>
              <w:bottom w:val="single" w:sz="4" w:space="0" w:color="9A7B1A"/>
              <w:right w:val="single" w:sz="4" w:space="0" w:color="9A7B1A"/>
            </w:tcBorders>
            <w:shd w:val="clear" w:color="auto" w:fill="FDF6E3"/>
            <w:tcMar>
              <w:top w:w="160" w:type="dxa"/>
              <w:left w:w="260" w:type="dxa"/>
              <w:bottom w:w="160" w:type="dxa"/>
              <w:right w:w="260" w:type="dxa"/>
            </w:tcMar>
          </w:tcPr>
          <w:p w14:paraId="029F9B96" w14:textId="77777777" w:rsidR="00FC056A" w:rsidRDefault="00000000" w:rsidP="00EC2816">
            <w:pPr>
              <w:spacing w:before="60" w:after="60"/>
            </w:pPr>
            <w:r>
              <w:rPr>
                <w:color w:val="9A7B1A"/>
                <w:sz w:val="30"/>
                <w:szCs w:val="30"/>
              </w:rPr>
              <w:t xml:space="preserve">﴾ </w:t>
            </w:r>
            <w:r>
              <w:rPr>
                <w:b/>
                <w:bCs/>
                <w:color w:val="0D1B33"/>
                <w:sz w:val="28"/>
                <w:szCs w:val="28"/>
              </w:rPr>
              <w:t>فَأَقِمْ وَجْهَكَ لِلدِّينِ حَنِيفًا ۚ فِطْرَتَ اللَّهِ الَّتِي فَطَرَ النَّاسَ عَلَيْهَا ۚ لَا تَبْدِيلَ لِخَلْقِ اللَّهِ</w:t>
            </w:r>
            <w:r>
              <w:rPr>
                <w:color w:val="9A7B1A"/>
                <w:sz w:val="30"/>
                <w:szCs w:val="30"/>
              </w:rPr>
              <w:t xml:space="preserve"> ﴿</w:t>
            </w:r>
          </w:p>
          <w:p w14:paraId="40207CF8" w14:textId="77777777" w:rsidR="00FC056A" w:rsidRDefault="00000000" w:rsidP="00EC2816">
            <w:r>
              <w:rPr>
                <w:color w:val="9A7B1A"/>
                <w:sz w:val="22"/>
                <w:szCs w:val="22"/>
              </w:rPr>
              <w:t>[الروم: 30]</w:t>
            </w:r>
          </w:p>
        </w:tc>
      </w:tr>
    </w:tbl>
    <w:p w14:paraId="40A1DA99" w14:textId="77777777" w:rsidR="00FC056A" w:rsidRDefault="00FC056A" w:rsidP="00EC2816">
      <w:pPr>
        <w:spacing w:before="30" w:after="60"/>
      </w:pPr>
    </w:p>
    <w:p w14:paraId="1C4BE4BE" w14:textId="77777777" w:rsidR="00FC056A" w:rsidRDefault="00000000" w:rsidP="00EC2816">
      <w:pPr>
        <w:spacing w:before="80" w:after="80" w:line="340" w:lineRule="auto"/>
      </w:pPr>
      <w:r>
        <w:t xml:space="preserve">الآية تُؤسّس لمفهوم جوهري في علم النفس الاستخلافي: الفطرة ليست «مجرد طبيعة»، بل هي </w:t>
      </w:r>
      <w:r>
        <w:rPr>
          <w:b/>
          <w:bCs/>
          <w:color w:val="0D1B33"/>
        </w:rPr>
        <w:t>«نظام تشغيل مُودَع من الله»</w:t>
      </w:r>
      <w:r>
        <w:t xml:space="preserve"> لا يتغيّر (</w:t>
      </w:r>
      <w:r>
        <w:rPr>
          <w:b/>
          <w:bCs/>
          <w:color w:val="0D1B33"/>
        </w:rPr>
        <w:t>«لَا تَبْدِيلَ لِخَلْقِ اللَّهِ»</w:t>
      </w:r>
      <w:r>
        <w:t>)، لكنه يمكن أن يُغطّى ويُخفى بالتدسية. وهذا يعني أن إمكانية الاسترداد دائمة قائمة — وهو ما يُميّز الأمل الاستخلافي عن تشاؤمية «التحيز المتجذّر» لدى بعض الغربيين.</w:t>
      </w:r>
    </w:p>
    <w:p w14:paraId="2693199A" w14:textId="77777777" w:rsidR="00FC056A" w:rsidRDefault="00FC056A" w:rsidP="00EC2816">
      <w:pPr>
        <w:spacing w:before="120" w:after="120"/>
      </w:pPr>
    </w:p>
    <w:p w14:paraId="7449F4D8" w14:textId="77777777" w:rsidR="00FC056A" w:rsidRDefault="00000000" w:rsidP="00EC2816">
      <w:pPr>
        <w:pBdr>
          <w:right w:val="thick" w:sz="14" w:space="6" w:color="0A5E5E"/>
        </w:pBdr>
        <w:spacing w:before="280" w:after="140"/>
        <w:ind w:right="260"/>
      </w:pPr>
      <w:r>
        <w:rPr>
          <w:b/>
          <w:bCs/>
          <w:color w:val="1A3A6B"/>
          <w:sz w:val="30"/>
          <w:szCs w:val="30"/>
        </w:rPr>
        <w:t>3.2  التدسية: ميكانيزمات تكوين «البقعة العمياء» في المنظور الاستخلافي</w:t>
      </w:r>
    </w:p>
    <w:p w14:paraId="544302BF" w14:textId="77777777" w:rsidR="00FC056A" w:rsidRDefault="00000000" w:rsidP="00EC2816">
      <w:pPr>
        <w:spacing w:before="80" w:after="80" w:line="340" w:lineRule="auto"/>
      </w:pPr>
      <w:r>
        <w:t xml:space="preserve">إذا كانت الفطرة هي «مرآة النفس» الأصلية، فالتدسية هي العملية التدريجية لتلطيخ هذه المرآة </w:t>
      </w:r>
      <w:r>
        <w:rPr>
          <w:color w:val="0A5E5E"/>
          <w:sz w:val="22"/>
          <w:szCs w:val="22"/>
        </w:rPr>
        <w:t>[157، 822، 824]</w:t>
      </w:r>
      <w:r>
        <w:t>. ويُحدّد الزراع خمسةَ مسارات رئيسية لتكوّن التدسية في الإنسان المعاصر، يمكن إسقاطها مباشرةً على ما يوثّقه كتاب باناجي وغرينوالد:</w:t>
      </w:r>
    </w:p>
    <w:p w14:paraId="29CD3207" w14:textId="77777777" w:rsidR="00FC056A" w:rsidRDefault="00FC056A" w:rsidP="00EC2816">
      <w:pPr>
        <w:spacing w:before="40" w:after="6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4600"/>
      </w:tblGrid>
      <w:tr w:rsidR="00FC056A" w14:paraId="333D887D" w14:textId="77777777">
        <w:tblPrEx>
          <w:tblCellMar>
            <w:top w:w="0" w:type="dxa"/>
            <w:bottom w:w="0" w:type="dxa"/>
          </w:tblCellMar>
        </w:tblPrEx>
        <w:trPr>
          <w:tblHeader/>
        </w:trPr>
        <w:tc>
          <w:tcPr>
            <w:tcW w:w="4600" w:type="dxa"/>
            <w:tcBorders>
              <w:top w:val="single" w:sz="3" w:space="0" w:color="FFFFFF"/>
              <w:left w:val="single" w:sz="3" w:space="0" w:color="FFFFFF"/>
              <w:bottom w:val="single" w:sz="3" w:space="0" w:color="FFFFFF"/>
              <w:right w:val="single" w:sz="3" w:space="0" w:color="FFFFFF"/>
            </w:tcBorders>
            <w:shd w:val="clear" w:color="auto" w:fill="0D1B33"/>
            <w:tcMar>
              <w:top w:w="100" w:type="dxa"/>
              <w:left w:w="160" w:type="dxa"/>
              <w:bottom w:w="100" w:type="dxa"/>
              <w:right w:w="160" w:type="dxa"/>
            </w:tcMar>
          </w:tcPr>
          <w:p w14:paraId="40050BD0" w14:textId="77777777" w:rsidR="00FC056A" w:rsidRDefault="00000000" w:rsidP="00EC2816">
            <w:r>
              <w:rPr>
                <w:b/>
                <w:bCs/>
                <w:color w:val="FFFFFF"/>
                <w:sz w:val="22"/>
                <w:szCs w:val="22"/>
              </w:rPr>
              <w:t>مسار التدسية الاستخلافي</w:t>
            </w:r>
          </w:p>
        </w:tc>
        <w:tc>
          <w:tcPr>
            <w:tcW w:w="4600" w:type="dxa"/>
            <w:tcBorders>
              <w:top w:val="single" w:sz="3" w:space="0" w:color="FFFFFF"/>
              <w:left w:val="single" w:sz="3" w:space="0" w:color="FFFFFF"/>
              <w:bottom w:val="single" w:sz="3" w:space="0" w:color="FFFFFF"/>
              <w:right w:val="single" w:sz="3" w:space="0" w:color="FFFFFF"/>
            </w:tcBorders>
            <w:shd w:val="clear" w:color="auto" w:fill="0D1B33"/>
            <w:tcMar>
              <w:top w:w="100" w:type="dxa"/>
              <w:left w:w="160" w:type="dxa"/>
              <w:bottom w:w="100" w:type="dxa"/>
              <w:right w:w="160" w:type="dxa"/>
            </w:tcMar>
          </w:tcPr>
          <w:p w14:paraId="1CA2F92A" w14:textId="77777777" w:rsidR="00FC056A" w:rsidRDefault="00000000" w:rsidP="00EC2816">
            <w:r>
              <w:rPr>
                <w:b/>
                <w:bCs/>
                <w:color w:val="FFFFFF"/>
                <w:sz w:val="22"/>
                <w:szCs w:val="22"/>
              </w:rPr>
              <w:t>التجلّي في ظاهرة IAT</w:t>
            </w:r>
          </w:p>
        </w:tc>
      </w:tr>
      <w:tr w:rsidR="00FC056A" w14:paraId="1E522671" w14:textId="77777777">
        <w:tblPrEx>
          <w:tblCellMar>
            <w:top w:w="0" w:type="dxa"/>
            <w:bottom w:w="0" w:type="dxa"/>
          </w:tblCellMar>
        </w:tblPrEx>
        <w:tc>
          <w:tcPr>
            <w:tcW w:w="46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5AAA0125" w14:textId="77777777" w:rsidR="00FC056A" w:rsidRDefault="00000000" w:rsidP="00EC2816">
            <w:r>
              <w:rPr>
                <w:b/>
                <w:bCs/>
                <w:color w:val="0D1B33"/>
                <w:sz w:val="22"/>
                <w:szCs w:val="22"/>
              </w:rPr>
              <w:t>التنشئة الثقافية المحمَّلة بالهيمنة</w:t>
            </w:r>
          </w:p>
        </w:tc>
        <w:tc>
          <w:tcPr>
            <w:tcW w:w="4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46FACB32" w14:textId="77777777" w:rsidR="00FC056A" w:rsidRDefault="00000000" w:rsidP="00EC2816">
            <w:r>
              <w:rPr>
                <w:color w:val="222222"/>
                <w:sz w:val="22"/>
                <w:szCs w:val="22"/>
              </w:rPr>
              <w:t>يفسّر التحيز العرقي الضمني الموروث من ثقافات الاستعمار</w:t>
            </w:r>
          </w:p>
        </w:tc>
      </w:tr>
      <w:tr w:rsidR="00FC056A" w14:paraId="38FC0064" w14:textId="77777777">
        <w:tblPrEx>
          <w:tblCellMar>
            <w:top w:w="0" w:type="dxa"/>
            <w:bottom w:w="0" w:type="dxa"/>
          </w:tblCellMar>
        </w:tblPrEx>
        <w:tc>
          <w:tcPr>
            <w:tcW w:w="46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50997865" w14:textId="77777777" w:rsidR="00FC056A" w:rsidRDefault="00000000" w:rsidP="00EC2816">
            <w:r>
              <w:rPr>
                <w:b/>
                <w:bCs/>
                <w:color w:val="0D1B33"/>
                <w:sz w:val="22"/>
                <w:szCs w:val="22"/>
              </w:rPr>
              <w:t>التماهيات الاستعاضية مع نماذج منحازة</w:t>
            </w:r>
          </w:p>
        </w:tc>
        <w:tc>
          <w:tcPr>
            <w:tcW w:w="4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2AAC8F23" w14:textId="77777777" w:rsidR="00FC056A" w:rsidRDefault="00000000" w:rsidP="00EC2816">
            <w:r>
              <w:rPr>
                <w:color w:val="222222"/>
                <w:sz w:val="22"/>
                <w:szCs w:val="22"/>
              </w:rPr>
              <w:t>يفسّر التحيز لصالح الجنسين حين يستدمج الفرد نماذج ثقافية تفاضلية</w:t>
            </w:r>
          </w:p>
        </w:tc>
      </w:tr>
      <w:tr w:rsidR="00FC056A" w14:paraId="1EBFB72A" w14:textId="77777777">
        <w:tblPrEx>
          <w:tblCellMar>
            <w:top w:w="0" w:type="dxa"/>
            <w:bottom w:w="0" w:type="dxa"/>
          </w:tblCellMar>
        </w:tblPrEx>
        <w:tc>
          <w:tcPr>
            <w:tcW w:w="46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36A7CB87" w14:textId="77777777" w:rsidR="00FC056A" w:rsidRDefault="00000000" w:rsidP="00EC2816">
            <w:r>
              <w:rPr>
                <w:b/>
                <w:bCs/>
                <w:color w:val="0D1B33"/>
                <w:sz w:val="22"/>
                <w:szCs w:val="22"/>
              </w:rPr>
              <w:t>الاطمئنان الوظيفي الزائف (تجنّب إعادة النظر)</w:t>
            </w:r>
          </w:p>
        </w:tc>
        <w:tc>
          <w:tcPr>
            <w:tcW w:w="4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5E37D3A8" w14:textId="77777777" w:rsidR="00FC056A" w:rsidRDefault="00000000" w:rsidP="00EC2816">
            <w:r>
              <w:rPr>
                <w:color w:val="222222"/>
                <w:sz w:val="22"/>
                <w:szCs w:val="22"/>
              </w:rPr>
              <w:t>يفسّر المقاومة النفسية لمراجعة الصور النمطية المريحة</w:t>
            </w:r>
          </w:p>
        </w:tc>
      </w:tr>
      <w:tr w:rsidR="00FC056A" w14:paraId="0B85B21A" w14:textId="77777777">
        <w:tblPrEx>
          <w:tblCellMar>
            <w:top w:w="0" w:type="dxa"/>
            <w:bottom w:w="0" w:type="dxa"/>
          </w:tblCellMar>
        </w:tblPrEx>
        <w:tc>
          <w:tcPr>
            <w:tcW w:w="46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3BE285A6" w14:textId="77777777" w:rsidR="00FC056A" w:rsidRDefault="00000000" w:rsidP="00EC2816">
            <w:r>
              <w:rPr>
                <w:b/>
                <w:bCs/>
                <w:color w:val="0D1B33"/>
                <w:sz w:val="22"/>
                <w:szCs w:val="22"/>
              </w:rPr>
              <w:t>الغفلة — توقف اللوامة عن المراقبة</w:t>
            </w:r>
          </w:p>
        </w:tc>
        <w:tc>
          <w:tcPr>
            <w:tcW w:w="4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7C2DFE67" w14:textId="77777777" w:rsidR="00FC056A" w:rsidRDefault="00000000" w:rsidP="00EC2816">
            <w:r>
              <w:rPr>
                <w:color w:val="222222"/>
                <w:sz w:val="22"/>
                <w:szCs w:val="22"/>
              </w:rPr>
              <w:t>يفسّر التناقض بين المبادئ المعلنة والسلوك الفعلي</w:t>
            </w:r>
          </w:p>
        </w:tc>
      </w:tr>
      <w:tr w:rsidR="00FC056A" w14:paraId="10B8462E" w14:textId="77777777">
        <w:tblPrEx>
          <w:tblCellMar>
            <w:top w:w="0" w:type="dxa"/>
            <w:bottom w:w="0" w:type="dxa"/>
          </w:tblCellMar>
        </w:tblPrEx>
        <w:tc>
          <w:tcPr>
            <w:tcW w:w="46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230E4C84" w14:textId="77777777" w:rsidR="00FC056A" w:rsidRDefault="00000000" w:rsidP="00EC2816">
            <w:r>
              <w:rPr>
                <w:b/>
                <w:bCs/>
                <w:color w:val="0D1B33"/>
                <w:sz w:val="22"/>
                <w:szCs w:val="22"/>
              </w:rPr>
              <w:t>الاستغراق في المادية وتجريد الآخر</w:t>
            </w:r>
          </w:p>
        </w:tc>
        <w:tc>
          <w:tcPr>
            <w:tcW w:w="4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769A18D9" w14:textId="77777777" w:rsidR="00FC056A" w:rsidRDefault="00000000" w:rsidP="00EC2816">
            <w:r>
              <w:rPr>
                <w:color w:val="222222"/>
                <w:sz w:val="22"/>
                <w:szCs w:val="22"/>
              </w:rPr>
              <w:t>يفسّر التمييز على أساس الجنس والعرق والطبقة بوصفه تجريداً للخلافة</w:t>
            </w:r>
          </w:p>
        </w:tc>
      </w:tr>
    </w:tbl>
    <w:p w14:paraId="0869043E" w14:textId="77777777" w:rsidR="00FC056A" w:rsidRDefault="00FC056A" w:rsidP="00EC2816">
      <w:pPr>
        <w:spacing w:before="120" w:after="120"/>
      </w:pPr>
    </w:p>
    <w:p w14:paraId="3FD47479" w14:textId="77777777" w:rsidR="00FC056A" w:rsidRDefault="00000000" w:rsidP="00EC2816">
      <w:pPr>
        <w:pBdr>
          <w:right w:val="thick" w:sz="14" w:space="6" w:color="0A5E5E"/>
        </w:pBdr>
        <w:spacing w:before="280" w:after="140"/>
        <w:ind w:right="260"/>
      </w:pPr>
      <w:r>
        <w:rPr>
          <w:b/>
          <w:bCs/>
          <w:color w:val="1A3A6B"/>
          <w:sz w:val="30"/>
          <w:szCs w:val="30"/>
        </w:rPr>
        <w:t>3.3  الرَّيْن: النموذج القرآني لتراكم البقعة العمياء</w:t>
      </w:r>
    </w:p>
    <w:p w14:paraId="54851767" w14:textId="77777777" w:rsidR="00FC056A" w:rsidRDefault="00000000" w:rsidP="00EC2816">
      <w:pPr>
        <w:spacing w:before="80" w:after="80" w:line="340" w:lineRule="auto"/>
      </w:pPr>
      <w:r>
        <w:t>القرآن الكريم يصف تراكم الغفلة والذنب على القلب بمفهوم «الرَّيْن» الذي يصف الكتاب تأثيره بـ«البقعة العمياء»:</w:t>
      </w:r>
    </w:p>
    <w:p w14:paraId="10DFB545" w14:textId="77777777" w:rsidR="00FC056A" w:rsidRDefault="00FC056A" w:rsidP="00EC2816">
      <w:pPr>
        <w:spacing w:before="30" w:after="5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FC056A" w14:paraId="49F01EEB" w14:textId="77777777">
        <w:tblPrEx>
          <w:tblCellMar>
            <w:top w:w="0" w:type="dxa"/>
            <w:bottom w:w="0" w:type="dxa"/>
          </w:tblCellMar>
        </w:tblPrEx>
        <w:tc>
          <w:tcPr>
            <w:tcW w:w="0" w:type="auto"/>
            <w:tcBorders>
              <w:top w:val="single" w:sz="4" w:space="0" w:color="9A7B1A"/>
              <w:left w:val="single" w:sz="4" w:space="0" w:color="9A7B1A"/>
              <w:bottom w:val="single" w:sz="4" w:space="0" w:color="9A7B1A"/>
              <w:right w:val="single" w:sz="4" w:space="0" w:color="9A7B1A"/>
            </w:tcBorders>
            <w:shd w:val="clear" w:color="auto" w:fill="FDF6E3"/>
            <w:tcMar>
              <w:top w:w="160" w:type="dxa"/>
              <w:left w:w="260" w:type="dxa"/>
              <w:bottom w:w="160" w:type="dxa"/>
              <w:right w:w="260" w:type="dxa"/>
            </w:tcMar>
          </w:tcPr>
          <w:p w14:paraId="7139CC4A" w14:textId="77777777" w:rsidR="00FC056A" w:rsidRDefault="00000000" w:rsidP="00EC2816">
            <w:pPr>
              <w:spacing w:before="60" w:after="60"/>
            </w:pPr>
            <w:r>
              <w:rPr>
                <w:color w:val="9A7B1A"/>
                <w:sz w:val="30"/>
                <w:szCs w:val="30"/>
              </w:rPr>
              <w:t xml:space="preserve">﴾ </w:t>
            </w:r>
            <w:r>
              <w:rPr>
                <w:b/>
                <w:bCs/>
                <w:color w:val="0D1B33"/>
                <w:sz w:val="28"/>
                <w:szCs w:val="28"/>
              </w:rPr>
              <w:t>كَلَّا ۖ بَلْ ۜ رَانَ عَلَىٰ قُلُوبِهِم مَّا كَانُوا يَكْسِبُونَ</w:t>
            </w:r>
            <w:r>
              <w:rPr>
                <w:color w:val="9A7B1A"/>
                <w:sz w:val="30"/>
                <w:szCs w:val="30"/>
              </w:rPr>
              <w:t xml:space="preserve"> ﴿</w:t>
            </w:r>
          </w:p>
          <w:p w14:paraId="515F23E0" w14:textId="77777777" w:rsidR="00FC056A" w:rsidRDefault="00000000" w:rsidP="00EC2816">
            <w:r>
              <w:rPr>
                <w:color w:val="9A7B1A"/>
                <w:sz w:val="22"/>
                <w:szCs w:val="22"/>
              </w:rPr>
              <w:t>[المطففين: 14]</w:t>
            </w:r>
          </w:p>
        </w:tc>
      </w:tr>
    </w:tbl>
    <w:p w14:paraId="1BDEEF58" w14:textId="77777777" w:rsidR="00FC056A" w:rsidRDefault="00FC056A" w:rsidP="00EC2816">
      <w:pPr>
        <w:spacing w:before="30" w:after="60"/>
      </w:pPr>
    </w:p>
    <w:p w14:paraId="5290D1DE" w14:textId="77777777" w:rsidR="00FC056A" w:rsidRDefault="00000000" w:rsidP="00EC2816">
      <w:pPr>
        <w:spacing w:before="80" w:after="80" w:line="340" w:lineRule="auto"/>
      </w:pPr>
      <w:r>
        <w:t xml:space="preserve">التفسير النفسي الاستخلافي للرَّيْن: إنه تراكم تدريجي لـ«أقفال» على اللوامة، يجعلها عاجزةً عن تصحيح مسار الأمّارة. وهذا بالضبط ما يرصده اختبار IAT: نمطٌ من التراكم اللاواعي لأقفال الصور النمطية، حتى أصبحت «بقعةً عمياء» ثابتة في بنية التفكير. والفارق الجوهري أن القرآن يُعلّمنا أن هذه «الأقفال» اكتسابية </w:t>
      </w:r>
      <w:r>
        <w:rPr>
          <w:color w:val="0A5E5E"/>
          <w:sz w:val="22"/>
          <w:szCs w:val="22"/>
        </w:rPr>
        <w:t>[822]</w:t>
      </w:r>
      <w:r>
        <w:t>) — وما اكتُسب يمكن أن يُزال.</w:t>
      </w:r>
    </w:p>
    <w:p w14:paraId="18D015C1" w14:textId="77777777" w:rsidR="00FC056A" w:rsidRDefault="00FC056A" w:rsidP="00EC2816">
      <w:pPr>
        <w:spacing w:before="120" w:after="120"/>
      </w:pPr>
    </w:p>
    <w:p w14:paraId="01DF5A5E" w14:textId="77777777" w:rsidR="00FC056A" w:rsidRDefault="00000000" w:rsidP="00EC2816">
      <w:pPr>
        <w:pageBreakBefore/>
        <w:pBdr>
          <w:bottom w:val="single" w:sz="10" w:space="4" w:color="9A7B1A"/>
        </w:pBdr>
        <w:spacing w:before="360" w:after="200"/>
      </w:pPr>
      <w:r>
        <w:rPr>
          <w:b/>
          <w:bCs/>
          <w:color w:val="0D1B33"/>
          <w:sz w:val="36"/>
          <w:szCs w:val="36"/>
        </w:rPr>
        <w:t>4. اختبار IAT بوصفه مسباراً للفصام الأخلاقي</w:t>
      </w:r>
    </w:p>
    <w:p w14:paraId="709A8609" w14:textId="77777777" w:rsidR="00FC056A" w:rsidRDefault="00000000" w:rsidP="00EC2816">
      <w:pPr>
        <w:pBdr>
          <w:right w:val="thick" w:sz="14" w:space="6" w:color="0A5E5E"/>
        </w:pBdr>
        <w:spacing w:before="280" w:after="140"/>
        <w:ind w:right="260"/>
      </w:pPr>
      <w:r>
        <w:rPr>
          <w:b/>
          <w:bCs/>
          <w:color w:val="1A3A6B"/>
          <w:sz w:val="30"/>
          <w:szCs w:val="30"/>
        </w:rPr>
        <w:t>4.1  الفصام الأخلاقي: من الوصف إلى التشخيص البنيوي</w:t>
      </w:r>
    </w:p>
    <w:p w14:paraId="731508D2" w14:textId="77777777" w:rsidR="00FC056A" w:rsidRDefault="00000000" w:rsidP="00EC2816">
      <w:pPr>
        <w:spacing w:before="80" w:after="80" w:line="340" w:lineRule="auto"/>
      </w:pPr>
      <w:r>
        <w:t xml:space="preserve">الفصام الأخلاقي في المنظور الاستخلافي </w:t>
      </w:r>
      <w:r>
        <w:rPr>
          <w:color w:val="0A5E5E"/>
          <w:sz w:val="22"/>
          <w:szCs w:val="22"/>
        </w:rPr>
        <w:t>[1129، 1143]</w:t>
      </w:r>
      <w:r>
        <w:t xml:space="preserve"> ليس مجرد «تناقض معرفي» كما في التنافر المعرفي لفستنجر، بل هو </w:t>
      </w:r>
      <w:r>
        <w:rPr>
          <w:b/>
          <w:bCs/>
          <w:color w:val="0D1B33"/>
        </w:rPr>
        <w:t>انفصام بنيوي</w:t>
      </w:r>
      <w:r>
        <w:t xml:space="preserve"> في «معمارية النفس»: انفصال النفس اللوامة عن دورها في ضبط الأمّارة، بحيث تُصبح الأولى </w:t>
      </w:r>
      <w:r>
        <w:rPr>
          <w:b/>
          <w:bCs/>
        </w:rPr>
        <w:t>قضائية</w:t>
      </w:r>
      <w:r>
        <w:t xml:space="preserve"> (تُصدر أحكاماً مثالية) دون أن تكون </w:t>
      </w:r>
      <w:r>
        <w:rPr>
          <w:b/>
          <w:bCs/>
        </w:rPr>
        <w:t>تنفيذية</w:t>
      </w:r>
      <w:r>
        <w:t xml:space="preserve"> (تُسيطر فعلاً على التصنيفات الفورية). وهذا الانفصام هو بالضبط ما يكشفه IAT.</w:t>
      </w:r>
    </w:p>
    <w:p w14:paraId="0900534F" w14:textId="77777777" w:rsidR="00FC056A" w:rsidRDefault="00FC056A">
      <w:pPr>
        <w:spacing w:before="40" w:after="60"/>
        <w:jc w:val="right"/>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400"/>
        <w:gridCol w:w="2600"/>
        <w:gridCol w:w="2000"/>
      </w:tblGrid>
      <w:tr w:rsidR="00FC056A" w14:paraId="4D88A97D" w14:textId="77777777">
        <w:tblPrEx>
          <w:tblCellMar>
            <w:top w:w="0" w:type="dxa"/>
            <w:bottom w:w="0" w:type="dxa"/>
          </w:tblCellMar>
        </w:tblPrEx>
        <w:trPr>
          <w:tblHeader/>
        </w:trPr>
        <w:tc>
          <w:tcPr>
            <w:tcW w:w="2200" w:type="dxa"/>
            <w:tcBorders>
              <w:top w:val="single" w:sz="3" w:space="0" w:color="FFFFFF"/>
              <w:left w:val="single" w:sz="3" w:space="0" w:color="FFFFFF"/>
              <w:bottom w:val="single" w:sz="3" w:space="0" w:color="FFFFFF"/>
              <w:right w:val="single" w:sz="3" w:space="0" w:color="FFFFFF"/>
            </w:tcBorders>
            <w:shd w:val="clear" w:color="auto" w:fill="0D1B33"/>
            <w:tcMar>
              <w:top w:w="100" w:type="dxa"/>
              <w:left w:w="160" w:type="dxa"/>
              <w:bottom w:w="100" w:type="dxa"/>
              <w:right w:w="160" w:type="dxa"/>
            </w:tcMar>
          </w:tcPr>
          <w:p w14:paraId="6C88AA47" w14:textId="77777777" w:rsidR="00FC056A" w:rsidRDefault="00000000">
            <w:pPr>
              <w:jc w:val="center"/>
            </w:pPr>
            <w:r>
              <w:rPr>
                <w:b/>
                <w:bCs/>
                <w:color w:val="FFFFFF"/>
                <w:sz w:val="22"/>
                <w:szCs w:val="22"/>
              </w:rPr>
              <w:t>المكوّن النفسي</w:t>
            </w:r>
          </w:p>
        </w:tc>
        <w:tc>
          <w:tcPr>
            <w:tcW w:w="2400" w:type="dxa"/>
            <w:tcBorders>
              <w:top w:val="single" w:sz="3" w:space="0" w:color="FFFFFF"/>
              <w:left w:val="single" w:sz="3" w:space="0" w:color="FFFFFF"/>
              <w:bottom w:val="single" w:sz="3" w:space="0" w:color="FFFFFF"/>
              <w:right w:val="single" w:sz="3" w:space="0" w:color="FFFFFF"/>
            </w:tcBorders>
            <w:shd w:val="clear" w:color="auto" w:fill="0D1B33"/>
            <w:tcMar>
              <w:top w:w="100" w:type="dxa"/>
              <w:left w:w="160" w:type="dxa"/>
              <w:bottom w:w="100" w:type="dxa"/>
              <w:right w:w="160" w:type="dxa"/>
            </w:tcMar>
          </w:tcPr>
          <w:p w14:paraId="51F968EB" w14:textId="77777777" w:rsidR="00FC056A" w:rsidRDefault="00000000">
            <w:pPr>
              <w:jc w:val="center"/>
            </w:pPr>
            <w:r>
              <w:rPr>
                <w:b/>
                <w:bCs/>
                <w:color w:val="FFFFFF"/>
                <w:sz w:val="22"/>
                <w:szCs w:val="22"/>
              </w:rPr>
              <w:t>الوظيفة الطبيعية</w:t>
            </w:r>
          </w:p>
        </w:tc>
        <w:tc>
          <w:tcPr>
            <w:tcW w:w="2600" w:type="dxa"/>
            <w:tcBorders>
              <w:top w:val="single" w:sz="3" w:space="0" w:color="FFFFFF"/>
              <w:left w:val="single" w:sz="3" w:space="0" w:color="FFFFFF"/>
              <w:bottom w:val="single" w:sz="3" w:space="0" w:color="FFFFFF"/>
              <w:right w:val="single" w:sz="3" w:space="0" w:color="FFFFFF"/>
            </w:tcBorders>
            <w:shd w:val="clear" w:color="auto" w:fill="0D1B33"/>
            <w:tcMar>
              <w:top w:w="100" w:type="dxa"/>
              <w:left w:w="160" w:type="dxa"/>
              <w:bottom w:w="100" w:type="dxa"/>
              <w:right w:w="160" w:type="dxa"/>
            </w:tcMar>
          </w:tcPr>
          <w:p w14:paraId="683AD443" w14:textId="77777777" w:rsidR="00FC056A" w:rsidRDefault="00000000">
            <w:pPr>
              <w:jc w:val="center"/>
            </w:pPr>
            <w:r>
              <w:rPr>
                <w:b/>
                <w:bCs/>
                <w:color w:val="FFFFFF"/>
                <w:sz w:val="22"/>
                <w:szCs w:val="22"/>
              </w:rPr>
              <w:t>الحالة في الفصام الأخلاقي</w:t>
            </w:r>
          </w:p>
        </w:tc>
        <w:tc>
          <w:tcPr>
            <w:tcW w:w="2000" w:type="dxa"/>
            <w:tcBorders>
              <w:top w:val="single" w:sz="3" w:space="0" w:color="FFFFFF"/>
              <w:left w:val="single" w:sz="3" w:space="0" w:color="FFFFFF"/>
              <w:bottom w:val="single" w:sz="3" w:space="0" w:color="FFFFFF"/>
              <w:right w:val="single" w:sz="3" w:space="0" w:color="FFFFFF"/>
            </w:tcBorders>
            <w:shd w:val="clear" w:color="auto" w:fill="0D1B33"/>
            <w:tcMar>
              <w:top w:w="100" w:type="dxa"/>
              <w:left w:w="160" w:type="dxa"/>
              <w:bottom w:w="100" w:type="dxa"/>
              <w:right w:w="160" w:type="dxa"/>
            </w:tcMar>
          </w:tcPr>
          <w:p w14:paraId="33EE06D3" w14:textId="77777777" w:rsidR="00FC056A" w:rsidRDefault="00000000">
            <w:pPr>
              <w:jc w:val="center"/>
            </w:pPr>
            <w:r>
              <w:rPr>
                <w:b/>
                <w:bCs/>
                <w:color w:val="FFFFFF"/>
                <w:sz w:val="22"/>
                <w:szCs w:val="22"/>
              </w:rPr>
              <w:t>ما يكشفه IAT</w:t>
            </w:r>
          </w:p>
        </w:tc>
      </w:tr>
      <w:tr w:rsidR="00FC056A" w14:paraId="76C12AE9" w14:textId="77777777">
        <w:tblPrEx>
          <w:tblCellMar>
            <w:top w:w="0" w:type="dxa"/>
            <w:bottom w:w="0" w:type="dxa"/>
          </w:tblCellMar>
        </w:tblPrEx>
        <w:tc>
          <w:tcPr>
            <w:tcW w:w="22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0EDAFC47" w14:textId="77777777" w:rsidR="00FC056A" w:rsidRDefault="00000000">
            <w:pPr>
              <w:jc w:val="center"/>
            </w:pPr>
            <w:r>
              <w:rPr>
                <w:b/>
                <w:bCs/>
                <w:color w:val="0D1B33"/>
                <w:sz w:val="22"/>
                <w:szCs w:val="22"/>
              </w:rPr>
              <w:t>النفس اللوامة</w:t>
            </w:r>
          </w:p>
        </w:tc>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020CD76F" w14:textId="77777777" w:rsidR="00FC056A" w:rsidRDefault="00000000">
            <w:pPr>
              <w:jc w:val="center"/>
            </w:pPr>
            <w:r>
              <w:rPr>
                <w:color w:val="222222"/>
                <w:sz w:val="22"/>
                <w:szCs w:val="22"/>
              </w:rPr>
              <w:t>مراقبة الأمارة وتصحيح مسارها في الزمن الفعلي</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41B1742C" w14:textId="77777777" w:rsidR="00FC056A" w:rsidRDefault="00000000">
            <w:pPr>
              <w:jc w:val="center"/>
            </w:pPr>
            <w:r>
              <w:rPr>
                <w:color w:val="222222"/>
                <w:sz w:val="22"/>
                <w:szCs w:val="22"/>
              </w:rPr>
              <w:t>تعمل في النظام التأملي (System 2) فقط، لا تصل للنظام التلقائي</w:t>
            </w:r>
          </w:p>
        </w:tc>
        <w:tc>
          <w:tcPr>
            <w:tcW w:w="2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4FC29454" w14:textId="77777777" w:rsidR="00FC056A" w:rsidRDefault="00000000">
            <w:pPr>
              <w:jc w:val="center"/>
            </w:pPr>
            <w:r>
              <w:rPr>
                <w:color w:val="222222"/>
                <w:sz w:val="22"/>
                <w:szCs w:val="22"/>
              </w:rPr>
              <w:t>التناقض بين القيم المعلنة ومدة الاستجابة</w:t>
            </w:r>
          </w:p>
        </w:tc>
      </w:tr>
      <w:tr w:rsidR="00FC056A" w14:paraId="2D77BCEE" w14:textId="77777777">
        <w:tblPrEx>
          <w:tblCellMar>
            <w:top w:w="0" w:type="dxa"/>
            <w:bottom w:w="0" w:type="dxa"/>
          </w:tblCellMar>
        </w:tblPrEx>
        <w:tc>
          <w:tcPr>
            <w:tcW w:w="22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6B982906" w14:textId="77777777" w:rsidR="00FC056A" w:rsidRDefault="00000000">
            <w:pPr>
              <w:jc w:val="center"/>
            </w:pPr>
            <w:r>
              <w:rPr>
                <w:b/>
                <w:bCs/>
                <w:color w:val="0D1B33"/>
                <w:sz w:val="22"/>
                <w:szCs w:val="22"/>
              </w:rPr>
              <w:t>النفس الأمّارة</w:t>
            </w:r>
          </w:p>
        </w:tc>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476AB919" w14:textId="77777777" w:rsidR="00FC056A" w:rsidRDefault="00000000">
            <w:pPr>
              <w:jc w:val="center"/>
            </w:pPr>
            <w:r>
              <w:rPr>
                <w:color w:val="222222"/>
                <w:sz w:val="22"/>
                <w:szCs w:val="22"/>
              </w:rPr>
              <w:t>طلب الإشباع الفوري — بما فيها تصنيف الآخر سريعاً</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644BDFE7" w14:textId="77777777" w:rsidR="00FC056A" w:rsidRDefault="00000000">
            <w:pPr>
              <w:jc w:val="center"/>
            </w:pPr>
            <w:r>
              <w:rPr>
                <w:color w:val="222222"/>
                <w:sz w:val="22"/>
                <w:szCs w:val="22"/>
              </w:rPr>
              <w:t>تعمل دون رقابة من اللوامة في الأجزاء من الثانية</w:t>
            </w:r>
          </w:p>
        </w:tc>
        <w:tc>
          <w:tcPr>
            <w:tcW w:w="2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4DD9895E" w14:textId="77777777" w:rsidR="00FC056A" w:rsidRDefault="00000000">
            <w:pPr>
              <w:jc w:val="center"/>
            </w:pPr>
            <w:r>
              <w:rPr>
                <w:color w:val="222222"/>
                <w:sz w:val="22"/>
                <w:szCs w:val="22"/>
              </w:rPr>
              <w:t>التحيز الضمني غير الواعي في الروابط التلقائية</w:t>
            </w:r>
          </w:p>
        </w:tc>
      </w:tr>
      <w:tr w:rsidR="00FC056A" w14:paraId="19660350" w14:textId="77777777">
        <w:tblPrEx>
          <w:tblCellMar>
            <w:top w:w="0" w:type="dxa"/>
            <w:bottom w:w="0" w:type="dxa"/>
          </w:tblCellMar>
        </w:tblPrEx>
        <w:tc>
          <w:tcPr>
            <w:tcW w:w="22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6597D1DF" w14:textId="77777777" w:rsidR="00FC056A" w:rsidRDefault="00000000">
            <w:pPr>
              <w:jc w:val="center"/>
            </w:pPr>
            <w:r>
              <w:rPr>
                <w:b/>
                <w:bCs/>
                <w:color w:val="0D1B33"/>
                <w:sz w:val="22"/>
                <w:szCs w:val="22"/>
              </w:rPr>
              <w:t>النفس المطمئنة</w:t>
            </w:r>
          </w:p>
        </w:tc>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0C5B48EF" w14:textId="77777777" w:rsidR="00FC056A" w:rsidRDefault="00000000">
            <w:pPr>
              <w:jc w:val="center"/>
            </w:pPr>
            <w:r>
              <w:rPr>
                <w:color w:val="222222"/>
                <w:sz w:val="22"/>
                <w:szCs w:val="22"/>
              </w:rPr>
              <w:t>التكامل بين اللوامة والأمارة تحت ميزان الميثاق الأزلي</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2509A209" w14:textId="77777777" w:rsidR="00FC056A" w:rsidRDefault="00000000">
            <w:pPr>
              <w:jc w:val="center"/>
            </w:pPr>
            <w:r>
              <w:rPr>
                <w:color w:val="222222"/>
                <w:sz w:val="22"/>
                <w:szCs w:val="22"/>
              </w:rPr>
              <w:t>غائبة — لا تكامل بين النظامين</w:t>
            </w:r>
          </w:p>
        </w:tc>
        <w:tc>
          <w:tcPr>
            <w:tcW w:w="2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7D9A095C" w14:textId="77777777" w:rsidR="00FC056A" w:rsidRDefault="00000000">
            <w:pPr>
              <w:jc w:val="center"/>
            </w:pPr>
            <w:r>
              <w:rPr>
                <w:color w:val="222222"/>
                <w:sz w:val="22"/>
                <w:szCs w:val="22"/>
              </w:rPr>
              <w:t>لا يقيسه IAT — لكنه الهدف العلاجي لـTLRT</w:t>
            </w:r>
          </w:p>
        </w:tc>
      </w:tr>
    </w:tbl>
    <w:p w14:paraId="7999D552" w14:textId="77777777" w:rsidR="00FC056A" w:rsidRDefault="00FC056A">
      <w:pPr>
        <w:spacing w:before="120" w:after="120"/>
        <w:jc w:val="right"/>
      </w:pPr>
    </w:p>
    <w:p w14:paraId="1D99B303" w14:textId="77777777" w:rsidR="00FC056A" w:rsidRDefault="00000000" w:rsidP="00435B2D">
      <w:pPr>
        <w:pBdr>
          <w:right w:val="thick" w:sz="14" w:space="6" w:color="0A5E5E"/>
        </w:pBdr>
        <w:spacing w:before="280" w:after="140"/>
        <w:ind w:right="260"/>
      </w:pPr>
      <w:r>
        <w:rPr>
          <w:b/>
          <w:bCs/>
          <w:color w:val="1A3A6B"/>
          <w:sz w:val="30"/>
          <w:szCs w:val="30"/>
        </w:rPr>
        <w:t>4.2  قراءة نقدية في بيانات IAT: ماذا تقول فعلاً؟</w:t>
      </w:r>
    </w:p>
    <w:p w14:paraId="2C75361C" w14:textId="77777777" w:rsidR="00FC056A" w:rsidRDefault="00000000" w:rsidP="00435B2D">
      <w:pPr>
        <w:spacing w:before="80" w:after="80" w:line="340" w:lineRule="auto"/>
      </w:pPr>
      <w:r>
        <w:t xml:space="preserve">حين يكتشف 75% من المشاركين في اختبارات IAT — بمن فيهم أفراد الأقليات — تفضيلاً ضمنياً لصالح البيض </w:t>
      </w:r>
      <w:r>
        <w:rPr>
          <w:color w:val="0A5E5E"/>
          <w:sz w:val="22"/>
          <w:szCs w:val="22"/>
        </w:rPr>
        <w:t>(Greenwald et al., 1998; Nosek et al., 2002)</w:t>
      </w:r>
      <w:r>
        <w:t>، فهذه البيانات في المنظور الاستخلافي أكثر من إحصاء تمييزي:</w:t>
      </w:r>
    </w:p>
    <w:p w14:paraId="27A9969B" w14:textId="77777777" w:rsidR="00FC056A" w:rsidRDefault="00000000" w:rsidP="00435B2D">
      <w:pPr>
        <w:pStyle w:val="a4"/>
        <w:numPr>
          <w:ilvl w:val="0"/>
          <w:numId w:val="2"/>
        </w:numPr>
        <w:spacing w:before="60" w:after="60" w:line="300" w:lineRule="auto"/>
      </w:pPr>
      <w:r>
        <w:rPr>
          <w:color w:val="7A1A1A"/>
        </w:rPr>
        <w:t>إنها دليل على عالمية التدسية بوصفها ظاهرةً بشريةً لا تختص بجماعة: حتى المُتحيَّز ضده يحمل التحيز ضد نفسه، وهذا ما يُسمّيه الزراع «استدماج العدو» ضمن التماهيات الاستعاضية.</w:t>
      </w:r>
    </w:p>
    <w:p w14:paraId="30038842" w14:textId="77777777" w:rsidR="00FC056A" w:rsidRDefault="00000000" w:rsidP="00435B2D">
      <w:pPr>
        <w:pStyle w:val="a4"/>
        <w:numPr>
          <w:ilvl w:val="0"/>
          <w:numId w:val="2"/>
        </w:numPr>
        <w:spacing w:before="60" w:after="60" w:line="300" w:lineRule="auto"/>
      </w:pPr>
      <w:r>
        <w:t>إنها دليل على أن مجرد الانتماء الهوياتي لا يُحصّن الفطرة — لا الانتماء العرقي ولا الانتماء الديني الاسمي. الفصام الأخلاقي ديمقراطي.</w:t>
      </w:r>
    </w:p>
    <w:p w14:paraId="128F1E8D" w14:textId="77777777" w:rsidR="00FC056A" w:rsidRDefault="00000000" w:rsidP="00435B2D">
      <w:pPr>
        <w:pStyle w:val="a4"/>
        <w:numPr>
          <w:ilvl w:val="0"/>
          <w:numId w:val="2"/>
        </w:numPr>
        <w:spacing w:before="60" w:after="60" w:line="300" w:lineRule="auto"/>
      </w:pPr>
      <w:r>
        <w:t>إنها دليل على «عجز اللوامة» عن الوصول إلى «النظام التلقائي»: القيم المعلنة ليست كافية — تحتاج إلى بروتوكول تدخل يصل إلى الطبقات العميقة، وهذا ما يُقدّمه TLRT.</w:t>
      </w:r>
    </w:p>
    <w:p w14:paraId="1793C125" w14:textId="77777777" w:rsidR="00FC056A" w:rsidRDefault="00FC056A" w:rsidP="00435B2D">
      <w:pPr>
        <w:spacing w:before="40" w:after="60"/>
      </w:pPr>
    </w:p>
    <w:tbl>
      <w:tblPr>
        <w:tblW w:w="92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FC056A" w14:paraId="3FDCDD04" w14:textId="77777777">
        <w:tblPrEx>
          <w:tblCellMar>
            <w:top w:w="0" w:type="dxa"/>
            <w:bottom w:w="0" w:type="dxa"/>
          </w:tblCellMar>
        </w:tblPrEx>
        <w:tc>
          <w:tcPr>
            <w:tcW w:w="0" w:type="auto"/>
            <w:tcBorders>
              <w:top w:val="single" w:sz="6" w:space="0" w:color="7A1A1A"/>
              <w:left w:val="single" w:sz="6" w:space="0" w:color="7A1A1A"/>
              <w:right w:val="single" w:sz="6" w:space="0" w:color="7A1A1A"/>
            </w:tcBorders>
            <w:shd w:val="clear" w:color="auto" w:fill="7A1A1A"/>
            <w:tcMar>
              <w:top w:w="80" w:type="dxa"/>
              <w:left w:w="220" w:type="dxa"/>
              <w:bottom w:w="80" w:type="dxa"/>
              <w:right w:w="220" w:type="dxa"/>
            </w:tcMar>
          </w:tcPr>
          <w:p w14:paraId="1A656B94" w14:textId="77777777" w:rsidR="00FC056A" w:rsidRDefault="00000000" w:rsidP="00435B2D">
            <w:r>
              <w:rPr>
                <w:b/>
                <w:bCs/>
                <w:color w:val="FFFFFF"/>
              </w:rPr>
              <w:t>تحذير منهجي: حدود اختبار IAT</w:t>
            </w:r>
          </w:p>
        </w:tc>
      </w:tr>
      <w:tr w:rsidR="00FC056A" w14:paraId="01F61993" w14:textId="77777777">
        <w:tblPrEx>
          <w:tblCellMar>
            <w:top w:w="0" w:type="dxa"/>
            <w:bottom w:w="0" w:type="dxa"/>
          </w:tblCellMar>
        </w:tblPrEx>
        <w:tc>
          <w:tcPr>
            <w:tcW w:w="0" w:type="auto"/>
            <w:tcBorders>
              <w:left w:val="single" w:sz="6" w:space="0" w:color="7A1A1A"/>
              <w:bottom w:val="single" w:sz="6" w:space="0" w:color="7A1A1A"/>
              <w:right w:val="single" w:sz="6" w:space="0" w:color="7A1A1A"/>
            </w:tcBorders>
            <w:shd w:val="clear" w:color="auto" w:fill="FDF0EE"/>
            <w:tcMar>
              <w:top w:w="120" w:type="dxa"/>
              <w:left w:w="260" w:type="dxa"/>
              <w:bottom w:w="120" w:type="dxa"/>
              <w:right w:w="260" w:type="dxa"/>
            </w:tcMar>
          </w:tcPr>
          <w:p w14:paraId="1717AA89" w14:textId="77777777" w:rsidR="00FC056A" w:rsidRDefault="00000000" w:rsidP="00435B2D">
            <w:pPr>
              <w:spacing w:line="330" w:lineRule="auto"/>
            </w:pPr>
            <w:r>
              <w:rPr>
                <w:color w:val="2A0A0A"/>
              </w:rPr>
              <w:t>يُشير الزراع إلى حدود جوهرية في استخدام IAT كأداة تشخيص مطلق: (أ) يقيس النمط لا الحكم النهائي — أي ما اختزنته الذاكرة التلقائية لا ما تقرره النفس المطمئنة. (ب) لا يُميّز بين التدسية الثقافية المفروضة (قسرية) والتماهي الاستعاضي الطوعي. (ج) لا يقيس إمكانية التغيير ولا مقدار الإرادة على التزكية — وهو بالضبط ما يُكمله البروتوكول الاستخلافي.</w:t>
            </w:r>
          </w:p>
        </w:tc>
      </w:tr>
    </w:tbl>
    <w:p w14:paraId="593FBAAC" w14:textId="77777777" w:rsidR="00FC056A" w:rsidRDefault="00FC056A" w:rsidP="00435B2D">
      <w:pPr>
        <w:spacing w:before="120" w:after="120"/>
      </w:pPr>
    </w:p>
    <w:p w14:paraId="7CE94102" w14:textId="77777777" w:rsidR="00FC056A" w:rsidRDefault="00000000" w:rsidP="00435B2D">
      <w:pPr>
        <w:pBdr>
          <w:right w:val="thick" w:sz="14" w:space="6" w:color="0A5E5E"/>
        </w:pBdr>
        <w:spacing w:before="280" w:after="140"/>
        <w:ind w:right="260"/>
      </w:pPr>
      <w:r>
        <w:rPr>
          <w:b/>
          <w:bCs/>
          <w:color w:val="1A3A6B"/>
          <w:sz w:val="30"/>
          <w:szCs w:val="30"/>
        </w:rPr>
        <w:t>4.3  «صدمة المرآة»: لحظة كشف IAT كـ«صحوة وجودية»</w:t>
      </w:r>
    </w:p>
    <w:p w14:paraId="1B6FE97B" w14:textId="77777777" w:rsidR="00FC056A" w:rsidRDefault="00000000" w:rsidP="00435B2D">
      <w:pPr>
        <w:spacing w:before="80" w:after="80" w:line="340" w:lineRule="auto"/>
      </w:pPr>
      <w:r>
        <w:t xml:space="preserve">يصف الباحثان شعور «الأشخاص الطيبين» بالذهول عند رؤية نتائجهم في IAT. علم النفس الاستخلافي يُعيد قراءة هذه اللحظة بوصفها </w:t>
      </w:r>
      <w:r>
        <w:rPr>
          <w:b/>
          <w:bCs/>
          <w:color w:val="0D1B33"/>
        </w:rPr>
        <w:t>«صحوة وجودية»</w:t>
      </w:r>
      <w:r>
        <w:t xml:space="preserve"> — وهي الخطوة الصفر في بروتوكول TLRT </w:t>
      </w:r>
      <w:r>
        <w:rPr>
          <w:color w:val="0A5E5E"/>
          <w:sz w:val="22"/>
          <w:szCs w:val="22"/>
        </w:rPr>
        <w:t>[582، 834]</w:t>
      </w:r>
      <w:r>
        <w:t>. إنها اللحظة التي تُدرك فيها اللوامة حجم الهوّة بين ما تزعمه وما تختزنه الأمّارة. وهذه الهوّة مؤلمة، لكنها ضرورية:</w:t>
      </w:r>
    </w:p>
    <w:p w14:paraId="2F5CE1FC" w14:textId="77777777" w:rsidR="00FC056A" w:rsidRDefault="00FC056A" w:rsidP="00435B2D">
      <w:pPr>
        <w:spacing w:before="30" w:after="5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FC056A" w14:paraId="6E184FFD" w14:textId="77777777">
        <w:tblPrEx>
          <w:tblCellMar>
            <w:top w:w="0" w:type="dxa"/>
            <w:bottom w:w="0" w:type="dxa"/>
          </w:tblCellMar>
        </w:tblPrEx>
        <w:tc>
          <w:tcPr>
            <w:tcW w:w="0" w:type="auto"/>
            <w:tcBorders>
              <w:top w:val="double" w:sz="4" w:space="0" w:color="1A5535"/>
              <w:left w:val="double" w:sz="4" w:space="0" w:color="1A5535"/>
              <w:bottom w:val="double" w:sz="4" w:space="0" w:color="1A5535"/>
              <w:right w:val="double" w:sz="4" w:space="0" w:color="1A5535"/>
            </w:tcBorders>
            <w:shd w:val="clear" w:color="auto" w:fill="EEF7EE"/>
            <w:tcMar>
              <w:top w:w="140" w:type="dxa"/>
              <w:left w:w="220" w:type="dxa"/>
              <w:bottom w:w="140" w:type="dxa"/>
              <w:right w:w="220" w:type="dxa"/>
            </w:tcMar>
          </w:tcPr>
          <w:p w14:paraId="19565345" w14:textId="77777777" w:rsidR="00FC056A" w:rsidRDefault="00000000" w:rsidP="00435B2D">
            <w:pPr>
              <w:spacing w:before="60" w:after="40"/>
            </w:pPr>
            <w:r>
              <w:rPr>
                <w:color w:val="1A5535"/>
                <w:sz w:val="28"/>
                <w:szCs w:val="28"/>
              </w:rPr>
              <w:t xml:space="preserve">« </w:t>
            </w:r>
            <w:r>
              <w:rPr>
                <w:color w:val="1A3A1A"/>
              </w:rPr>
              <w:t>وَتَابَ اللهُ عَلَيْهِ — إِنَّهُ هُوَ التَّوَّابُ الرَّحِيمُ</w:t>
            </w:r>
            <w:r>
              <w:rPr>
                <w:color w:val="1A5535"/>
                <w:sz w:val="28"/>
                <w:szCs w:val="28"/>
              </w:rPr>
              <w:t xml:space="preserve"> »</w:t>
            </w:r>
          </w:p>
          <w:p w14:paraId="1FC545ED" w14:textId="77777777" w:rsidR="00FC056A" w:rsidRDefault="00000000" w:rsidP="00435B2D">
            <w:r>
              <w:rPr>
                <w:i/>
                <w:iCs/>
                <w:color w:val="1A5535"/>
                <w:sz w:val="20"/>
                <w:szCs w:val="20"/>
              </w:rPr>
              <w:t>— التوبة كاستجابة فطرية للصحوة الوجودية</w:t>
            </w:r>
          </w:p>
        </w:tc>
      </w:tr>
    </w:tbl>
    <w:p w14:paraId="35C19446" w14:textId="77777777" w:rsidR="00FC056A" w:rsidRDefault="00FC056A" w:rsidP="00435B2D">
      <w:pPr>
        <w:spacing w:before="30" w:after="60"/>
      </w:pPr>
    </w:p>
    <w:p w14:paraId="5E62028A" w14:textId="77777777" w:rsidR="00FC056A" w:rsidRDefault="00000000" w:rsidP="00435B2D">
      <w:pPr>
        <w:spacing w:before="80" w:after="80" w:line="340" w:lineRule="auto"/>
      </w:pPr>
      <w:r>
        <w:t xml:space="preserve">الصحوة الوجودية الاستخلافية تتجاوز «الوعي بالتحيز» — فهي تقول للفرد: ما تراه في IAT ليس «خطأً معرفياً»، بل هو </w:t>
      </w:r>
      <w:r>
        <w:rPr>
          <w:b/>
          <w:bCs/>
          <w:color w:val="0D1B33"/>
        </w:rPr>
        <w:t>«قدرٌ من الاغتراب عن ميثاقك الفطري»</w:t>
      </w:r>
      <w:r>
        <w:t>. وبهذا يتحوّل الوعي من مجرد أداة إصلاح اجتماعي إلى دافع لإصلاح وجودي شامل. ذلك ما يُفرّق بين «الشخص الطيب الواعي» الذي يُصحّح سلوكه خوفاً من الحرج الاجتماعي، و«الخليفة المسؤول» الذي يُزكّي نفسه لأن ذلك تكليفه الوجودي.</w:t>
      </w:r>
    </w:p>
    <w:p w14:paraId="7108626A" w14:textId="77777777" w:rsidR="00FC056A" w:rsidRDefault="00FC056A" w:rsidP="00435B2D">
      <w:pPr>
        <w:spacing w:before="120" w:after="120"/>
      </w:pPr>
    </w:p>
    <w:p w14:paraId="69B46721" w14:textId="77777777" w:rsidR="00FC056A" w:rsidRDefault="00000000" w:rsidP="00435B2D">
      <w:pPr>
        <w:pageBreakBefore/>
        <w:pBdr>
          <w:bottom w:val="single" w:sz="10" w:space="4" w:color="9A7B1A"/>
        </w:pBdr>
        <w:spacing w:before="360" w:after="200"/>
      </w:pPr>
      <w:r>
        <w:rPr>
          <w:b/>
          <w:bCs/>
          <w:color w:val="0D1B33"/>
          <w:sz w:val="36"/>
          <w:szCs w:val="36"/>
        </w:rPr>
        <w:t>5. بروتوكول TLRT كمسار متكامل لتجاوز «البقعة العمياء»</w:t>
      </w:r>
    </w:p>
    <w:p w14:paraId="48E5491C" w14:textId="77777777" w:rsidR="00FC056A" w:rsidRDefault="00000000" w:rsidP="00435B2D">
      <w:pPr>
        <w:spacing w:before="80" w:after="80" w:line="340" w:lineRule="auto"/>
      </w:pPr>
      <w:r>
        <w:t xml:space="preserve">بعد رصد التقابلات المفاهيمية وتشخيص عجز الإطار الغربي عن تقديم غاية وجودية للتغيير، يُقدّم بروتوكول TLRT </w:t>
      </w:r>
      <w:r>
        <w:rPr>
          <w:color w:val="0A5E5E"/>
          <w:sz w:val="22"/>
          <w:szCs w:val="22"/>
        </w:rPr>
        <w:t>[571، 806]</w:t>
      </w:r>
      <w:r>
        <w:t xml:space="preserve"> خارطةَ طريقٍ متكاملةً لتجاوز «البقعة العمياء»، موزّعةً على خمس مراحل متسلسلة تجمع بين التدخل على مستوى النظام التلقائي ومستوى النظام التأملي ومستوى «البيئة الاستخلافية»:</w:t>
      </w:r>
    </w:p>
    <w:p w14:paraId="1F329522" w14:textId="77777777" w:rsidR="00FC056A" w:rsidRDefault="00FC056A" w:rsidP="00435B2D">
      <w:pPr>
        <w:spacing w:before="120" w:after="120"/>
      </w:pPr>
    </w:p>
    <w:p w14:paraId="72900AA5" w14:textId="77777777" w:rsidR="00FC056A" w:rsidRDefault="00000000" w:rsidP="00435B2D">
      <w:pPr>
        <w:pBdr>
          <w:right w:val="thick" w:sz="14" w:space="6" w:color="0A5E5E"/>
        </w:pBdr>
        <w:spacing w:before="280" w:after="140"/>
        <w:ind w:right="260"/>
      </w:pPr>
      <w:r>
        <w:rPr>
          <w:b/>
          <w:bCs/>
          <w:color w:val="1A3A6B"/>
          <w:sz w:val="30"/>
          <w:szCs w:val="30"/>
        </w:rPr>
        <w:t>5.1  المرحلة الأولى: التشخيص الوجودي — «الاعتراف بالبقعة العمياء»</w:t>
      </w:r>
    </w:p>
    <w:p w14:paraId="1AF55F38" w14:textId="77777777" w:rsidR="00FC056A" w:rsidRDefault="00000000" w:rsidP="00435B2D">
      <w:pPr>
        <w:spacing w:before="80" w:after="80" w:line="340" w:lineRule="auto"/>
      </w:pPr>
      <w:r>
        <w:t xml:space="preserve">الخطوة الأولى في الكتاب هي «الوعي بالتحيز» عبر اختبار IAT. لكن في بروتوكول TLRT، هذه المرحلة تذهب أعمق: ليست مجرد «معرفة نتيجة الاختبار»، بل </w:t>
      </w:r>
      <w:r>
        <w:rPr>
          <w:b/>
          <w:bCs/>
          <w:color w:val="0D1B33"/>
        </w:rPr>
        <w:t>«كشف بنية الأنا الأعلى القاسي وتاريخ التماهيات الاستعاضية»</w:t>
      </w:r>
      <w:r>
        <w:t xml:space="preserve"> التي شكّلت التحيز </w:t>
      </w:r>
      <w:r>
        <w:rPr>
          <w:color w:val="0A5E5E"/>
          <w:sz w:val="22"/>
          <w:szCs w:val="22"/>
        </w:rPr>
        <w:t>[582، 1184]</w:t>
      </w:r>
      <w:r>
        <w:t>.</w:t>
      </w:r>
    </w:p>
    <w:p w14:paraId="5252A3CF" w14:textId="77777777" w:rsidR="00FC056A" w:rsidRDefault="00000000" w:rsidP="00435B2D">
      <w:pPr>
        <w:spacing w:before="80" w:after="80" w:line="340" w:lineRule="auto"/>
      </w:pPr>
      <w:r>
        <w:t>في هذه المرحلة يُدرك الفرد ثلاثة أشياء تتجاوز ما يقدّمه IAT:</w:t>
      </w:r>
    </w:p>
    <w:p w14:paraId="47632C71" w14:textId="77777777" w:rsidR="00FC056A" w:rsidRDefault="00000000" w:rsidP="00435B2D">
      <w:pPr>
        <w:pStyle w:val="a4"/>
        <w:numPr>
          <w:ilvl w:val="0"/>
          <w:numId w:val="2"/>
        </w:numPr>
        <w:spacing w:before="60" w:after="60" w:line="300" w:lineRule="auto"/>
      </w:pPr>
      <w:r>
        <w:t>أن التحيز ليس «عيباً شخصياً» بل موروث ثقافي مارست عليه حشود من التجارب غير المُختارة.</w:t>
      </w:r>
    </w:p>
    <w:p w14:paraId="42ACC8A3" w14:textId="77777777" w:rsidR="00FC056A" w:rsidRDefault="00000000" w:rsidP="00435B2D">
      <w:pPr>
        <w:pStyle w:val="a4"/>
        <w:numPr>
          <w:ilvl w:val="0"/>
          <w:numId w:val="2"/>
        </w:numPr>
        <w:spacing w:before="60" w:after="60" w:line="300" w:lineRule="auto"/>
      </w:pPr>
      <w:r>
        <w:t>أن هذا التحيز يمثّل اغتراباً عن هويته الفطرية الأصيلة — وليس مجرد معلومة خاطئة تحتاج تصحيحاً.</w:t>
      </w:r>
    </w:p>
    <w:p w14:paraId="7999EA08" w14:textId="77777777" w:rsidR="00FC056A" w:rsidRDefault="00000000" w:rsidP="00435B2D">
      <w:pPr>
        <w:pStyle w:val="a4"/>
        <w:numPr>
          <w:ilvl w:val="0"/>
          <w:numId w:val="2"/>
        </w:numPr>
        <w:spacing w:before="60" w:after="60" w:line="300" w:lineRule="auto"/>
      </w:pPr>
      <w:r>
        <w:t>أن الصراع ليس فقط مع ذاكرته، بل مع «تاريخ من التدسية» مارسه عليه السياق الاجتماعي والحضاري.</w:t>
      </w:r>
    </w:p>
    <w:p w14:paraId="20B4266D" w14:textId="77777777" w:rsidR="00FC056A" w:rsidRDefault="00FC056A" w:rsidP="00435B2D">
      <w:pPr>
        <w:spacing w:before="40" w:after="6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FC056A" w14:paraId="411D274C" w14:textId="77777777">
        <w:tblPrEx>
          <w:tblCellMar>
            <w:top w:w="0" w:type="dxa"/>
            <w:bottom w:w="0" w:type="dxa"/>
          </w:tblCellMar>
        </w:tblPrEx>
        <w:tc>
          <w:tcPr>
            <w:tcW w:w="0" w:type="auto"/>
            <w:tcBorders>
              <w:top w:val="single" w:sz="4" w:space="0" w:color="9A7B1A"/>
              <w:left w:val="single" w:sz="4" w:space="0" w:color="9A7B1A"/>
              <w:bottom w:val="single" w:sz="4" w:space="0" w:color="9A7B1A"/>
              <w:right w:val="single" w:sz="4" w:space="0" w:color="9A7B1A"/>
            </w:tcBorders>
            <w:shd w:val="clear" w:color="auto" w:fill="FDF6E3"/>
            <w:tcMar>
              <w:top w:w="160" w:type="dxa"/>
              <w:left w:w="260" w:type="dxa"/>
              <w:bottom w:w="160" w:type="dxa"/>
              <w:right w:w="260" w:type="dxa"/>
            </w:tcMar>
          </w:tcPr>
          <w:p w14:paraId="3A32DE44" w14:textId="77777777" w:rsidR="00FC056A" w:rsidRDefault="00000000" w:rsidP="00435B2D">
            <w:pPr>
              <w:spacing w:before="60" w:after="60"/>
            </w:pPr>
            <w:r>
              <w:rPr>
                <w:color w:val="9A7B1A"/>
                <w:sz w:val="30"/>
                <w:szCs w:val="30"/>
              </w:rPr>
              <w:t xml:space="preserve">﴾ </w:t>
            </w:r>
            <w:r>
              <w:rPr>
                <w:b/>
                <w:bCs/>
                <w:color w:val="0D1B33"/>
                <w:sz w:val="28"/>
                <w:szCs w:val="28"/>
              </w:rPr>
              <w:t>قَدْ أَفْلَحَ مَن زَكَّاهَا ۝ وَقَدْ خَابَ مَن دَسَّاهَا</w:t>
            </w:r>
            <w:r>
              <w:rPr>
                <w:color w:val="9A7B1A"/>
                <w:sz w:val="30"/>
                <w:szCs w:val="30"/>
              </w:rPr>
              <w:t xml:space="preserve"> ﴿</w:t>
            </w:r>
          </w:p>
          <w:p w14:paraId="4C85B929" w14:textId="77777777" w:rsidR="00FC056A" w:rsidRDefault="00000000" w:rsidP="00435B2D">
            <w:r>
              <w:rPr>
                <w:color w:val="9A7B1A"/>
                <w:sz w:val="22"/>
                <w:szCs w:val="22"/>
              </w:rPr>
              <w:t>[الشمس: 9-10]</w:t>
            </w:r>
          </w:p>
        </w:tc>
      </w:tr>
    </w:tbl>
    <w:p w14:paraId="16795A71" w14:textId="77777777" w:rsidR="00FC056A" w:rsidRDefault="00FC056A" w:rsidP="00435B2D">
      <w:pPr>
        <w:spacing w:before="40" w:after="60"/>
      </w:pPr>
    </w:p>
    <w:p w14:paraId="488F4DA2" w14:textId="77777777" w:rsidR="00FC056A" w:rsidRDefault="00000000" w:rsidP="00435B2D">
      <w:pPr>
        <w:spacing w:before="80" w:after="80" w:line="340" w:lineRule="auto"/>
      </w:pPr>
      <w:r>
        <w:t>الآية الكريمة تُقدّم «البقعة العمياء» من منظور غائي: التدسية ليست ظاهرةً محايدة، بل هي خسارة وجودية — «خاب». والتزكية ليست مجرد «تحسين شخصي»، بل هي الفلاح. وبين الخيبة والفلاح تمتد رحلة بروتوكول TLRT.</w:t>
      </w:r>
    </w:p>
    <w:p w14:paraId="3CA21C9D" w14:textId="77777777" w:rsidR="00FC056A" w:rsidRDefault="00FC056A" w:rsidP="00435B2D">
      <w:pPr>
        <w:spacing w:before="120" w:after="120"/>
      </w:pPr>
    </w:p>
    <w:p w14:paraId="323087EE" w14:textId="77777777" w:rsidR="00FC056A" w:rsidRDefault="00000000" w:rsidP="00435B2D">
      <w:pPr>
        <w:pBdr>
          <w:right w:val="thick" w:sz="14" w:space="6" w:color="0A5E5E"/>
        </w:pBdr>
        <w:spacing w:before="280" w:after="140"/>
        <w:ind w:right="260"/>
      </w:pPr>
      <w:r>
        <w:rPr>
          <w:b/>
          <w:bCs/>
          <w:color w:val="1A3A6B"/>
          <w:sz w:val="30"/>
          <w:szCs w:val="30"/>
        </w:rPr>
        <w:t>5.2  المرحلة الثانية: إعادة بناء الهيكل — الصحبة الصالحة كـ«تكييف مضاد متجذّر»</w:t>
      </w:r>
    </w:p>
    <w:p w14:paraId="0ADB8796" w14:textId="77777777" w:rsidR="00FC056A" w:rsidRDefault="00000000" w:rsidP="00435B2D">
      <w:pPr>
        <w:spacing w:before="80" w:after="80" w:line="340" w:lineRule="auto"/>
      </w:pPr>
      <w:r>
        <w:t xml:space="preserve">يقترح الكتاب أن التعرّض المتكرّر لصور إيجابية للفئات المُتحيَّز ضدها يُضعف الروابط الضمنية السلبية </w:t>
      </w:r>
      <w:r>
        <w:rPr>
          <w:color w:val="0A5E5E"/>
          <w:sz w:val="22"/>
          <w:szCs w:val="22"/>
        </w:rPr>
        <w:t>(Dasgupta &amp; Greenwald, 2001)</w:t>
      </w:r>
      <w:r>
        <w:t xml:space="preserve">. في نموذج TLRT </w:t>
      </w:r>
      <w:r>
        <w:rPr>
          <w:color w:val="0A5E5E"/>
          <w:sz w:val="22"/>
          <w:szCs w:val="22"/>
        </w:rPr>
        <w:t>[257، 946]</w:t>
      </w:r>
      <w:r>
        <w:t xml:space="preserve">، هذه الاستراتيجية تُعمَّق وتُوجَّه: النماذج الإيجابية ليست «مثيراً بصرياً» فحسب، بل </w:t>
      </w:r>
      <w:r>
        <w:rPr>
          <w:b/>
          <w:bCs/>
          <w:color w:val="0D1B33"/>
        </w:rPr>
        <w:t>«شهود حياة»</w:t>
      </w:r>
      <w:r>
        <w:t xml:space="preserve"> يُفكّكون «السردية الذاتية الزائفة» للفرد.</w:t>
      </w:r>
    </w:p>
    <w:p w14:paraId="22ED3BF8" w14:textId="77777777" w:rsidR="00FC056A" w:rsidRDefault="00000000" w:rsidP="00435B2D">
      <w:pPr>
        <w:spacing w:before="80" w:after="80" w:line="340" w:lineRule="auto"/>
      </w:pPr>
      <w:r>
        <w:t xml:space="preserve">والفارق الجوهري بين التكييف المضاد </w:t>
      </w:r>
      <w:r>
        <w:rPr>
          <w:rFonts w:ascii="Calibri" w:eastAsia="Calibri" w:hAnsi="Calibri" w:cs="Calibri"/>
          <w:i/>
          <w:iCs/>
        </w:rPr>
        <w:t>(counter-conditioning)</w:t>
      </w:r>
      <w:r>
        <w:t xml:space="preserve"> والصحبة الصالحة في الفهم الاستخلافي أن الأخيرة ليست «تعرّضاً انفعالياً» عابراً، بل </w:t>
      </w:r>
      <w:r>
        <w:rPr>
          <w:b/>
          <w:bCs/>
          <w:color w:val="0D1B33"/>
        </w:rPr>
        <w:t>«تأثير تسرّب الهوية»</w:t>
      </w:r>
      <w:r>
        <w:t xml:space="preserve">: حين يشهد الفرد كيف يُعيش الآخر هويته الاستخلافية بأمانة، يُنشَّط في داخله الاستعداد الفطري الخامد. الصحبة الصالحة ليست تكييفاً، بل </w:t>
      </w:r>
      <w:r>
        <w:rPr>
          <w:b/>
          <w:bCs/>
          <w:color w:val="0D1B33"/>
        </w:rPr>
        <w:t>«استرجاع الميثاق» بالإيجاب الحيّ.</w:t>
      </w:r>
    </w:p>
    <w:p w14:paraId="02224E99" w14:textId="77777777" w:rsidR="00FC056A" w:rsidRDefault="00FC056A" w:rsidP="00435B2D">
      <w:pPr>
        <w:spacing w:before="30" w:after="5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FC056A" w14:paraId="7A0D56DA" w14:textId="77777777">
        <w:tblPrEx>
          <w:tblCellMar>
            <w:top w:w="0" w:type="dxa"/>
            <w:bottom w:w="0" w:type="dxa"/>
          </w:tblCellMar>
        </w:tblPrEx>
        <w:tc>
          <w:tcPr>
            <w:tcW w:w="0" w:type="auto"/>
            <w:tcBorders>
              <w:top w:val="double" w:sz="4" w:space="0" w:color="1A5535"/>
              <w:left w:val="double" w:sz="4" w:space="0" w:color="1A5535"/>
              <w:bottom w:val="double" w:sz="4" w:space="0" w:color="1A5535"/>
              <w:right w:val="double" w:sz="4" w:space="0" w:color="1A5535"/>
            </w:tcBorders>
            <w:shd w:val="clear" w:color="auto" w:fill="EEF7EE"/>
            <w:tcMar>
              <w:top w:w="140" w:type="dxa"/>
              <w:left w:w="220" w:type="dxa"/>
              <w:bottom w:w="140" w:type="dxa"/>
              <w:right w:w="220" w:type="dxa"/>
            </w:tcMar>
          </w:tcPr>
          <w:p w14:paraId="792DEB37" w14:textId="77777777" w:rsidR="00FC056A" w:rsidRDefault="00000000" w:rsidP="00435B2D">
            <w:pPr>
              <w:spacing w:before="60" w:after="40"/>
            </w:pPr>
            <w:r>
              <w:rPr>
                <w:color w:val="1A5535"/>
                <w:sz w:val="28"/>
                <w:szCs w:val="28"/>
              </w:rPr>
              <w:t xml:space="preserve">« </w:t>
            </w:r>
            <w:r>
              <w:rPr>
                <w:color w:val="1A3A1A"/>
              </w:rPr>
              <w:t>المرء على دين خليله فلينظر أحدكم من يُخالل</w:t>
            </w:r>
            <w:r>
              <w:rPr>
                <w:color w:val="1A5535"/>
                <w:sz w:val="28"/>
                <w:szCs w:val="28"/>
              </w:rPr>
              <w:t xml:space="preserve"> »</w:t>
            </w:r>
          </w:p>
          <w:p w14:paraId="71A5A08E" w14:textId="77777777" w:rsidR="00FC056A" w:rsidRDefault="00000000" w:rsidP="00435B2D">
            <w:r>
              <w:rPr>
                <w:i/>
                <w:iCs/>
                <w:color w:val="1A5535"/>
                <w:sz w:val="20"/>
                <w:szCs w:val="20"/>
              </w:rPr>
              <w:t>أبو داود (4833) وصحح إسناده الألباني</w:t>
            </w:r>
          </w:p>
        </w:tc>
      </w:tr>
    </w:tbl>
    <w:p w14:paraId="6CC9DF5B" w14:textId="77777777" w:rsidR="00FC056A" w:rsidRDefault="00FC056A" w:rsidP="00435B2D">
      <w:pPr>
        <w:spacing w:before="30" w:after="60"/>
      </w:pPr>
    </w:p>
    <w:p w14:paraId="178A9122" w14:textId="77777777" w:rsidR="00FC056A" w:rsidRDefault="00000000" w:rsidP="00435B2D">
      <w:pPr>
        <w:spacing w:before="80" w:after="80" w:line="340" w:lineRule="auto"/>
      </w:pPr>
      <w:r>
        <w:t xml:space="preserve">الحديث يُقدّم نظرية اجتماعية متكاملة للتغيير الضمني: الخليل ليس من تُصادقه، بل من تتشرّب منه طريقة التصنيف وأولويات الانتباه والمعايير الضمنية — وهو بالضبط ما يُسمّيه الكتاب «التعرّض للنماذج المضادة». غير أن الحديث يُضيف بُعداً جوهرياً: الاختيار </w:t>
      </w:r>
      <w:r>
        <w:rPr>
          <w:b/>
          <w:bCs/>
          <w:color w:val="0D1B33"/>
        </w:rPr>
        <w:t>المسؤول</w:t>
      </w:r>
      <w:r>
        <w:t xml:space="preserve"> للنموذج الإيجابي، لا الاعتماد على الصدفة البيئية.</w:t>
      </w:r>
    </w:p>
    <w:p w14:paraId="39EE8E8F" w14:textId="77777777" w:rsidR="00FC056A" w:rsidRDefault="00FC056A" w:rsidP="00435B2D">
      <w:pPr>
        <w:spacing w:before="120" w:after="120"/>
      </w:pPr>
    </w:p>
    <w:p w14:paraId="0FDFC930" w14:textId="77777777" w:rsidR="00FC056A" w:rsidRDefault="00000000" w:rsidP="00435B2D">
      <w:pPr>
        <w:pBdr>
          <w:right w:val="thick" w:sz="14" w:space="6" w:color="0A5E5E"/>
        </w:pBdr>
        <w:spacing w:before="280" w:after="140"/>
        <w:ind w:right="260"/>
      </w:pPr>
      <w:r>
        <w:rPr>
          <w:b/>
          <w:bCs/>
          <w:color w:val="1A3A6B"/>
          <w:sz w:val="30"/>
          <w:szCs w:val="30"/>
        </w:rPr>
        <w:t>5.3  المرحلة الثالثة: الهندسة السلوكية — سد الذرائع كهندسة إيمانية للبيئة</w:t>
      </w:r>
    </w:p>
    <w:p w14:paraId="1735E39F" w14:textId="77777777" w:rsidR="00FC056A" w:rsidRDefault="00000000" w:rsidP="00435B2D">
      <w:pPr>
        <w:spacing w:before="80" w:after="80" w:line="340" w:lineRule="auto"/>
      </w:pPr>
      <w:r>
        <w:t>تُعدّ سياسة «الاختبارات العمياء» (</w:t>
      </w:r>
      <w:r>
        <w:rPr>
          <w:rFonts w:ascii="Calibri" w:eastAsia="Calibri" w:hAnsi="Calibri" w:cs="Calibri"/>
          <w:i/>
          <w:iCs/>
        </w:rPr>
        <w:t>Blind Auditions</w:t>
      </w:r>
      <w:r>
        <w:t xml:space="preserve">) — حيث تُخفى هوية المتقدّم — من أكثر توصيات الكتاب موثوقيةً في الأدلة </w:t>
      </w:r>
      <w:r>
        <w:rPr>
          <w:color w:val="0A5E5E"/>
          <w:sz w:val="22"/>
          <w:szCs w:val="22"/>
        </w:rPr>
        <w:t>(Goldin &amp; Rouse, 2000)</w:t>
      </w:r>
      <w:r>
        <w:t xml:space="preserve">. يرى الزراع أن هذا ليس مجرد «تحايل» على عقل المقيّم، بل تطبيق عملي لمنهج </w:t>
      </w:r>
      <w:r>
        <w:rPr>
          <w:b/>
          <w:bCs/>
          <w:color w:val="0D1B33"/>
        </w:rPr>
        <w:t>«سد الذرائع»</w:t>
      </w:r>
      <w:r>
        <w:t xml:space="preserve"> </w:t>
      </w:r>
      <w:r>
        <w:rPr>
          <w:color w:val="0A5E5E"/>
          <w:sz w:val="22"/>
          <w:szCs w:val="22"/>
        </w:rPr>
        <w:t>[256، 273]</w:t>
      </w:r>
      <w:r>
        <w:t xml:space="preserve"> الفقهي النفسي.</w:t>
      </w:r>
    </w:p>
    <w:p w14:paraId="096A128C" w14:textId="77777777" w:rsidR="00FC056A" w:rsidRDefault="00000000" w:rsidP="00435B2D">
      <w:pPr>
        <w:spacing w:before="80" w:after="80" w:line="340" w:lineRule="auto"/>
      </w:pPr>
      <w:r>
        <w:t xml:space="preserve">والمفهوم الأعمق هنا هو ما يُسمّيه الزراع </w:t>
      </w:r>
      <w:r>
        <w:rPr>
          <w:b/>
          <w:bCs/>
          <w:color w:val="0D1B33"/>
        </w:rPr>
        <w:t>«الهندسة البيئية الاستخلافية»</w:t>
      </w:r>
      <w:r>
        <w:t>: تصميم السياقات والإجراءات بحيث تُجبر النظام التلقائي على الصمت وتمنح النظام التأملي فرصة العمل. وهذا يعني أن الهندسة الاستخلافية لا تنتظر أن يُزكَّى كل فرد كي يُصبح عادلاً، بل تبني الأنظمة المؤسسية بحيث تُفرز عدلاً حتى من أصحاب البقع العمياء.</w:t>
      </w:r>
    </w:p>
    <w:p w14:paraId="455638C9" w14:textId="77777777" w:rsidR="00FC056A" w:rsidRDefault="00FC056A" w:rsidP="00435B2D">
      <w:pPr>
        <w:spacing w:before="40" w:after="60"/>
      </w:pPr>
    </w:p>
    <w:tbl>
      <w:tblPr>
        <w:tblW w:w="92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FC056A" w14:paraId="39EEC1BE" w14:textId="77777777">
        <w:tblPrEx>
          <w:tblCellMar>
            <w:top w:w="0" w:type="dxa"/>
            <w:bottom w:w="0" w:type="dxa"/>
          </w:tblCellMar>
        </w:tblPrEx>
        <w:tc>
          <w:tcPr>
            <w:tcW w:w="0" w:type="auto"/>
            <w:tcBorders>
              <w:top w:val="single" w:sz="6" w:space="0" w:color="0A5E5E"/>
              <w:left w:val="single" w:sz="6" w:space="0" w:color="0A5E5E"/>
              <w:right w:val="single" w:sz="6" w:space="0" w:color="0A5E5E"/>
            </w:tcBorders>
            <w:shd w:val="clear" w:color="auto" w:fill="0A5E5E"/>
            <w:tcMar>
              <w:top w:w="80" w:type="dxa"/>
              <w:left w:w="220" w:type="dxa"/>
              <w:bottom w:w="80" w:type="dxa"/>
              <w:right w:w="220" w:type="dxa"/>
            </w:tcMar>
          </w:tcPr>
          <w:p w14:paraId="17CD4C24" w14:textId="77777777" w:rsidR="00FC056A" w:rsidRDefault="00000000" w:rsidP="00435B2D">
            <w:r>
              <w:rPr>
                <w:b/>
                <w:bCs/>
                <w:color w:val="FFFFFF"/>
              </w:rPr>
              <w:t>الهندسة الاستخلافية: أبعاد ثلاثة</w:t>
            </w:r>
          </w:p>
        </w:tc>
      </w:tr>
      <w:tr w:rsidR="00FC056A" w14:paraId="59E7F31F" w14:textId="77777777">
        <w:tblPrEx>
          <w:tblCellMar>
            <w:top w:w="0" w:type="dxa"/>
            <w:bottom w:w="0" w:type="dxa"/>
          </w:tblCellMar>
        </w:tblPrEx>
        <w:tc>
          <w:tcPr>
            <w:tcW w:w="0" w:type="auto"/>
            <w:tcBorders>
              <w:left w:val="single" w:sz="6" w:space="0" w:color="0A5E5E"/>
              <w:bottom w:val="single" w:sz="6" w:space="0" w:color="0A5E5E"/>
              <w:right w:val="single" w:sz="6" w:space="0" w:color="0A5E5E"/>
            </w:tcBorders>
            <w:shd w:val="clear" w:color="auto" w:fill="E0F0F0"/>
            <w:tcMar>
              <w:top w:w="120" w:type="dxa"/>
              <w:left w:w="260" w:type="dxa"/>
              <w:bottom w:w="120" w:type="dxa"/>
              <w:right w:w="260" w:type="dxa"/>
            </w:tcMar>
          </w:tcPr>
          <w:p w14:paraId="178B6680" w14:textId="77777777" w:rsidR="00FC056A" w:rsidRDefault="00000000">
            <w:pPr>
              <w:spacing w:line="330" w:lineRule="auto"/>
              <w:jc w:val="right"/>
            </w:pPr>
            <w:r>
              <w:rPr>
                <w:color w:val="102020"/>
              </w:rPr>
              <w:t>البُعد الأول (الفردي): سد الذرائع الداخلية — بالوعي والتنبّه الذاتي قبل القرار. البُعد الثاني (المؤسسي): تصميم الإجراءات لتحييد التحيز (الاختبار الأعمى، التقييم المعياري). البُعد الثالث (الحضاري): بناء ثقافة «شهود العدل» حيث يُراقب المجتمع نفسه ويُصحّح تحيزاته المؤسسية.</w:t>
            </w:r>
          </w:p>
        </w:tc>
      </w:tr>
    </w:tbl>
    <w:p w14:paraId="3266D610" w14:textId="77777777" w:rsidR="00FC056A" w:rsidRDefault="00FC056A">
      <w:pPr>
        <w:spacing w:before="120" w:after="120"/>
        <w:jc w:val="right"/>
      </w:pPr>
    </w:p>
    <w:p w14:paraId="2E2EE992" w14:textId="77777777" w:rsidR="00FC056A" w:rsidRDefault="00000000">
      <w:pPr>
        <w:pBdr>
          <w:right w:val="thick" w:sz="14" w:space="6" w:color="0A5E5E"/>
        </w:pBdr>
        <w:spacing w:before="280" w:after="140"/>
        <w:ind w:right="260"/>
        <w:jc w:val="right"/>
      </w:pPr>
      <w:r>
        <w:rPr>
          <w:b/>
          <w:bCs/>
          <w:color w:val="1A3A6B"/>
          <w:sz w:val="30"/>
          <w:szCs w:val="30"/>
        </w:rPr>
        <w:t>5.4  المرحلة الرابعة: الكينتسوغي النفسي — من ذنب «البقعة» إلى جسر الإحسان</w:t>
      </w:r>
    </w:p>
    <w:p w14:paraId="58C363FF" w14:textId="77777777" w:rsidR="00FC056A" w:rsidRDefault="00000000">
      <w:pPr>
        <w:spacing w:before="80" w:after="80" w:line="340" w:lineRule="auto"/>
        <w:jc w:val="right"/>
      </w:pPr>
      <w:r>
        <w:t xml:space="preserve">حين يكتشف «الشخص الطيب» تحيزه، يمرّ بأحد مسارين مرضيين </w:t>
      </w:r>
      <w:r>
        <w:rPr>
          <w:color w:val="0A5E5E"/>
          <w:sz w:val="22"/>
          <w:szCs w:val="22"/>
        </w:rPr>
        <w:t>[800، 937]</w:t>
      </w:r>
      <w:r>
        <w:t>:</w:t>
      </w:r>
    </w:p>
    <w:p w14:paraId="5AE0254C" w14:textId="77777777" w:rsidR="00FC056A" w:rsidRDefault="00000000">
      <w:pPr>
        <w:pStyle w:val="a4"/>
        <w:numPr>
          <w:ilvl w:val="0"/>
          <w:numId w:val="2"/>
        </w:numPr>
        <w:spacing w:before="60" w:after="60" w:line="300" w:lineRule="auto"/>
        <w:jc w:val="right"/>
      </w:pPr>
      <w:r>
        <w:rPr>
          <w:color w:val="7A1A1A"/>
        </w:rPr>
        <w:t>مسار الإنكار الدفاعي: «أنا لستُ متحيزاً، الاختبار خاطئ» — وهو ما يُسمّيه الزراع «تضخّم الأنا الأعلى» في مواجهة اللوامة.</w:t>
      </w:r>
    </w:p>
    <w:p w14:paraId="6403B185" w14:textId="77777777" w:rsidR="00FC056A" w:rsidRDefault="00000000">
      <w:pPr>
        <w:pStyle w:val="a4"/>
        <w:numPr>
          <w:ilvl w:val="0"/>
          <w:numId w:val="2"/>
        </w:numPr>
        <w:spacing w:before="60" w:after="60" w:line="300" w:lineRule="auto"/>
        <w:jc w:val="right"/>
      </w:pPr>
      <w:r>
        <w:rPr>
          <w:color w:val="7A1A1A"/>
        </w:rPr>
        <w:t>مسار جلد الذات المُشِل: «أنا شخص سيئ رغم ادعائي الطيبة» — وهو ما يُسمّيه الزراع «اللوامة المرضية» أو «الفصام الأخلاقي في طوره الانهياري».</w:t>
      </w:r>
    </w:p>
    <w:p w14:paraId="7CBE1E25" w14:textId="77777777" w:rsidR="00FC056A" w:rsidRDefault="00000000">
      <w:pPr>
        <w:spacing w:before="80" w:after="80" w:line="340" w:lineRule="auto"/>
        <w:jc w:val="right"/>
      </w:pPr>
      <w:r>
        <w:t xml:space="preserve">ويُقدّم بروتوكول TLRT مساراً ثالثاً: </w:t>
      </w:r>
      <w:r>
        <w:rPr>
          <w:b/>
          <w:bCs/>
          <w:color w:val="0D1B33"/>
        </w:rPr>
        <w:t>الكينتسوغي النفسي</w:t>
      </w:r>
      <w:r>
        <w:t xml:space="preserve"> </w:t>
      </w:r>
      <w:r>
        <w:rPr>
          <w:color w:val="0A5E5E"/>
          <w:sz w:val="22"/>
          <w:szCs w:val="22"/>
        </w:rPr>
        <w:t>[800]</w:t>
      </w:r>
      <w:r>
        <w:t>. المبدأ: لا تُنكر الجرح، ولا تنهار تحته، بل رمِّمه بذهب «الإحسان» — وهو تحويل الوعي بالبقعة العمياء إلى دافع للفعل الصالح المُصلِح.</w:t>
      </w:r>
    </w:p>
    <w:p w14:paraId="249761B0" w14:textId="77777777" w:rsidR="00FC056A" w:rsidRDefault="00FC056A">
      <w:pPr>
        <w:spacing w:before="40" w:after="60"/>
        <w:jc w:val="right"/>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gridCol w:w="3200"/>
      </w:tblGrid>
      <w:tr w:rsidR="00FC056A" w14:paraId="69FE47CE" w14:textId="77777777">
        <w:tblPrEx>
          <w:tblCellMar>
            <w:top w:w="0" w:type="dxa"/>
            <w:bottom w:w="0" w:type="dxa"/>
          </w:tblCellMar>
        </w:tblPrEx>
        <w:trPr>
          <w:tblHeader/>
        </w:trPr>
        <w:tc>
          <w:tcPr>
            <w:tcW w:w="3000" w:type="dxa"/>
            <w:tcBorders>
              <w:top w:val="single" w:sz="3" w:space="0" w:color="FFFFFF"/>
              <w:left w:val="single" w:sz="3" w:space="0" w:color="FFFFFF"/>
              <w:bottom w:val="single" w:sz="3" w:space="0" w:color="FFFFFF"/>
              <w:right w:val="single" w:sz="3" w:space="0" w:color="FFFFFF"/>
            </w:tcBorders>
            <w:shd w:val="clear" w:color="auto" w:fill="0D1B33"/>
            <w:tcMar>
              <w:top w:w="100" w:type="dxa"/>
              <w:left w:w="160" w:type="dxa"/>
              <w:bottom w:w="100" w:type="dxa"/>
              <w:right w:w="160" w:type="dxa"/>
            </w:tcMar>
          </w:tcPr>
          <w:p w14:paraId="5E8B5428" w14:textId="77777777" w:rsidR="00FC056A" w:rsidRDefault="00000000">
            <w:pPr>
              <w:jc w:val="center"/>
            </w:pPr>
            <w:r>
              <w:rPr>
                <w:b/>
                <w:bCs/>
                <w:color w:val="FFFFFF"/>
                <w:sz w:val="22"/>
                <w:szCs w:val="22"/>
              </w:rPr>
              <w:t>المسار</w:t>
            </w:r>
          </w:p>
        </w:tc>
        <w:tc>
          <w:tcPr>
            <w:tcW w:w="3000" w:type="dxa"/>
            <w:tcBorders>
              <w:top w:val="single" w:sz="3" w:space="0" w:color="FFFFFF"/>
              <w:left w:val="single" w:sz="3" w:space="0" w:color="FFFFFF"/>
              <w:bottom w:val="single" w:sz="3" w:space="0" w:color="FFFFFF"/>
              <w:right w:val="single" w:sz="3" w:space="0" w:color="FFFFFF"/>
            </w:tcBorders>
            <w:shd w:val="clear" w:color="auto" w:fill="0D1B33"/>
            <w:tcMar>
              <w:top w:w="100" w:type="dxa"/>
              <w:left w:w="160" w:type="dxa"/>
              <w:bottom w:w="100" w:type="dxa"/>
              <w:right w:w="160" w:type="dxa"/>
            </w:tcMar>
          </w:tcPr>
          <w:p w14:paraId="22287DB7" w14:textId="77777777" w:rsidR="00FC056A" w:rsidRDefault="00000000">
            <w:pPr>
              <w:jc w:val="center"/>
            </w:pPr>
            <w:r>
              <w:rPr>
                <w:b/>
                <w:bCs/>
                <w:color w:val="FFFFFF"/>
                <w:sz w:val="22"/>
                <w:szCs w:val="22"/>
              </w:rPr>
              <w:t>الاستجابة للاكتشاف</w:t>
            </w:r>
          </w:p>
        </w:tc>
        <w:tc>
          <w:tcPr>
            <w:tcW w:w="3200" w:type="dxa"/>
            <w:tcBorders>
              <w:top w:val="single" w:sz="3" w:space="0" w:color="FFFFFF"/>
              <w:left w:val="single" w:sz="3" w:space="0" w:color="FFFFFF"/>
              <w:bottom w:val="single" w:sz="3" w:space="0" w:color="FFFFFF"/>
              <w:right w:val="single" w:sz="3" w:space="0" w:color="FFFFFF"/>
            </w:tcBorders>
            <w:shd w:val="clear" w:color="auto" w:fill="0D1B33"/>
            <w:tcMar>
              <w:top w:w="100" w:type="dxa"/>
              <w:left w:w="160" w:type="dxa"/>
              <w:bottom w:w="100" w:type="dxa"/>
              <w:right w:w="160" w:type="dxa"/>
            </w:tcMar>
          </w:tcPr>
          <w:p w14:paraId="066BA0A3" w14:textId="77777777" w:rsidR="00FC056A" w:rsidRDefault="00000000">
            <w:pPr>
              <w:jc w:val="center"/>
            </w:pPr>
            <w:r>
              <w:rPr>
                <w:b/>
                <w:bCs/>
                <w:color w:val="FFFFFF"/>
                <w:sz w:val="22"/>
                <w:szCs w:val="22"/>
              </w:rPr>
              <w:t>النتيجة</w:t>
            </w:r>
          </w:p>
        </w:tc>
      </w:tr>
      <w:tr w:rsidR="00FC056A" w14:paraId="713E4241"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5B15ABAF" w14:textId="77777777" w:rsidR="00FC056A" w:rsidRDefault="00000000">
            <w:pPr>
              <w:jc w:val="center"/>
            </w:pPr>
            <w:r>
              <w:rPr>
                <w:b/>
                <w:bCs/>
                <w:color w:val="0D1B33"/>
                <w:sz w:val="22"/>
                <w:szCs w:val="22"/>
              </w:rPr>
              <w:t>الإنكار الدفاعي</w:t>
            </w:r>
          </w:p>
        </w:tc>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69685075" w14:textId="77777777" w:rsidR="00FC056A" w:rsidRDefault="00000000">
            <w:pPr>
              <w:jc w:val="center"/>
            </w:pPr>
            <w:r>
              <w:rPr>
                <w:color w:val="222222"/>
                <w:sz w:val="22"/>
                <w:szCs w:val="22"/>
              </w:rPr>
              <w:t>رفض نتائج IAT وتبريرها</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61E38A51" w14:textId="77777777" w:rsidR="00FC056A" w:rsidRDefault="00000000">
            <w:pPr>
              <w:jc w:val="center"/>
            </w:pPr>
            <w:r>
              <w:rPr>
                <w:color w:val="222222"/>
                <w:sz w:val="22"/>
                <w:szCs w:val="22"/>
              </w:rPr>
              <w:t>يبقى الفصام الأخلاقي دون تغيير — صون الاعتقاد عن المراجعة</w:t>
            </w:r>
          </w:p>
        </w:tc>
      </w:tr>
      <w:tr w:rsidR="00FC056A" w14:paraId="02D25C60"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7C80A8FA" w14:textId="77777777" w:rsidR="00FC056A" w:rsidRDefault="00000000">
            <w:pPr>
              <w:jc w:val="center"/>
            </w:pPr>
            <w:r>
              <w:rPr>
                <w:b/>
                <w:bCs/>
                <w:color w:val="0D1B33"/>
                <w:sz w:val="22"/>
                <w:szCs w:val="22"/>
              </w:rPr>
              <w:t>جلد الذات المُشِل</w:t>
            </w:r>
          </w:p>
        </w:tc>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6EDF7847" w14:textId="77777777" w:rsidR="00FC056A" w:rsidRDefault="00000000">
            <w:pPr>
              <w:jc w:val="center"/>
            </w:pPr>
            <w:r>
              <w:rPr>
                <w:color w:val="222222"/>
                <w:sz w:val="22"/>
                <w:szCs w:val="22"/>
              </w:rPr>
              <w:t>اكتئاب وشلل وجودي</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0E162692" w14:textId="77777777" w:rsidR="00FC056A" w:rsidRDefault="00000000">
            <w:pPr>
              <w:jc w:val="center"/>
            </w:pPr>
            <w:r>
              <w:rPr>
                <w:color w:val="222222"/>
                <w:sz w:val="22"/>
                <w:szCs w:val="22"/>
              </w:rPr>
              <w:t>تعطّل اللوامة وتوقف التزكية</w:t>
            </w:r>
          </w:p>
        </w:tc>
      </w:tr>
      <w:tr w:rsidR="00FC056A" w14:paraId="6A275480"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5B2E7E3A" w14:textId="77777777" w:rsidR="00FC056A" w:rsidRDefault="00000000">
            <w:pPr>
              <w:jc w:val="center"/>
            </w:pPr>
            <w:r>
              <w:rPr>
                <w:b/>
                <w:bCs/>
                <w:color w:val="0D1B33"/>
                <w:sz w:val="22"/>
                <w:szCs w:val="22"/>
              </w:rPr>
              <w:t>الكينتسوغي الاستخلافي</w:t>
            </w:r>
          </w:p>
        </w:tc>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21AD6F7C" w14:textId="77777777" w:rsidR="00FC056A" w:rsidRDefault="00000000">
            <w:pPr>
              <w:jc w:val="center"/>
            </w:pPr>
            <w:r>
              <w:rPr>
                <w:color w:val="222222"/>
                <w:sz w:val="22"/>
                <w:szCs w:val="22"/>
              </w:rPr>
              <w:t>توبة وانتقال إلى فعل إحساني مُصحِّح</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159AAE8F" w14:textId="77777777" w:rsidR="00FC056A" w:rsidRDefault="00000000">
            <w:pPr>
              <w:jc w:val="center"/>
            </w:pPr>
            <w:r>
              <w:rPr>
                <w:color w:val="222222"/>
                <w:sz w:val="22"/>
                <w:szCs w:val="22"/>
              </w:rPr>
              <w:t>تحويل الذنب إلى جسر لبناء العدالة</w:t>
            </w:r>
          </w:p>
        </w:tc>
      </w:tr>
    </w:tbl>
    <w:p w14:paraId="01E1A751" w14:textId="77777777" w:rsidR="00FC056A" w:rsidRDefault="00FC056A">
      <w:pPr>
        <w:spacing w:before="40" w:after="60"/>
        <w:jc w:val="right"/>
      </w:pPr>
    </w:p>
    <w:p w14:paraId="48DC88B8" w14:textId="77777777" w:rsidR="00FC056A" w:rsidRDefault="00000000">
      <w:pPr>
        <w:spacing w:before="80" w:after="80" w:line="340" w:lineRule="auto"/>
        <w:jc w:val="right"/>
      </w:pPr>
      <w:r>
        <w:t xml:space="preserve">«الجسر السلوكي» في الكينتسوغي الاستخلافي يعني: أن يتحوّل كل كشف عن بقعة عمياء إلى قرار مؤسسي أو سلوك يومي ملموس يُصحّح ما يمكن تصحيحه من أثر هذه البقعة في العالم. وبهذا يتحوّل الفرد من </w:t>
      </w:r>
      <w:r>
        <w:rPr>
          <w:b/>
          <w:bCs/>
          <w:color w:val="0D1B33"/>
        </w:rPr>
        <w:t>مستهلك الندم</w:t>
      </w:r>
      <w:r>
        <w:t xml:space="preserve"> إلى </w:t>
      </w:r>
      <w:r>
        <w:rPr>
          <w:b/>
          <w:bCs/>
          <w:color w:val="0D1B33"/>
        </w:rPr>
        <w:t>مُنتِج الإصلاح</w:t>
      </w:r>
      <w:r>
        <w:t xml:space="preserve">, ومن «الشخص الطيب» إلى «الخليفة المسؤول» </w:t>
      </w:r>
      <w:r>
        <w:rPr>
          <w:color w:val="0A5E5E"/>
          <w:sz w:val="22"/>
          <w:szCs w:val="22"/>
        </w:rPr>
        <w:t>[798، 955]</w:t>
      </w:r>
      <w:r>
        <w:t>.</w:t>
      </w:r>
    </w:p>
    <w:p w14:paraId="4F75E0D3" w14:textId="77777777" w:rsidR="00FC056A" w:rsidRDefault="00FC056A">
      <w:pPr>
        <w:spacing w:before="120" w:after="120"/>
        <w:jc w:val="right"/>
      </w:pPr>
    </w:p>
    <w:p w14:paraId="783ED14C" w14:textId="77777777" w:rsidR="00FC056A" w:rsidRDefault="00000000">
      <w:pPr>
        <w:pBdr>
          <w:right w:val="thick" w:sz="14" w:space="6" w:color="0A5E5E"/>
        </w:pBdr>
        <w:spacing w:before="280" w:after="140"/>
        <w:ind w:right="260"/>
        <w:jc w:val="right"/>
      </w:pPr>
      <w:r>
        <w:rPr>
          <w:b/>
          <w:bCs/>
          <w:color w:val="1A3A6B"/>
          <w:sz w:val="30"/>
          <w:szCs w:val="30"/>
        </w:rPr>
        <w:t>5.5  المرحلة الخامسة: استعادة الميثاق — الأفق الغائي الذي يُغيب عن الكتاب</w:t>
      </w:r>
    </w:p>
    <w:p w14:paraId="1CF037DD" w14:textId="77777777" w:rsidR="00FC056A" w:rsidRDefault="00000000">
      <w:pPr>
        <w:spacing w:before="80" w:after="80" w:line="340" w:lineRule="auto"/>
        <w:jc w:val="right"/>
      </w:pPr>
      <w:r>
        <w:t xml:space="preserve">يختتم باناجي وغرينوالد كتابهما بدعوة إلى «رحلة جماعية» للحد من «البقع العمياء». وهذا هدف ثمين لكنه — في المنظور الاستخلافي — يقف عند بداية المسار لا نهايته. فاستخلاص «الفائدة الاجتماعية» من تقليل التحيز يظل هدفاً براغماتياً لا يُجيب عن السؤال الأخير: </w:t>
      </w:r>
      <w:r>
        <w:rPr>
          <w:b/>
          <w:bCs/>
          <w:color w:val="0D1B33"/>
        </w:rPr>
        <w:t>لماذا يستحق الإنسان أن يكون عادلاً؟</w:t>
      </w:r>
    </w:p>
    <w:p w14:paraId="469BD84D" w14:textId="77777777" w:rsidR="00FC056A" w:rsidRDefault="00000000">
      <w:pPr>
        <w:spacing w:before="80" w:after="80" w:line="340" w:lineRule="auto"/>
        <w:jc w:val="right"/>
      </w:pPr>
      <w:r>
        <w:t xml:space="preserve">الإجابة الاستخلافية: لأن الله أخذ عليه ميثاقاً بالعدل والشهادة </w:t>
      </w:r>
      <w:r>
        <w:rPr>
          <w:color w:val="0A5E5E"/>
          <w:sz w:val="22"/>
          <w:szCs w:val="22"/>
        </w:rPr>
        <w:t>[802، 1169]</w:t>
      </w:r>
      <w:r>
        <w:t xml:space="preserve">، ولأن الاستخلاف في الأرض يقتضي أن يُقيم العدل لا لمصلحته هو، بل أداءً لأمانة الخلافة. وهذا الأفق الغائي يُحوّل مشروع «تقليل التحيز» من أجندة اجتماعية إلى </w:t>
      </w:r>
      <w:r>
        <w:rPr>
          <w:b/>
          <w:bCs/>
          <w:color w:val="0D1B33"/>
        </w:rPr>
        <w:t>عبادة وجودية</w:t>
      </w:r>
      <w:r>
        <w:t>:</w:t>
      </w:r>
    </w:p>
    <w:p w14:paraId="63C5D298" w14:textId="77777777" w:rsidR="00FC056A" w:rsidRDefault="00FC056A">
      <w:pPr>
        <w:spacing w:before="30" w:after="50"/>
        <w:jc w:val="right"/>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FC056A" w14:paraId="338A7DB9" w14:textId="77777777">
        <w:tblPrEx>
          <w:tblCellMar>
            <w:top w:w="0" w:type="dxa"/>
            <w:bottom w:w="0" w:type="dxa"/>
          </w:tblCellMar>
        </w:tblPrEx>
        <w:tc>
          <w:tcPr>
            <w:tcW w:w="0" w:type="auto"/>
            <w:tcBorders>
              <w:top w:val="single" w:sz="4" w:space="0" w:color="9A7B1A"/>
              <w:left w:val="single" w:sz="4" w:space="0" w:color="9A7B1A"/>
              <w:bottom w:val="single" w:sz="4" w:space="0" w:color="9A7B1A"/>
              <w:right w:val="single" w:sz="4" w:space="0" w:color="9A7B1A"/>
            </w:tcBorders>
            <w:shd w:val="clear" w:color="auto" w:fill="FDF6E3"/>
            <w:tcMar>
              <w:top w:w="160" w:type="dxa"/>
              <w:left w:w="260" w:type="dxa"/>
              <w:bottom w:w="160" w:type="dxa"/>
              <w:right w:w="260" w:type="dxa"/>
            </w:tcMar>
          </w:tcPr>
          <w:p w14:paraId="372CFC24" w14:textId="77777777" w:rsidR="00FC056A" w:rsidRDefault="00000000">
            <w:pPr>
              <w:spacing w:before="60" w:after="60"/>
              <w:jc w:val="center"/>
            </w:pPr>
            <w:r>
              <w:rPr>
                <w:color w:val="9A7B1A"/>
                <w:sz w:val="30"/>
                <w:szCs w:val="30"/>
              </w:rPr>
              <w:t xml:space="preserve">﴾ </w:t>
            </w:r>
            <w:r>
              <w:rPr>
                <w:b/>
                <w:bCs/>
                <w:color w:val="0D1B33"/>
                <w:sz w:val="28"/>
                <w:szCs w:val="28"/>
              </w:rPr>
              <w:t>يَا أَيُّهَا الَّذِينَ آمَنُوا كُونُوا قَوَّامِينَ لِلَّهِ شُهَدَاءَ بِالْقِسْطِ ۖ وَلَا يَجْرِمَنَّكُمْ شَنَآنُ قَوْمٍ عَلَىٰ أَلَّا تَعْدِلُوا ۚ اعْدِلُوا هُوَ أَقْرَبُ لِلتَّقْوَىٰ</w:t>
            </w:r>
            <w:r>
              <w:rPr>
                <w:color w:val="9A7B1A"/>
                <w:sz w:val="30"/>
                <w:szCs w:val="30"/>
              </w:rPr>
              <w:t xml:space="preserve"> ﴿</w:t>
            </w:r>
          </w:p>
          <w:p w14:paraId="53D1D2A2" w14:textId="77777777" w:rsidR="00FC056A" w:rsidRDefault="00000000">
            <w:pPr>
              <w:jc w:val="center"/>
            </w:pPr>
            <w:r>
              <w:rPr>
                <w:color w:val="9A7B1A"/>
                <w:sz w:val="22"/>
                <w:szCs w:val="22"/>
              </w:rPr>
              <w:t>[المائدة: 8]</w:t>
            </w:r>
          </w:p>
        </w:tc>
      </w:tr>
    </w:tbl>
    <w:p w14:paraId="6305F91F" w14:textId="77777777" w:rsidR="00FC056A" w:rsidRDefault="00FC056A">
      <w:pPr>
        <w:spacing w:before="30" w:after="60"/>
        <w:jc w:val="right"/>
      </w:pPr>
    </w:p>
    <w:p w14:paraId="77330F12" w14:textId="77777777" w:rsidR="00FC056A" w:rsidRDefault="00000000">
      <w:pPr>
        <w:spacing w:before="80" w:after="80" w:line="340" w:lineRule="auto"/>
        <w:jc w:val="right"/>
      </w:pPr>
      <w:r>
        <w:t>الآية تُقدّم نموذجاً استخلافياً كاملاً لتجاوز «البقعة العمياء»: (أ) «شنآن قوم» هو التحيز الضمني العاطفي تجاه الآخر، (ب) «لا يجرمنكم» هو الأمر بأن لا يُترجَم هذا التحيز إلى سلوك ظالم، (ج) «اعدلوا» هو إجراء الاختبار الأعمى الاستخلافي، (د) «هو أقرب للتقوى» هو الأثر التزكوي لهذا العدل على النفس ذاتها.</w:t>
      </w:r>
    </w:p>
    <w:p w14:paraId="7CD62C8E" w14:textId="77777777" w:rsidR="00FC056A" w:rsidRDefault="00FC056A">
      <w:pPr>
        <w:spacing w:before="120" w:after="120"/>
        <w:jc w:val="right"/>
      </w:pPr>
    </w:p>
    <w:p w14:paraId="3F784FED" w14:textId="77777777" w:rsidR="00FC056A" w:rsidRDefault="00000000">
      <w:pPr>
        <w:pageBreakBefore/>
        <w:pBdr>
          <w:bottom w:val="single" w:sz="10" w:space="4" w:color="9A7B1A"/>
        </w:pBdr>
        <w:spacing w:before="360" w:after="200"/>
        <w:jc w:val="right"/>
      </w:pPr>
      <w:r>
        <w:rPr>
          <w:b/>
          <w:bCs/>
          <w:color w:val="0D1B33"/>
          <w:sz w:val="36"/>
          <w:szCs w:val="36"/>
        </w:rPr>
        <w:t>6. تحليل نقدي: ما يُضيفه النموذج الاستخلافي وما يُصحّحه</w:t>
      </w:r>
    </w:p>
    <w:p w14:paraId="059F192F" w14:textId="77777777" w:rsidR="00FC056A" w:rsidRDefault="00000000">
      <w:pPr>
        <w:pBdr>
          <w:right w:val="thick" w:sz="14" w:space="6" w:color="0A5E5E"/>
        </w:pBdr>
        <w:spacing w:before="280" w:after="140"/>
        <w:ind w:right="260"/>
        <w:jc w:val="right"/>
      </w:pPr>
      <w:r>
        <w:rPr>
          <w:b/>
          <w:bCs/>
          <w:color w:val="1A3A6B"/>
          <w:sz w:val="30"/>
          <w:szCs w:val="30"/>
        </w:rPr>
        <w:t>6.1  الإضافات الجوهرية للنموذج الاستخلافي</w:t>
      </w:r>
    </w:p>
    <w:p w14:paraId="4395CAA2" w14:textId="77777777" w:rsidR="00FC056A" w:rsidRDefault="00000000">
      <w:pPr>
        <w:pStyle w:val="a4"/>
        <w:numPr>
          <w:ilvl w:val="0"/>
          <w:numId w:val="3"/>
        </w:numPr>
        <w:spacing w:before="60" w:after="60" w:line="300" w:lineRule="auto"/>
        <w:jc w:val="right"/>
      </w:pPr>
      <w:r>
        <w:t>المعيار التحكيمي ما قبل الاجتماعي: يُقدّم النموذج الاستخلافي مفهوم الفطرة كمعيار تحكيمي خارج الاجتماع وسابق عليه، مما يحل إشكالية «الدوران المنطقي» في الأخلاق الاجتماعية — ويمنح مشروع تجاوز التحيز أساساً معيارياً ثابتاً.</w:t>
      </w:r>
    </w:p>
    <w:p w14:paraId="648B8948" w14:textId="77777777" w:rsidR="00FC056A" w:rsidRDefault="00000000">
      <w:pPr>
        <w:pStyle w:val="a4"/>
        <w:numPr>
          <w:ilvl w:val="0"/>
          <w:numId w:val="3"/>
        </w:numPr>
        <w:spacing w:before="60" w:after="60" w:line="300" w:lineRule="auto"/>
        <w:jc w:val="right"/>
      </w:pPr>
      <w:r>
        <w:t>البُعد الوجودي الغائي: يُحوّل مشروع «تقليل التحيز» من هندسة اجتماعية إلى مسار تزكوي، ومن أداء براغماتي إلى أمانة وجودية. وهذا يمنح الدافعية عمقاً لا تستطيع الأدوات الغربية توليده من الداخل.</w:t>
      </w:r>
    </w:p>
    <w:p w14:paraId="581E8697" w14:textId="77777777" w:rsidR="00FC056A" w:rsidRDefault="00000000">
      <w:pPr>
        <w:pStyle w:val="a4"/>
        <w:numPr>
          <w:ilvl w:val="0"/>
          <w:numId w:val="3"/>
        </w:numPr>
        <w:spacing w:before="60" w:after="60" w:line="300" w:lineRule="auto"/>
        <w:jc w:val="right"/>
      </w:pPr>
      <w:r>
        <w:t>تفسير استدماج الضحية للتحيز: ظاهرة أن أفراد الأقليات يُظهرون تحيزاً ضد مجموعتهم يبقى لغزاً في الإطار الغربي. النموذج الاستخلافي يُفسّره عبر «التماهيات الاستعاضية» — أي أن المنهزم يستدمج أنساق هيمنة المنتصر كجزء من «أبٍ بديل».</w:t>
      </w:r>
    </w:p>
    <w:p w14:paraId="261E3D3A" w14:textId="77777777" w:rsidR="00FC056A" w:rsidRDefault="00000000">
      <w:pPr>
        <w:pStyle w:val="a4"/>
        <w:numPr>
          <w:ilvl w:val="0"/>
          <w:numId w:val="3"/>
        </w:numPr>
        <w:spacing w:before="60" w:after="60" w:line="300" w:lineRule="auto"/>
        <w:jc w:val="right"/>
      </w:pPr>
      <w:r>
        <w:t>إمكانية التغيير العميق: التشاؤمية الضمنية في بعض أدبيات IAT — التي تُوحي بأن التحيز ثابت أو عسير التغيير — تُقابلها الاستخلافية بمبدأ «لا تبديل لخلق الله»: الفطرة موجودة تحت التدسية وقابلة للاسترداد، وهذا يمنح المسار العلاجي تفاؤلاً معرفياً مؤسَّساً.</w:t>
      </w:r>
    </w:p>
    <w:p w14:paraId="711FA2E6" w14:textId="77777777" w:rsidR="00FC056A" w:rsidRDefault="00FC056A">
      <w:pPr>
        <w:spacing w:before="120" w:after="120"/>
        <w:jc w:val="right"/>
      </w:pPr>
    </w:p>
    <w:p w14:paraId="65B940AC" w14:textId="77777777" w:rsidR="00FC056A" w:rsidRDefault="00000000">
      <w:pPr>
        <w:pBdr>
          <w:right w:val="thick" w:sz="14" w:space="6" w:color="0A5E5E"/>
        </w:pBdr>
        <w:spacing w:before="280" w:after="140"/>
        <w:ind w:right="260"/>
        <w:jc w:val="right"/>
      </w:pPr>
      <w:r>
        <w:rPr>
          <w:b/>
          <w:bCs/>
          <w:color w:val="1A3A6B"/>
          <w:sz w:val="30"/>
          <w:szCs w:val="30"/>
        </w:rPr>
        <w:t>6.2  التحديات والانتقادات المقابلة</w:t>
      </w:r>
    </w:p>
    <w:p w14:paraId="0EF2EEB7" w14:textId="77777777" w:rsidR="00FC056A" w:rsidRDefault="00000000">
      <w:pPr>
        <w:pStyle w:val="a4"/>
        <w:numPr>
          <w:ilvl w:val="0"/>
          <w:numId w:val="4"/>
        </w:numPr>
        <w:spacing w:before="60" w:after="60" w:line="300" w:lineRule="auto"/>
        <w:jc w:val="right"/>
      </w:pPr>
      <w:r>
        <w:t>التحقق التجريبي: النموذج الاستخلافي يحتاج إلى دراسات تجريبية طولية تقيس أثر بروتوكول TLRT على نتائج IAT قبلياً وبعدياً، مما يُقدّم أدلةً تجريبيةً لا مجرد إطار نظري.</w:t>
      </w:r>
    </w:p>
    <w:p w14:paraId="18BC88FF" w14:textId="77777777" w:rsidR="00FC056A" w:rsidRDefault="00000000">
      <w:pPr>
        <w:pStyle w:val="a4"/>
        <w:numPr>
          <w:ilvl w:val="0"/>
          <w:numId w:val="4"/>
        </w:numPr>
        <w:spacing w:before="60" w:after="60" w:line="300" w:lineRule="auto"/>
        <w:jc w:val="right"/>
      </w:pPr>
      <w:r>
        <w:t>إشكالية التعميم عبر الثقافات: كيف يتعامل النموذج مع غير المسلمين الذين يقبلون مفهوم «الفطرة» بتسمية مختلفة؟ هل ثمة جسر مفاهيمي إلى «القانون الطبيعي» في الأخلاق الغربية أو «الأساس الأخلاقي» في نظرية هايدت؟</w:t>
      </w:r>
    </w:p>
    <w:p w14:paraId="13E0600D" w14:textId="77777777" w:rsidR="00FC056A" w:rsidRDefault="00000000">
      <w:pPr>
        <w:pStyle w:val="a4"/>
        <w:numPr>
          <w:ilvl w:val="0"/>
          <w:numId w:val="4"/>
        </w:numPr>
        <w:spacing w:before="60" w:after="60" w:line="300" w:lineRule="auto"/>
        <w:jc w:val="right"/>
      </w:pPr>
      <w:r>
        <w:t>الخطر الاختزالي في المعالجة الرمزية: تحويل IAT من «أداة تجريبية» إلى «مرآة تدسية» ينطوي على خطر الاستعمال المجازي للبيانات التجريبية. يجب الحرص على عدم استخدام أدوات تجريبية كـ IAT لإثبات نظريات ميتافيزيقية.</w:t>
      </w:r>
    </w:p>
    <w:p w14:paraId="21D19C28" w14:textId="77777777" w:rsidR="00FC056A" w:rsidRDefault="00FC056A">
      <w:pPr>
        <w:spacing w:before="120" w:after="120"/>
        <w:jc w:val="right"/>
      </w:pPr>
    </w:p>
    <w:p w14:paraId="01605E50" w14:textId="77777777" w:rsidR="00FC056A" w:rsidRDefault="00000000">
      <w:pPr>
        <w:pBdr>
          <w:right w:val="thick" w:sz="14" w:space="6" w:color="0A5E5E"/>
        </w:pBdr>
        <w:spacing w:before="280" w:after="140"/>
        <w:ind w:right="260"/>
        <w:jc w:val="right"/>
      </w:pPr>
      <w:r>
        <w:rPr>
          <w:b/>
          <w:bCs/>
          <w:color w:val="1A3A6B"/>
          <w:sz w:val="30"/>
          <w:szCs w:val="30"/>
        </w:rPr>
        <w:t>6.3  جدول الملخص النقدي المقارن الشامل</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200"/>
        <w:gridCol w:w="2200"/>
        <w:gridCol w:w="2600"/>
      </w:tblGrid>
      <w:tr w:rsidR="00FC056A" w14:paraId="59A9A99F" w14:textId="77777777">
        <w:tblPrEx>
          <w:tblCellMar>
            <w:top w:w="0" w:type="dxa"/>
            <w:bottom w:w="0" w:type="dxa"/>
          </w:tblCellMar>
        </w:tblPrEx>
        <w:trPr>
          <w:tblHeader/>
        </w:trPr>
        <w:tc>
          <w:tcPr>
            <w:tcW w:w="2200" w:type="dxa"/>
            <w:tcBorders>
              <w:top w:val="single" w:sz="3" w:space="0" w:color="FFFFFF"/>
              <w:left w:val="single" w:sz="3" w:space="0" w:color="FFFFFF"/>
              <w:bottom w:val="single" w:sz="3" w:space="0" w:color="FFFFFF"/>
              <w:right w:val="single" w:sz="3" w:space="0" w:color="FFFFFF"/>
            </w:tcBorders>
            <w:shd w:val="clear" w:color="auto" w:fill="0D1B33"/>
            <w:tcMar>
              <w:top w:w="100" w:type="dxa"/>
              <w:left w:w="160" w:type="dxa"/>
              <w:bottom w:w="100" w:type="dxa"/>
              <w:right w:w="160" w:type="dxa"/>
            </w:tcMar>
          </w:tcPr>
          <w:p w14:paraId="690EC3E1" w14:textId="77777777" w:rsidR="00FC056A" w:rsidRDefault="00000000">
            <w:pPr>
              <w:jc w:val="center"/>
            </w:pPr>
            <w:r>
              <w:rPr>
                <w:b/>
                <w:bCs/>
                <w:color w:val="FFFFFF"/>
                <w:sz w:val="22"/>
                <w:szCs w:val="22"/>
              </w:rPr>
              <w:t>المحور النقدي</w:t>
            </w:r>
          </w:p>
        </w:tc>
        <w:tc>
          <w:tcPr>
            <w:tcW w:w="2200" w:type="dxa"/>
            <w:tcBorders>
              <w:top w:val="single" w:sz="3" w:space="0" w:color="FFFFFF"/>
              <w:left w:val="single" w:sz="3" w:space="0" w:color="FFFFFF"/>
              <w:bottom w:val="single" w:sz="3" w:space="0" w:color="FFFFFF"/>
              <w:right w:val="single" w:sz="3" w:space="0" w:color="FFFFFF"/>
            </w:tcBorders>
            <w:shd w:val="clear" w:color="auto" w:fill="0D1B33"/>
            <w:tcMar>
              <w:top w:w="100" w:type="dxa"/>
              <w:left w:w="160" w:type="dxa"/>
              <w:bottom w:w="100" w:type="dxa"/>
              <w:right w:w="160" w:type="dxa"/>
            </w:tcMar>
          </w:tcPr>
          <w:p w14:paraId="767D7E01" w14:textId="77777777" w:rsidR="00FC056A" w:rsidRDefault="00000000">
            <w:pPr>
              <w:jc w:val="center"/>
            </w:pPr>
            <w:r>
              <w:rPr>
                <w:b/>
                <w:bCs/>
                <w:color w:val="FFFFFF"/>
                <w:sz w:val="22"/>
                <w:szCs w:val="22"/>
              </w:rPr>
              <w:t>نقطة قوة الكتاب (باناجي-غرينوالد)</w:t>
            </w:r>
          </w:p>
        </w:tc>
        <w:tc>
          <w:tcPr>
            <w:tcW w:w="2200" w:type="dxa"/>
            <w:tcBorders>
              <w:top w:val="single" w:sz="3" w:space="0" w:color="FFFFFF"/>
              <w:left w:val="single" w:sz="3" w:space="0" w:color="FFFFFF"/>
              <w:bottom w:val="single" w:sz="3" w:space="0" w:color="FFFFFF"/>
              <w:right w:val="single" w:sz="3" w:space="0" w:color="FFFFFF"/>
            </w:tcBorders>
            <w:shd w:val="clear" w:color="auto" w:fill="0D1B33"/>
            <w:tcMar>
              <w:top w:w="100" w:type="dxa"/>
              <w:left w:w="160" w:type="dxa"/>
              <w:bottom w:w="100" w:type="dxa"/>
              <w:right w:w="160" w:type="dxa"/>
            </w:tcMar>
          </w:tcPr>
          <w:p w14:paraId="4757EDEA" w14:textId="77777777" w:rsidR="00FC056A" w:rsidRDefault="00000000">
            <w:pPr>
              <w:jc w:val="center"/>
            </w:pPr>
            <w:r>
              <w:rPr>
                <w:b/>
                <w:bCs/>
                <w:color w:val="FFFFFF"/>
                <w:sz w:val="22"/>
                <w:szCs w:val="22"/>
              </w:rPr>
              <w:t>نقطة ضعف الكتاب</w:t>
            </w:r>
          </w:p>
        </w:tc>
        <w:tc>
          <w:tcPr>
            <w:tcW w:w="2600" w:type="dxa"/>
            <w:tcBorders>
              <w:top w:val="single" w:sz="3" w:space="0" w:color="FFFFFF"/>
              <w:left w:val="single" w:sz="3" w:space="0" w:color="FFFFFF"/>
              <w:bottom w:val="single" w:sz="3" w:space="0" w:color="FFFFFF"/>
              <w:right w:val="single" w:sz="3" w:space="0" w:color="FFFFFF"/>
            </w:tcBorders>
            <w:shd w:val="clear" w:color="auto" w:fill="0D1B33"/>
            <w:tcMar>
              <w:top w:w="100" w:type="dxa"/>
              <w:left w:w="160" w:type="dxa"/>
              <w:bottom w:w="100" w:type="dxa"/>
              <w:right w:w="160" w:type="dxa"/>
            </w:tcMar>
          </w:tcPr>
          <w:p w14:paraId="134F0619" w14:textId="77777777" w:rsidR="00FC056A" w:rsidRDefault="00000000">
            <w:pPr>
              <w:jc w:val="center"/>
            </w:pPr>
            <w:r>
              <w:rPr>
                <w:b/>
                <w:bCs/>
                <w:color w:val="FFFFFF"/>
                <w:sz w:val="22"/>
                <w:szCs w:val="22"/>
              </w:rPr>
              <w:t>ما يُضيفه النموذج الاستخلافي</w:t>
            </w:r>
          </w:p>
        </w:tc>
      </w:tr>
      <w:tr w:rsidR="00FC056A" w14:paraId="19D63D13" w14:textId="77777777">
        <w:tblPrEx>
          <w:tblCellMar>
            <w:top w:w="0" w:type="dxa"/>
            <w:bottom w:w="0" w:type="dxa"/>
          </w:tblCellMar>
        </w:tblPrEx>
        <w:tc>
          <w:tcPr>
            <w:tcW w:w="22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5CDD2FF9" w14:textId="77777777" w:rsidR="00FC056A" w:rsidRDefault="00000000">
            <w:pPr>
              <w:jc w:val="center"/>
            </w:pPr>
            <w:r>
              <w:rPr>
                <w:b/>
                <w:bCs/>
                <w:color w:val="0D1B33"/>
                <w:sz w:val="22"/>
                <w:szCs w:val="22"/>
              </w:rPr>
              <w:t>المرجعية النظرية</w:t>
            </w:r>
          </w:p>
        </w:tc>
        <w:tc>
          <w:tcPr>
            <w:tcW w:w="2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2C863CEC" w14:textId="77777777" w:rsidR="00FC056A" w:rsidRDefault="00000000">
            <w:pPr>
              <w:jc w:val="center"/>
            </w:pPr>
            <w:r>
              <w:rPr>
                <w:color w:val="222222"/>
                <w:sz w:val="22"/>
                <w:szCs w:val="22"/>
              </w:rPr>
              <w:t>أدلة تجريبية قوية وقابلية للتكرار</w:t>
            </w:r>
          </w:p>
        </w:tc>
        <w:tc>
          <w:tcPr>
            <w:tcW w:w="2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34DBFEEE" w14:textId="77777777" w:rsidR="00FC056A" w:rsidRDefault="00000000">
            <w:pPr>
              <w:jc w:val="center"/>
            </w:pPr>
            <w:r>
              <w:rPr>
                <w:color w:val="222222"/>
                <w:sz w:val="22"/>
                <w:szCs w:val="22"/>
              </w:rPr>
              <w:t>غياب معيار أخلاقي ما قبل اجتماعي</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76CFB817" w14:textId="77777777" w:rsidR="00FC056A" w:rsidRDefault="00000000">
            <w:pPr>
              <w:jc w:val="center"/>
            </w:pPr>
            <w:r>
              <w:rPr>
                <w:color w:val="222222"/>
                <w:sz w:val="22"/>
                <w:szCs w:val="22"/>
              </w:rPr>
              <w:t>الفطرة كمعيار تحكيمي ثابت</w:t>
            </w:r>
          </w:p>
        </w:tc>
      </w:tr>
      <w:tr w:rsidR="00FC056A" w14:paraId="426BCB9A" w14:textId="77777777">
        <w:tblPrEx>
          <w:tblCellMar>
            <w:top w:w="0" w:type="dxa"/>
            <w:bottom w:w="0" w:type="dxa"/>
          </w:tblCellMar>
        </w:tblPrEx>
        <w:tc>
          <w:tcPr>
            <w:tcW w:w="22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4AF1B8F9" w14:textId="77777777" w:rsidR="00FC056A" w:rsidRDefault="00000000">
            <w:pPr>
              <w:jc w:val="center"/>
            </w:pPr>
            <w:r>
              <w:rPr>
                <w:b/>
                <w:bCs/>
                <w:color w:val="0D1B33"/>
                <w:sz w:val="22"/>
                <w:szCs w:val="22"/>
              </w:rPr>
              <w:t>نموذج التغيير</w:t>
            </w:r>
          </w:p>
        </w:tc>
        <w:tc>
          <w:tcPr>
            <w:tcW w:w="2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365215B4" w14:textId="77777777" w:rsidR="00FC056A" w:rsidRDefault="00000000">
            <w:pPr>
              <w:jc w:val="center"/>
            </w:pPr>
            <w:r>
              <w:rPr>
                <w:color w:val="222222"/>
                <w:sz w:val="22"/>
                <w:szCs w:val="22"/>
              </w:rPr>
              <w:t>استراتيجيات هندسية موثوقة</w:t>
            </w:r>
          </w:p>
        </w:tc>
        <w:tc>
          <w:tcPr>
            <w:tcW w:w="2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06176DCA" w14:textId="77777777" w:rsidR="00FC056A" w:rsidRDefault="00000000">
            <w:pPr>
              <w:jc w:val="center"/>
            </w:pPr>
            <w:r>
              <w:rPr>
                <w:color w:val="222222"/>
                <w:sz w:val="22"/>
                <w:szCs w:val="22"/>
              </w:rPr>
              <w:t>سطحية في مستوى التغيير</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4BDB983A" w14:textId="77777777" w:rsidR="00FC056A" w:rsidRDefault="00000000">
            <w:pPr>
              <w:jc w:val="center"/>
            </w:pPr>
            <w:r>
              <w:rPr>
                <w:color w:val="222222"/>
                <w:sz w:val="22"/>
                <w:szCs w:val="22"/>
              </w:rPr>
              <w:t>تزكية النفس في الطبقات العميقة</w:t>
            </w:r>
          </w:p>
        </w:tc>
      </w:tr>
      <w:tr w:rsidR="00FC056A" w14:paraId="6FF6D3DB" w14:textId="77777777">
        <w:tblPrEx>
          <w:tblCellMar>
            <w:top w:w="0" w:type="dxa"/>
            <w:bottom w:w="0" w:type="dxa"/>
          </w:tblCellMar>
        </w:tblPrEx>
        <w:tc>
          <w:tcPr>
            <w:tcW w:w="22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3C6EA751" w14:textId="77777777" w:rsidR="00FC056A" w:rsidRDefault="00000000">
            <w:pPr>
              <w:jc w:val="center"/>
            </w:pPr>
            <w:r>
              <w:rPr>
                <w:b/>
                <w:bCs/>
                <w:color w:val="0D1B33"/>
                <w:sz w:val="22"/>
                <w:szCs w:val="22"/>
              </w:rPr>
              <w:t>الدافعية للتغيير</w:t>
            </w:r>
          </w:p>
        </w:tc>
        <w:tc>
          <w:tcPr>
            <w:tcW w:w="2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7C159621" w14:textId="77777777" w:rsidR="00FC056A" w:rsidRDefault="00000000">
            <w:pPr>
              <w:jc w:val="center"/>
            </w:pPr>
            <w:r>
              <w:rPr>
                <w:color w:val="222222"/>
                <w:sz w:val="22"/>
                <w:szCs w:val="22"/>
              </w:rPr>
              <w:t>الفائدة الاجتماعية والإكراه المعياري</w:t>
            </w:r>
          </w:p>
        </w:tc>
        <w:tc>
          <w:tcPr>
            <w:tcW w:w="2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632D69AC" w14:textId="77777777" w:rsidR="00FC056A" w:rsidRDefault="00000000">
            <w:pPr>
              <w:jc w:val="center"/>
            </w:pPr>
            <w:r>
              <w:rPr>
                <w:color w:val="222222"/>
                <w:sz w:val="22"/>
                <w:szCs w:val="22"/>
              </w:rPr>
              <w:t>دافعية خارجية وهشّة على المدى البعيد</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603BC4B9" w14:textId="77777777" w:rsidR="00FC056A" w:rsidRDefault="00000000">
            <w:pPr>
              <w:jc w:val="center"/>
            </w:pPr>
            <w:r>
              <w:rPr>
                <w:color w:val="222222"/>
                <w:sz w:val="22"/>
                <w:szCs w:val="22"/>
              </w:rPr>
              <w:t>الميثاق الأزلي كدافع وجودي داخلي</w:t>
            </w:r>
          </w:p>
        </w:tc>
      </w:tr>
      <w:tr w:rsidR="00FC056A" w14:paraId="63087635" w14:textId="77777777">
        <w:tblPrEx>
          <w:tblCellMar>
            <w:top w:w="0" w:type="dxa"/>
            <w:bottom w:w="0" w:type="dxa"/>
          </w:tblCellMar>
        </w:tblPrEx>
        <w:tc>
          <w:tcPr>
            <w:tcW w:w="22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6B2A72EA" w14:textId="77777777" w:rsidR="00FC056A" w:rsidRDefault="00000000">
            <w:pPr>
              <w:jc w:val="center"/>
            </w:pPr>
            <w:r>
              <w:rPr>
                <w:b/>
                <w:bCs/>
                <w:color w:val="0D1B33"/>
                <w:sz w:val="22"/>
                <w:szCs w:val="22"/>
              </w:rPr>
              <w:t>التعامل مع الذنب</w:t>
            </w:r>
          </w:p>
        </w:tc>
        <w:tc>
          <w:tcPr>
            <w:tcW w:w="2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56876CAC" w14:textId="77777777" w:rsidR="00FC056A" w:rsidRDefault="00000000">
            <w:pPr>
              <w:jc w:val="center"/>
            </w:pPr>
            <w:r>
              <w:rPr>
                <w:color w:val="222222"/>
                <w:sz w:val="22"/>
                <w:szCs w:val="22"/>
              </w:rPr>
              <w:t>إقرار بالمشكلة دون مسار علاجي نفسي</w:t>
            </w:r>
          </w:p>
        </w:tc>
        <w:tc>
          <w:tcPr>
            <w:tcW w:w="2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2460F175" w14:textId="77777777" w:rsidR="00FC056A" w:rsidRDefault="00000000">
            <w:pPr>
              <w:jc w:val="center"/>
            </w:pPr>
            <w:r>
              <w:rPr>
                <w:color w:val="222222"/>
                <w:sz w:val="22"/>
                <w:szCs w:val="22"/>
              </w:rPr>
              <w:t>خطر جلد الذات أو الإنكار</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361BC95B" w14:textId="77777777" w:rsidR="00FC056A" w:rsidRDefault="00000000">
            <w:pPr>
              <w:jc w:val="center"/>
            </w:pPr>
            <w:r>
              <w:rPr>
                <w:color w:val="222222"/>
                <w:sz w:val="22"/>
                <w:szCs w:val="22"/>
              </w:rPr>
              <w:t>الكينتسوغي النفسي: ترميم وجسر إحساني</w:t>
            </w:r>
          </w:p>
        </w:tc>
      </w:tr>
      <w:tr w:rsidR="00FC056A" w14:paraId="5DA45987" w14:textId="77777777">
        <w:tblPrEx>
          <w:tblCellMar>
            <w:top w:w="0" w:type="dxa"/>
            <w:bottom w:w="0" w:type="dxa"/>
          </w:tblCellMar>
        </w:tblPrEx>
        <w:tc>
          <w:tcPr>
            <w:tcW w:w="2200" w:type="dxa"/>
            <w:tcBorders>
              <w:top w:val="single" w:sz="2" w:space="0" w:color="CCCCCC"/>
              <w:left w:val="single" w:sz="2" w:space="0" w:color="CCCCCC"/>
              <w:bottom w:val="single" w:sz="2" w:space="0" w:color="CCCCCC"/>
              <w:right w:val="single" w:sz="2" w:space="0" w:color="CCCCCC"/>
            </w:tcBorders>
            <w:shd w:val="clear" w:color="auto" w:fill="E8EDF5"/>
            <w:tcMar>
              <w:top w:w="100" w:type="dxa"/>
              <w:left w:w="160" w:type="dxa"/>
              <w:bottom w:w="100" w:type="dxa"/>
              <w:right w:w="160" w:type="dxa"/>
            </w:tcMar>
          </w:tcPr>
          <w:p w14:paraId="56ABBA66" w14:textId="77777777" w:rsidR="00FC056A" w:rsidRDefault="00000000">
            <w:pPr>
              <w:jc w:val="center"/>
            </w:pPr>
            <w:r>
              <w:rPr>
                <w:b/>
                <w:bCs/>
                <w:color w:val="0D1B33"/>
                <w:sz w:val="22"/>
                <w:szCs w:val="22"/>
              </w:rPr>
              <w:t>الأفق الغائي</w:t>
            </w:r>
          </w:p>
        </w:tc>
        <w:tc>
          <w:tcPr>
            <w:tcW w:w="2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151AD185" w14:textId="77777777" w:rsidR="00FC056A" w:rsidRDefault="00000000">
            <w:pPr>
              <w:jc w:val="center"/>
            </w:pPr>
            <w:r>
              <w:rPr>
                <w:color w:val="222222"/>
                <w:sz w:val="22"/>
                <w:szCs w:val="22"/>
              </w:rPr>
              <w:t>مجتمع أقل تمييزاً</w:t>
            </w:r>
          </w:p>
        </w:tc>
        <w:tc>
          <w:tcPr>
            <w:tcW w:w="2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40E49576" w14:textId="77777777" w:rsidR="00FC056A" w:rsidRDefault="00000000">
            <w:pPr>
              <w:jc w:val="center"/>
            </w:pPr>
            <w:r>
              <w:rPr>
                <w:color w:val="222222"/>
                <w:sz w:val="22"/>
                <w:szCs w:val="22"/>
              </w:rPr>
              <w:t>براغماتية بلا غاية متعالية</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14:paraId="1C46A7E9" w14:textId="77777777" w:rsidR="00FC056A" w:rsidRDefault="00000000">
            <w:pPr>
              <w:jc w:val="center"/>
            </w:pPr>
            <w:r>
              <w:rPr>
                <w:color w:val="222222"/>
                <w:sz w:val="22"/>
                <w:szCs w:val="22"/>
              </w:rPr>
              <w:t>استخلاف الأرض بالعدل كتكليف وجودي</w:t>
            </w:r>
          </w:p>
        </w:tc>
      </w:tr>
    </w:tbl>
    <w:p w14:paraId="050B7F9D" w14:textId="77777777" w:rsidR="00FC056A" w:rsidRDefault="00FC056A">
      <w:pPr>
        <w:spacing w:before="120" w:after="120"/>
        <w:jc w:val="right"/>
      </w:pPr>
    </w:p>
    <w:p w14:paraId="252B6F45" w14:textId="77777777" w:rsidR="00FC056A" w:rsidRDefault="00000000">
      <w:pPr>
        <w:pageBreakBefore/>
        <w:pBdr>
          <w:bottom w:val="single" w:sz="10" w:space="4" w:color="9A7B1A"/>
        </w:pBdr>
        <w:spacing w:before="360" w:after="200"/>
        <w:jc w:val="right"/>
      </w:pPr>
      <w:r>
        <w:rPr>
          <w:b/>
          <w:bCs/>
          <w:color w:val="0D1B33"/>
          <w:sz w:val="36"/>
          <w:szCs w:val="36"/>
        </w:rPr>
        <w:t>7. خاتمة: من «الشخص الطيب» إلى «الخليفة المسؤول»</w:t>
      </w:r>
    </w:p>
    <w:p w14:paraId="0E587D9D" w14:textId="77777777" w:rsidR="00FC056A" w:rsidRDefault="00000000">
      <w:pPr>
        <w:spacing w:before="80" w:after="80" w:line="340" w:lineRule="auto"/>
        <w:jc w:val="right"/>
      </w:pPr>
      <w:r>
        <w:t xml:space="preserve">قدّم هذا البحث مقاربةً نقديةً تأصيليةً تُبيّن أن ظاهرة «البقعة العمياء» التي رصدها باناجي وغرينوالد بأدواتهم التجريبية المتطوّرة، إنما تُمثّل وجهاً واحداً من حقيقة أعمق وصفها القرآن الكريم والتراث الاستخلافي منذ قرون: إنها </w:t>
      </w:r>
      <w:r>
        <w:rPr>
          <w:b/>
          <w:bCs/>
          <w:color w:val="0D1B33"/>
        </w:rPr>
        <w:t>«التدسية»</w:t>
      </w:r>
      <w:r>
        <w:t xml:space="preserve"> — غبار التماهيات الاستعاضية والتنشئة الاجتماعية المنحازة الذي يعلو «مرآة الفطرة»، فيُنتج «فصاماً أخلاقياً» بين ما يعلنه الإنسان وما تختزنه نفسه.</w:t>
      </w:r>
    </w:p>
    <w:p w14:paraId="73D7B7D0" w14:textId="77777777" w:rsidR="00FC056A" w:rsidRDefault="00000000">
      <w:pPr>
        <w:spacing w:before="80" w:after="80" w:line="340" w:lineRule="auto"/>
        <w:jc w:val="right"/>
      </w:pPr>
      <w:r>
        <w:t>والإضافة الجوهرية لعلم النفس الاستخلافي ليست مجرد تسمية مختلفة للظاهرة، بل تقديم ثلاثة عناصر غائبة عن الإطار الغربي:</w:t>
      </w:r>
    </w:p>
    <w:p w14:paraId="35B3A737" w14:textId="77777777" w:rsidR="00FC056A" w:rsidRDefault="00000000">
      <w:pPr>
        <w:pStyle w:val="a4"/>
        <w:numPr>
          <w:ilvl w:val="0"/>
          <w:numId w:val="2"/>
        </w:numPr>
        <w:spacing w:before="60" w:after="60" w:line="300" w:lineRule="auto"/>
        <w:jc w:val="right"/>
      </w:pPr>
      <w:r>
        <w:t>المعيار التحكيمي: الفطرة كمرجع ما قبل اجتماعي يُبيّن أن التحيز «انحراف» لا «طبيعة».</w:t>
      </w:r>
    </w:p>
    <w:p w14:paraId="4822BE2C" w14:textId="77777777" w:rsidR="00FC056A" w:rsidRDefault="00000000">
      <w:pPr>
        <w:pStyle w:val="a4"/>
        <w:numPr>
          <w:ilvl w:val="0"/>
          <w:numId w:val="2"/>
        </w:numPr>
        <w:spacing w:before="60" w:after="60" w:line="300" w:lineRule="auto"/>
        <w:jc w:val="right"/>
      </w:pPr>
      <w:r>
        <w:t>المسار العلاجي الوجودي: بروتوكول TLRT الذي يذهب إلى جذر التدسية ولا يكتفي بهندسة أعراضها.</w:t>
      </w:r>
    </w:p>
    <w:p w14:paraId="77E68BFA" w14:textId="77777777" w:rsidR="00FC056A" w:rsidRDefault="00000000">
      <w:pPr>
        <w:pStyle w:val="a4"/>
        <w:numPr>
          <w:ilvl w:val="0"/>
          <w:numId w:val="2"/>
        </w:numPr>
        <w:spacing w:before="60" w:after="60" w:line="300" w:lineRule="auto"/>
        <w:jc w:val="right"/>
      </w:pPr>
      <w:r>
        <w:t>الغاية المتعالية: الاستخلاف كتكليف يجعل مشروع العدل أكبر من مصلحة اجتماعية — ويمنحه زخماً وجودياً لا تمتلكه أي أجندة براغماتية.</w:t>
      </w:r>
    </w:p>
    <w:p w14:paraId="6294E889" w14:textId="77777777" w:rsidR="00FC056A" w:rsidRDefault="00FC056A">
      <w:pPr>
        <w:spacing w:before="60" w:after="80"/>
        <w:jc w:val="right"/>
      </w:pPr>
    </w:p>
    <w:p w14:paraId="05A9AD36" w14:textId="77777777" w:rsidR="00FC056A" w:rsidRDefault="00000000">
      <w:pPr>
        <w:spacing w:before="80" w:after="80" w:line="340" w:lineRule="auto"/>
        <w:jc w:val="right"/>
      </w:pPr>
      <w:r>
        <w:t xml:space="preserve">والحاجة اليوم — في ظل تصاعد خطاب الهوية والتمييز على المستويين العالمي والإسلامي — إلى نموذج يجمع بين </w:t>
      </w:r>
      <w:r>
        <w:rPr>
          <w:b/>
          <w:bCs/>
          <w:color w:val="0D1B33"/>
        </w:rPr>
        <w:t>صرامة الأدلة التجريبية</w:t>
      </w:r>
      <w:r>
        <w:t xml:space="preserve"> لمدرسة IAT، و</w:t>
      </w:r>
      <w:r>
        <w:rPr>
          <w:b/>
          <w:bCs/>
          <w:color w:val="0D1B33"/>
        </w:rPr>
        <w:t>عمق التأصيل الوجودي</w:t>
      </w:r>
      <w:r>
        <w:t xml:space="preserve"> للنموذج الاستخلافي. وهذه الدراسة دعوة للباحثين في حقل علم النفس الاستخلافي إلى تطوير أدوات قياس وتدخل تتحقق تجريبياً من فرضيات النموذج، وتُقدّم بديلاً ثقافياً أصيلاً لخطاب مكافحة التحيز الذي يُكلّل الغرب لكنه يُعاني من جذر أخلاقي هشّ.</w:t>
      </w:r>
    </w:p>
    <w:p w14:paraId="59669123" w14:textId="77777777" w:rsidR="00FC056A" w:rsidRDefault="00FC056A">
      <w:pPr>
        <w:spacing w:before="60" w:after="80"/>
        <w:jc w:val="right"/>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FC056A" w14:paraId="62BDECC4" w14:textId="77777777">
        <w:tblPrEx>
          <w:tblCellMar>
            <w:top w:w="0" w:type="dxa"/>
            <w:bottom w:w="0" w:type="dxa"/>
          </w:tblCellMar>
        </w:tblPrEx>
        <w:tc>
          <w:tcPr>
            <w:tcW w:w="0" w:type="auto"/>
            <w:tcBorders>
              <w:top w:val="single" w:sz="4" w:space="0" w:color="9A7B1A"/>
              <w:left w:val="single" w:sz="4" w:space="0" w:color="9A7B1A"/>
              <w:bottom w:val="single" w:sz="4" w:space="0" w:color="9A7B1A"/>
              <w:right w:val="single" w:sz="4" w:space="0" w:color="9A7B1A"/>
            </w:tcBorders>
            <w:shd w:val="clear" w:color="auto" w:fill="FDF6E3"/>
            <w:tcMar>
              <w:top w:w="160" w:type="dxa"/>
              <w:left w:w="260" w:type="dxa"/>
              <w:bottom w:w="160" w:type="dxa"/>
              <w:right w:w="260" w:type="dxa"/>
            </w:tcMar>
          </w:tcPr>
          <w:p w14:paraId="4EDABF1C" w14:textId="77777777" w:rsidR="00FC056A" w:rsidRDefault="00000000">
            <w:pPr>
              <w:spacing w:before="60" w:after="60"/>
              <w:jc w:val="center"/>
            </w:pPr>
            <w:r>
              <w:rPr>
                <w:color w:val="9A7B1A"/>
                <w:sz w:val="30"/>
                <w:szCs w:val="30"/>
              </w:rPr>
              <w:t xml:space="preserve">﴾ </w:t>
            </w:r>
            <w:r>
              <w:rPr>
                <w:b/>
                <w:bCs/>
                <w:color w:val="0D1B33"/>
                <w:sz w:val="28"/>
                <w:szCs w:val="28"/>
              </w:rPr>
              <w:t>وَمَا تَوْفِيقِي إِلَّا بِاللَّهِ ۚ عَلَيْهِ تَوَكَّلْتُ وَإِلَيْهِ أُنِيبُ</w:t>
            </w:r>
            <w:r>
              <w:rPr>
                <w:color w:val="9A7B1A"/>
                <w:sz w:val="30"/>
                <w:szCs w:val="30"/>
              </w:rPr>
              <w:t xml:space="preserve"> ﴿</w:t>
            </w:r>
          </w:p>
          <w:p w14:paraId="38E27561" w14:textId="77777777" w:rsidR="00FC056A" w:rsidRDefault="00000000">
            <w:pPr>
              <w:jc w:val="center"/>
            </w:pPr>
            <w:r>
              <w:rPr>
                <w:color w:val="9A7B1A"/>
                <w:sz w:val="22"/>
                <w:szCs w:val="22"/>
              </w:rPr>
              <w:t>[هود: 88]</w:t>
            </w:r>
          </w:p>
        </w:tc>
      </w:tr>
    </w:tbl>
    <w:p w14:paraId="2B3115F0" w14:textId="77777777" w:rsidR="00FC056A" w:rsidRDefault="00FC056A">
      <w:pPr>
        <w:spacing w:before="80" w:after="40"/>
        <w:jc w:val="right"/>
      </w:pPr>
    </w:p>
    <w:p w14:paraId="15235FE6" w14:textId="77777777" w:rsidR="00FC056A" w:rsidRDefault="00FC056A">
      <w:pPr>
        <w:pBdr>
          <w:bottom w:val="single" w:sz="4" w:space="1" w:color="9A7B1A"/>
        </w:pBdr>
        <w:spacing w:before="100" w:after="100"/>
        <w:jc w:val="right"/>
      </w:pPr>
    </w:p>
    <w:p w14:paraId="0922A784" w14:textId="77777777" w:rsidR="00FC056A" w:rsidRDefault="00FC056A">
      <w:pPr>
        <w:spacing w:before="40" w:after="80"/>
        <w:jc w:val="right"/>
      </w:pPr>
    </w:p>
    <w:p w14:paraId="118125D5" w14:textId="77777777" w:rsidR="00FC056A" w:rsidRDefault="00000000">
      <w:pPr>
        <w:pageBreakBefore/>
        <w:pBdr>
          <w:bottom w:val="single" w:sz="10" w:space="4" w:color="9A7B1A"/>
        </w:pBdr>
        <w:spacing w:before="360" w:after="200"/>
        <w:jc w:val="right"/>
      </w:pPr>
      <w:r>
        <w:rPr>
          <w:b/>
          <w:bCs/>
          <w:color w:val="0D1B33"/>
          <w:sz w:val="36"/>
          <w:szCs w:val="36"/>
        </w:rPr>
        <w:t>قائمة المراجع والمصادر</w:t>
      </w:r>
    </w:p>
    <w:p w14:paraId="22951CAB" w14:textId="77777777" w:rsidR="00FC056A" w:rsidRDefault="00000000">
      <w:pPr>
        <w:pBdr>
          <w:right w:val="thick" w:sz="14" w:space="6" w:color="0A5E5E"/>
        </w:pBdr>
        <w:spacing w:before="280" w:after="140"/>
        <w:ind w:right="260"/>
        <w:jc w:val="right"/>
      </w:pPr>
      <w:r>
        <w:rPr>
          <w:b/>
          <w:bCs/>
          <w:color w:val="1A3A6B"/>
          <w:sz w:val="30"/>
          <w:szCs w:val="30"/>
        </w:rPr>
        <w:t>أولاً: المراجع الأصيلة (التراث الإسلامي والاستخلافي)</w:t>
      </w:r>
    </w:p>
    <w:p w14:paraId="4D79A01D" w14:textId="77777777" w:rsidR="00FC056A" w:rsidRDefault="00000000">
      <w:pPr>
        <w:pStyle w:val="a4"/>
        <w:numPr>
          <w:ilvl w:val="0"/>
          <w:numId w:val="5"/>
        </w:numPr>
        <w:spacing w:before="60" w:after="60" w:line="310" w:lineRule="auto"/>
        <w:jc w:val="right"/>
      </w:pPr>
      <w:r>
        <w:rPr>
          <w:sz w:val="22"/>
          <w:szCs w:val="22"/>
        </w:rPr>
        <w:t>الزراع، ع. (2018). الميثاق الأزلي وأثره في تشكيل الضمير الفطري. مجلة إسلامية المعرفة، 24(2)، 77-99.</w:t>
      </w:r>
    </w:p>
    <w:p w14:paraId="4E006A20" w14:textId="77777777" w:rsidR="00FC056A" w:rsidRDefault="00000000">
      <w:pPr>
        <w:pStyle w:val="a4"/>
        <w:numPr>
          <w:ilvl w:val="0"/>
          <w:numId w:val="5"/>
        </w:numPr>
        <w:spacing w:before="60" w:after="60" w:line="310" w:lineRule="auto"/>
        <w:jc w:val="right"/>
      </w:pPr>
      <w:r>
        <w:rPr>
          <w:sz w:val="22"/>
          <w:szCs w:val="22"/>
        </w:rPr>
        <w:t>الزراع، ع. (2019). نموذج TLRT: الأسس النظرية والتطبيقية. الدار البيضاء: أفريقيا الشرق.</w:t>
      </w:r>
    </w:p>
    <w:p w14:paraId="00F4358E" w14:textId="77777777" w:rsidR="00FC056A" w:rsidRDefault="00000000">
      <w:pPr>
        <w:pStyle w:val="a4"/>
        <w:numPr>
          <w:ilvl w:val="0"/>
          <w:numId w:val="5"/>
        </w:numPr>
        <w:spacing w:before="60" w:after="60" w:line="310" w:lineRule="auto"/>
        <w:jc w:val="right"/>
      </w:pPr>
      <w:r>
        <w:rPr>
          <w:sz w:val="22"/>
          <w:szCs w:val="22"/>
        </w:rPr>
        <w:t>الزراع، ع. (2019). استعادة الفطرة: نظرية التزكية بين الوعي والسلوك. بيروت: دار الفطرة.</w:t>
      </w:r>
    </w:p>
    <w:p w14:paraId="33B73997" w14:textId="77777777" w:rsidR="00FC056A" w:rsidRDefault="00000000">
      <w:pPr>
        <w:pStyle w:val="a4"/>
        <w:numPr>
          <w:ilvl w:val="0"/>
          <w:numId w:val="5"/>
        </w:numPr>
        <w:spacing w:before="60" w:after="60" w:line="310" w:lineRule="auto"/>
        <w:jc w:val="right"/>
      </w:pPr>
      <w:r>
        <w:rPr>
          <w:sz w:val="22"/>
          <w:szCs w:val="22"/>
        </w:rPr>
        <w:t>الزراع، ع. (2020). بروتوكول TLRT: دليل الممارس. عمان: دار الفتح.</w:t>
      </w:r>
    </w:p>
    <w:p w14:paraId="172927C2" w14:textId="77777777" w:rsidR="00FC056A" w:rsidRDefault="00000000">
      <w:pPr>
        <w:pStyle w:val="a4"/>
        <w:numPr>
          <w:ilvl w:val="0"/>
          <w:numId w:val="5"/>
        </w:numPr>
        <w:spacing w:before="60" w:after="60" w:line="310" w:lineRule="auto"/>
        <w:jc w:val="right"/>
      </w:pPr>
      <w:r>
        <w:rPr>
          <w:sz w:val="22"/>
          <w:szCs w:val="22"/>
        </w:rPr>
        <w:t>الزراع، ع. (2020). الصحبة والقدوة: إعادة بناء التمثلات في ضوء TLRT. مجلة إسلامية المعرفة، 26(1)، 45-72.</w:t>
      </w:r>
    </w:p>
    <w:p w14:paraId="20E6EA8C" w14:textId="77777777" w:rsidR="00FC056A" w:rsidRDefault="00000000">
      <w:pPr>
        <w:pStyle w:val="a4"/>
        <w:numPr>
          <w:ilvl w:val="0"/>
          <w:numId w:val="5"/>
        </w:numPr>
        <w:spacing w:before="60" w:after="60" w:line="310" w:lineRule="auto"/>
        <w:jc w:val="right"/>
      </w:pPr>
      <w:r>
        <w:rPr>
          <w:sz w:val="22"/>
          <w:szCs w:val="22"/>
        </w:rPr>
        <w:t>الزراع، ع. (2020). سيادة الفطرة: الطريق إلى المطمئنة. مجلة الروح، 2(2)، 45-67.</w:t>
      </w:r>
    </w:p>
    <w:p w14:paraId="55C0CD5E" w14:textId="77777777" w:rsidR="00FC056A" w:rsidRDefault="00000000">
      <w:pPr>
        <w:pStyle w:val="a4"/>
        <w:numPr>
          <w:ilvl w:val="0"/>
          <w:numId w:val="5"/>
        </w:numPr>
        <w:spacing w:before="60" w:after="60" w:line="310" w:lineRule="auto"/>
        <w:jc w:val="right"/>
      </w:pPr>
      <w:r>
        <w:rPr>
          <w:sz w:val="22"/>
          <w:szCs w:val="22"/>
        </w:rPr>
        <w:t>الزراع، ع. (2020). الخبير الحي وإعادة تشكيل السردية الذاتية. مجلة التمكين النفسي، 2(1)، 60-81.</w:t>
      </w:r>
    </w:p>
    <w:p w14:paraId="609382CC" w14:textId="77777777" w:rsidR="00FC056A" w:rsidRDefault="00000000">
      <w:pPr>
        <w:pStyle w:val="a4"/>
        <w:numPr>
          <w:ilvl w:val="0"/>
          <w:numId w:val="5"/>
        </w:numPr>
        <w:spacing w:before="60" w:after="60" w:line="310" w:lineRule="auto"/>
        <w:jc w:val="right"/>
      </w:pPr>
      <w:r>
        <w:rPr>
          <w:sz w:val="22"/>
          <w:szCs w:val="22"/>
        </w:rPr>
        <w:t>الزراع، ع. (2021). التدسية والتزكية: مبحث في أمراض الفطرة. بيروت: دار الفطرة.</w:t>
      </w:r>
    </w:p>
    <w:p w14:paraId="160DC712" w14:textId="77777777" w:rsidR="00FC056A" w:rsidRDefault="00000000">
      <w:pPr>
        <w:pStyle w:val="a4"/>
        <w:numPr>
          <w:ilvl w:val="0"/>
          <w:numId w:val="5"/>
        </w:numPr>
        <w:spacing w:before="60" w:after="60" w:line="310" w:lineRule="auto"/>
        <w:jc w:val="right"/>
      </w:pPr>
      <w:r>
        <w:rPr>
          <w:sz w:val="22"/>
          <w:szCs w:val="22"/>
        </w:rPr>
        <w:t>الزراع، ع. (2021). الكينتسوغي النفسي: ترميم الوجود بالعدل والإحسان. مجلة التجديد النفسي، 5(3)، 200-225.</w:t>
      </w:r>
    </w:p>
    <w:p w14:paraId="299AB3CA" w14:textId="77777777" w:rsidR="00FC056A" w:rsidRDefault="00000000">
      <w:pPr>
        <w:pStyle w:val="a4"/>
        <w:numPr>
          <w:ilvl w:val="0"/>
          <w:numId w:val="5"/>
        </w:numPr>
        <w:spacing w:before="60" w:after="60" w:line="310" w:lineRule="auto"/>
        <w:jc w:val="right"/>
      </w:pPr>
      <w:r>
        <w:rPr>
          <w:sz w:val="22"/>
          <w:szCs w:val="22"/>
        </w:rPr>
        <w:t>الزراع، ع. (2021). الرَّيْن والغفلة: غبار الجسد على مرآة الفطرة. مجلة الروح، 3(1)، 11-34.</w:t>
      </w:r>
    </w:p>
    <w:p w14:paraId="2EF01357" w14:textId="77777777" w:rsidR="00FC056A" w:rsidRDefault="00000000">
      <w:pPr>
        <w:pStyle w:val="a4"/>
        <w:numPr>
          <w:ilvl w:val="0"/>
          <w:numId w:val="5"/>
        </w:numPr>
        <w:spacing w:before="60" w:after="60" w:line="310" w:lineRule="auto"/>
        <w:jc w:val="right"/>
      </w:pPr>
      <w:r>
        <w:rPr>
          <w:sz w:val="22"/>
          <w:szCs w:val="22"/>
        </w:rPr>
        <w:t>الزراع، ع. (2021). الاطمئنان الوظيفي الزائف: سيكولوجية الرضا الكاذب. مجلة الدراسات النفسية، 9(4)، 88-107.</w:t>
      </w:r>
    </w:p>
    <w:p w14:paraId="4B22CAF8" w14:textId="77777777" w:rsidR="00FC056A" w:rsidRDefault="00000000">
      <w:pPr>
        <w:pStyle w:val="a4"/>
        <w:numPr>
          <w:ilvl w:val="0"/>
          <w:numId w:val="5"/>
        </w:numPr>
        <w:spacing w:before="60" w:after="60" w:line="310" w:lineRule="auto"/>
        <w:jc w:val="right"/>
      </w:pPr>
      <w:r>
        <w:rPr>
          <w:sz w:val="22"/>
          <w:szCs w:val="22"/>
        </w:rPr>
        <w:t>الزراع، ع. (2021). الفصام الأخلاقي: حين تنفصل اللوامة عن الأمارة. مجلة أخلاق، 7(2)، 112-135.</w:t>
      </w:r>
    </w:p>
    <w:p w14:paraId="10D1682F" w14:textId="77777777" w:rsidR="00FC056A" w:rsidRDefault="00000000">
      <w:pPr>
        <w:pStyle w:val="a4"/>
        <w:numPr>
          <w:ilvl w:val="0"/>
          <w:numId w:val="5"/>
        </w:numPr>
        <w:spacing w:before="60" w:after="60" w:line="310" w:lineRule="auto"/>
        <w:jc w:val="right"/>
      </w:pPr>
      <w:r>
        <w:rPr>
          <w:sz w:val="22"/>
          <w:szCs w:val="22"/>
        </w:rPr>
        <w:t>الزراع، ع. (2021). الجسر السلوكي: من الطاقة الانفعالية إلى الفعل الإحساني. مجلة النهضة، 15(2)، 200-224.</w:t>
      </w:r>
    </w:p>
    <w:p w14:paraId="4C968F9E" w14:textId="77777777" w:rsidR="00FC056A" w:rsidRDefault="00000000">
      <w:pPr>
        <w:pStyle w:val="a4"/>
        <w:numPr>
          <w:ilvl w:val="0"/>
          <w:numId w:val="5"/>
        </w:numPr>
        <w:spacing w:before="60" w:after="60" w:line="310" w:lineRule="auto"/>
        <w:jc w:val="right"/>
      </w:pPr>
      <w:r>
        <w:rPr>
          <w:sz w:val="22"/>
          <w:szCs w:val="22"/>
        </w:rPr>
        <w:t>الزراع، ع. (2021). تشخيص الأنا الأعلى القاسي وتحرير اللوامة. مجلة إسلامية المعرفة، 26(3)، 123-146.</w:t>
      </w:r>
    </w:p>
    <w:p w14:paraId="4710713F" w14:textId="77777777" w:rsidR="00FC056A" w:rsidRDefault="00000000">
      <w:pPr>
        <w:pStyle w:val="a4"/>
        <w:numPr>
          <w:ilvl w:val="0"/>
          <w:numId w:val="5"/>
        </w:numPr>
        <w:spacing w:before="60" w:after="60" w:line="310" w:lineRule="auto"/>
        <w:jc w:val="right"/>
      </w:pPr>
      <w:r>
        <w:rPr>
          <w:sz w:val="22"/>
          <w:szCs w:val="22"/>
        </w:rPr>
        <w:t>الزراع، ع. (2022). النفس الأمارة وبنيتها العصبية: مقاربة استخلافية. مجلة الدراسات النفسية الإسلامية، 12(2)، 130-160.</w:t>
      </w:r>
    </w:p>
    <w:p w14:paraId="5CD5575A" w14:textId="77777777" w:rsidR="00FC056A" w:rsidRDefault="00000000">
      <w:pPr>
        <w:pStyle w:val="a4"/>
        <w:numPr>
          <w:ilvl w:val="0"/>
          <w:numId w:val="5"/>
        </w:numPr>
        <w:spacing w:before="60" w:after="60" w:line="310" w:lineRule="auto"/>
        <w:jc w:val="right"/>
      </w:pPr>
      <w:r>
        <w:rPr>
          <w:sz w:val="22"/>
          <w:szCs w:val="22"/>
        </w:rPr>
        <w:t>الزراع، ع. (2022). غبار الجسد وضجيج الحياة: محددات التدسية الحضارية. بيروت: دار الفطرة.</w:t>
      </w:r>
    </w:p>
    <w:p w14:paraId="7F84ECE3" w14:textId="77777777" w:rsidR="00FC056A" w:rsidRDefault="00000000">
      <w:pPr>
        <w:pStyle w:val="a4"/>
        <w:numPr>
          <w:ilvl w:val="0"/>
          <w:numId w:val="5"/>
        </w:numPr>
        <w:spacing w:before="60" w:after="60" w:line="310" w:lineRule="auto"/>
        <w:jc w:val="right"/>
      </w:pPr>
      <w:r>
        <w:rPr>
          <w:sz w:val="22"/>
          <w:szCs w:val="22"/>
        </w:rPr>
        <w:t>الزراع، ع. (2022). التناقض بين النسقين: قراءة استخلافية للازدواجية الأخلاقية. مجلة الفكر الإسلامي المعاصر، 48، 90-115.</w:t>
      </w:r>
    </w:p>
    <w:p w14:paraId="2980AE76" w14:textId="77777777" w:rsidR="00FC056A" w:rsidRDefault="00000000">
      <w:pPr>
        <w:pStyle w:val="a4"/>
        <w:numPr>
          <w:ilvl w:val="0"/>
          <w:numId w:val="5"/>
        </w:numPr>
        <w:spacing w:before="60" w:after="60" w:line="310" w:lineRule="auto"/>
        <w:jc w:val="right"/>
      </w:pPr>
      <w:r>
        <w:rPr>
          <w:sz w:val="22"/>
          <w:szCs w:val="22"/>
        </w:rPr>
        <w:t>الزراع، ع. (2022). التماهيات الاستعاضية والديون الوهمية: سيكولوجيا الهوية المغتربة. بيروت: دار الفطرة.</w:t>
      </w:r>
    </w:p>
    <w:p w14:paraId="48B1B138" w14:textId="77777777" w:rsidR="00FC056A" w:rsidRDefault="00000000">
      <w:pPr>
        <w:pStyle w:val="a4"/>
        <w:numPr>
          <w:ilvl w:val="0"/>
          <w:numId w:val="5"/>
        </w:numPr>
        <w:spacing w:before="60" w:after="60" w:line="310" w:lineRule="auto"/>
        <w:jc w:val="right"/>
      </w:pPr>
      <w:r>
        <w:rPr>
          <w:sz w:val="22"/>
          <w:szCs w:val="22"/>
        </w:rPr>
        <w:t>الزراع، ع. (2022). من المستهلك إلى الخليفة: غائية علم النفس الاستخلافي. القاهرة: دار السلام.</w:t>
      </w:r>
    </w:p>
    <w:p w14:paraId="63E88EB4" w14:textId="77777777" w:rsidR="00FC056A" w:rsidRDefault="00000000">
      <w:pPr>
        <w:pStyle w:val="a4"/>
        <w:numPr>
          <w:ilvl w:val="0"/>
          <w:numId w:val="5"/>
        </w:numPr>
        <w:spacing w:before="60" w:after="60" w:line="310" w:lineRule="auto"/>
        <w:jc w:val="right"/>
      </w:pPr>
      <w:r>
        <w:rPr>
          <w:sz w:val="22"/>
          <w:szCs w:val="22"/>
        </w:rPr>
        <w:t>الزراع، ع. (2022). الخليفة المسؤول: التصور الاستخلافي للفاعل الأخلاقي. القاهرة: دار السلام.</w:t>
      </w:r>
    </w:p>
    <w:p w14:paraId="6BB775AA" w14:textId="77777777" w:rsidR="00FC056A" w:rsidRDefault="00000000">
      <w:pPr>
        <w:pStyle w:val="a4"/>
        <w:numPr>
          <w:ilvl w:val="0"/>
          <w:numId w:val="5"/>
        </w:numPr>
        <w:spacing w:before="60" w:after="60" w:line="310" w:lineRule="auto"/>
        <w:jc w:val="right"/>
      </w:pPr>
      <w:r>
        <w:rPr>
          <w:sz w:val="22"/>
          <w:szCs w:val="22"/>
        </w:rPr>
        <w:t>الزراع، ع. (2022). النفس الأمارة وعلاقتها بالدماغ الزاحف: تحليل استخلافي. مجلة علم النفس الإسلامي، 18(1)، 55-78.</w:t>
      </w:r>
    </w:p>
    <w:p w14:paraId="7829F8A2" w14:textId="77777777" w:rsidR="00FC056A" w:rsidRDefault="00000000">
      <w:pPr>
        <w:pStyle w:val="a4"/>
        <w:numPr>
          <w:ilvl w:val="0"/>
          <w:numId w:val="5"/>
        </w:numPr>
        <w:spacing w:before="60" w:after="60" w:line="310" w:lineRule="auto"/>
        <w:jc w:val="right"/>
      </w:pPr>
      <w:r>
        <w:rPr>
          <w:sz w:val="22"/>
          <w:szCs w:val="22"/>
        </w:rPr>
        <w:t>الزراع، ع. (2023). هندسة السلوك: سد الذرائع بين الفقه وعلم النفس. عمان: مركز نماء.</w:t>
      </w:r>
    </w:p>
    <w:p w14:paraId="7D34650B" w14:textId="77777777" w:rsidR="00FC056A" w:rsidRDefault="00000000">
      <w:pPr>
        <w:pStyle w:val="a4"/>
        <w:numPr>
          <w:ilvl w:val="0"/>
          <w:numId w:val="5"/>
        </w:numPr>
        <w:spacing w:before="60" w:after="60" w:line="310" w:lineRule="auto"/>
        <w:jc w:val="right"/>
      </w:pPr>
      <w:r>
        <w:rPr>
          <w:sz w:val="22"/>
          <w:szCs w:val="22"/>
        </w:rPr>
        <w:t>الزراع، ع. (2023). النحو الأخلاقي الفطري: مقاربة بين الفطرة والنحو التوليدي. مجلة اللغة والفكر، 8(1)، 22-45.</w:t>
      </w:r>
    </w:p>
    <w:p w14:paraId="5E15637C" w14:textId="77777777" w:rsidR="00FC056A" w:rsidRDefault="00FC056A">
      <w:pPr>
        <w:spacing w:before="40" w:after="60"/>
        <w:jc w:val="right"/>
      </w:pPr>
    </w:p>
    <w:p w14:paraId="75967C10" w14:textId="77777777" w:rsidR="00FC056A" w:rsidRDefault="00000000">
      <w:pPr>
        <w:pBdr>
          <w:right w:val="thick" w:sz="14" w:space="6" w:color="0A5E5E"/>
        </w:pBdr>
        <w:spacing w:before="280" w:after="140"/>
        <w:ind w:right="260"/>
        <w:jc w:val="right"/>
      </w:pPr>
      <w:r>
        <w:rPr>
          <w:b/>
          <w:bCs/>
          <w:color w:val="1A3A6B"/>
          <w:sz w:val="30"/>
          <w:szCs w:val="30"/>
        </w:rPr>
        <w:t>ثانياً: المراجع الغربية</w:t>
      </w:r>
    </w:p>
    <w:p w14:paraId="292260DC" w14:textId="77777777" w:rsidR="00FC056A" w:rsidRDefault="00000000">
      <w:pPr>
        <w:pStyle w:val="a4"/>
        <w:numPr>
          <w:ilvl w:val="0"/>
          <w:numId w:val="6"/>
        </w:numPr>
        <w:spacing w:before="60" w:after="60" w:line="310" w:lineRule="auto"/>
        <w:jc w:val="right"/>
      </w:pPr>
      <w:r>
        <w:rPr>
          <w:rFonts w:ascii="Calibri" w:eastAsia="Calibri" w:hAnsi="Calibri" w:cs="Calibri"/>
          <w:sz w:val="22"/>
          <w:szCs w:val="22"/>
        </w:rPr>
        <w:t>Banaji, M. R., &amp; Greenwald, A. G. (2013). Blindspot: Hidden Biases of Good People. New York: Delacorte Press.</w:t>
      </w:r>
    </w:p>
    <w:p w14:paraId="26EA92BE" w14:textId="77777777" w:rsidR="00FC056A" w:rsidRDefault="00000000">
      <w:pPr>
        <w:pStyle w:val="a4"/>
        <w:numPr>
          <w:ilvl w:val="0"/>
          <w:numId w:val="6"/>
        </w:numPr>
        <w:spacing w:before="60" w:after="60" w:line="310" w:lineRule="auto"/>
        <w:jc w:val="right"/>
      </w:pPr>
      <w:r>
        <w:rPr>
          <w:rFonts w:ascii="Calibri" w:eastAsia="Calibri" w:hAnsi="Calibri" w:cs="Calibri"/>
          <w:sz w:val="22"/>
          <w:szCs w:val="22"/>
        </w:rPr>
        <w:t>Dasgupta, N., &amp; Greenwald, A. G. (2001). On the malleability of automatic attitudes: Combating automatic prejudice with images of admired and disliked individuals. Journal of Personality and Social Psychology, 81(5), 800-814.</w:t>
      </w:r>
    </w:p>
    <w:p w14:paraId="100C4D0E" w14:textId="77777777" w:rsidR="00FC056A" w:rsidRDefault="00000000">
      <w:pPr>
        <w:pStyle w:val="a4"/>
        <w:numPr>
          <w:ilvl w:val="0"/>
          <w:numId w:val="6"/>
        </w:numPr>
        <w:spacing w:before="60" w:after="60" w:line="310" w:lineRule="auto"/>
        <w:jc w:val="right"/>
      </w:pPr>
      <w:r>
        <w:rPr>
          <w:rFonts w:ascii="Calibri" w:eastAsia="Calibri" w:hAnsi="Calibri" w:cs="Calibri"/>
          <w:sz w:val="22"/>
          <w:szCs w:val="22"/>
        </w:rPr>
        <w:t>Festinger, L. (1957). A Theory of Cognitive Dissonance. Stanford: Stanford University Press.</w:t>
      </w:r>
    </w:p>
    <w:p w14:paraId="42F4D73F" w14:textId="77777777" w:rsidR="00FC056A" w:rsidRDefault="00000000">
      <w:pPr>
        <w:pStyle w:val="a4"/>
        <w:numPr>
          <w:ilvl w:val="0"/>
          <w:numId w:val="6"/>
        </w:numPr>
        <w:spacing w:before="60" w:after="60" w:line="310" w:lineRule="auto"/>
        <w:jc w:val="right"/>
      </w:pPr>
      <w:r>
        <w:rPr>
          <w:rFonts w:ascii="Calibri" w:eastAsia="Calibri" w:hAnsi="Calibri" w:cs="Calibri"/>
          <w:sz w:val="22"/>
          <w:szCs w:val="22"/>
        </w:rPr>
        <w:t>Goldin, C., &amp; Rouse, C. (2000). Orchestrating impartiality: The impact of 'blind' auditions on female musicians. American Economic Review, 90(4), 715-741.</w:t>
      </w:r>
    </w:p>
    <w:p w14:paraId="45F25877" w14:textId="77777777" w:rsidR="00FC056A" w:rsidRDefault="00000000">
      <w:pPr>
        <w:pStyle w:val="a4"/>
        <w:numPr>
          <w:ilvl w:val="0"/>
          <w:numId w:val="6"/>
        </w:numPr>
        <w:spacing w:before="60" w:after="60" w:line="310" w:lineRule="auto"/>
        <w:jc w:val="right"/>
      </w:pPr>
      <w:r>
        <w:rPr>
          <w:rFonts w:ascii="Calibri" w:eastAsia="Calibri" w:hAnsi="Calibri" w:cs="Calibri"/>
          <w:sz w:val="22"/>
          <w:szCs w:val="22"/>
        </w:rPr>
        <w:t>Greenwald, A. G., McGhee, D. E., &amp; Schwartz, J. L. K. (1998). Measuring individual differences in implicit cognition: The implicit association test. Journal of Personality and Social Psychology, 74(6), 1464-1480.</w:t>
      </w:r>
    </w:p>
    <w:p w14:paraId="7D389921" w14:textId="77777777" w:rsidR="00FC056A" w:rsidRDefault="00000000">
      <w:pPr>
        <w:pStyle w:val="a4"/>
        <w:numPr>
          <w:ilvl w:val="0"/>
          <w:numId w:val="6"/>
        </w:numPr>
        <w:spacing w:before="60" w:after="60" w:line="310" w:lineRule="auto"/>
        <w:jc w:val="right"/>
      </w:pPr>
      <w:r>
        <w:rPr>
          <w:rFonts w:ascii="Calibri" w:eastAsia="Calibri" w:hAnsi="Calibri" w:cs="Calibri"/>
          <w:sz w:val="22"/>
          <w:szCs w:val="22"/>
        </w:rPr>
        <w:t>Haidt, J. (2012). The Righteous Mind: Why Good People Are Divided by Politics and Religion. New York: Pantheon Books.</w:t>
      </w:r>
    </w:p>
    <w:p w14:paraId="7F578743" w14:textId="77777777" w:rsidR="00FC056A" w:rsidRDefault="00000000">
      <w:pPr>
        <w:pStyle w:val="a4"/>
        <w:numPr>
          <w:ilvl w:val="0"/>
          <w:numId w:val="6"/>
        </w:numPr>
        <w:spacing w:before="60" w:after="60" w:line="310" w:lineRule="auto"/>
        <w:jc w:val="right"/>
      </w:pPr>
      <w:r>
        <w:rPr>
          <w:rFonts w:ascii="Calibri" w:eastAsia="Calibri" w:hAnsi="Calibri" w:cs="Calibri"/>
          <w:sz w:val="22"/>
          <w:szCs w:val="22"/>
        </w:rPr>
        <w:t>Kahneman, D. (2011). Thinking, Fast and Slow. New York: Farrar, Straus and Giroux.</w:t>
      </w:r>
    </w:p>
    <w:p w14:paraId="5BED1458" w14:textId="77777777" w:rsidR="00FC056A" w:rsidRDefault="00000000">
      <w:pPr>
        <w:pStyle w:val="a4"/>
        <w:numPr>
          <w:ilvl w:val="0"/>
          <w:numId w:val="6"/>
        </w:numPr>
        <w:spacing w:before="60" w:after="60" w:line="310" w:lineRule="auto"/>
        <w:jc w:val="right"/>
      </w:pPr>
      <w:r>
        <w:rPr>
          <w:rFonts w:ascii="Calibri" w:eastAsia="Calibri" w:hAnsi="Calibri" w:cs="Calibri"/>
          <w:sz w:val="22"/>
          <w:szCs w:val="22"/>
        </w:rPr>
        <w:t>Nosek, B. A., Banaji, M. R., &amp; Greenwald, A. G. (2002). Harvesting implicit group attitudes and beliefs from a demonstration web site. Group Dynamics: Theory, Research, and Practice, 6(1), 101-115.</w:t>
      </w:r>
    </w:p>
    <w:p w14:paraId="31324950" w14:textId="77777777" w:rsidR="00FC056A" w:rsidRDefault="00000000">
      <w:pPr>
        <w:pStyle w:val="a4"/>
        <w:numPr>
          <w:ilvl w:val="0"/>
          <w:numId w:val="6"/>
        </w:numPr>
        <w:spacing w:before="60" w:after="60" w:line="310" w:lineRule="auto"/>
        <w:jc w:val="right"/>
      </w:pPr>
      <w:r>
        <w:rPr>
          <w:rFonts w:ascii="Calibri" w:eastAsia="Calibri" w:hAnsi="Calibri" w:cs="Calibri"/>
          <w:sz w:val="22"/>
          <w:szCs w:val="22"/>
        </w:rPr>
        <w:t>Tedeschi, R. G., &amp; Calhoun, L. G. (2004). Post-traumatic growth: Conceptual foundations and empirical evidence. Psychological Inquiry, 15(1), 1-18.</w:t>
      </w:r>
    </w:p>
    <w:p w14:paraId="713357A1" w14:textId="77777777" w:rsidR="00FC056A" w:rsidRDefault="00FC056A">
      <w:pPr>
        <w:spacing w:before="60" w:after="60"/>
        <w:jc w:val="right"/>
      </w:pPr>
    </w:p>
    <w:p w14:paraId="59B5A5F6" w14:textId="77777777" w:rsidR="00FC056A" w:rsidRDefault="00FC056A">
      <w:pPr>
        <w:pBdr>
          <w:bottom w:val="single" w:sz="4" w:space="1" w:color="0A5E5E"/>
        </w:pBdr>
        <w:spacing w:before="100" w:after="100"/>
        <w:jc w:val="right"/>
      </w:pPr>
    </w:p>
    <w:sectPr w:rsidR="00FC056A">
      <w:headerReference w:type="default" r:id="rId7"/>
      <w:footerReference w:type="default" r:id="rId8"/>
      <w:pgSz w:w="11906" w:h="16838"/>
      <w:pgMar w:top="1200" w:right="1260" w:bottom="120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26EE3" w14:textId="77777777" w:rsidR="00F905E6" w:rsidRDefault="00F905E6">
      <w:r>
        <w:separator/>
      </w:r>
    </w:p>
  </w:endnote>
  <w:endnote w:type="continuationSeparator" w:id="0">
    <w:p w14:paraId="46DB23B1" w14:textId="77777777" w:rsidR="00F905E6" w:rsidRDefault="00F90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CEDA3" w14:textId="77777777" w:rsidR="00FC056A" w:rsidRDefault="00000000">
    <w:pPr>
      <w:pBdr>
        <w:top w:val="single" w:sz="4" w:space="4" w:color="9A7B1A"/>
      </w:pBdr>
      <w:jc w:val="center"/>
    </w:pPr>
    <w:r>
      <w:rPr>
        <w:color w:val="9A7B1A"/>
        <w:sz w:val="18"/>
        <w:szCs w:val="18"/>
      </w:rPr>
      <w:t xml:space="preserve">علم النفس الاستخلافي  |  </w:t>
    </w:r>
    <w:r>
      <w:rPr>
        <w:color w:val="0D1B33"/>
        <w:sz w:val="18"/>
        <w:szCs w:val="18"/>
      </w:rPr>
      <w:fldChar w:fldCharType="begin"/>
    </w:r>
    <w:r>
      <w:rPr>
        <w:color w:val="0D1B33"/>
        <w:sz w:val="18"/>
        <w:szCs w:val="18"/>
      </w:rPr>
      <w:instrText>PAGE</w:instrText>
    </w:r>
    <w:r>
      <w:rPr>
        <w:color w:val="0D1B33"/>
        <w:sz w:val="18"/>
        <w:szCs w:val="18"/>
      </w:rPr>
      <w:fldChar w:fldCharType="separate"/>
    </w:r>
    <w:r>
      <w:rPr>
        <w:color w:val="0D1B33"/>
        <w:sz w:val="18"/>
        <w:szCs w:val="18"/>
      </w:rPr>
      <w:fldChar w:fldCharType="end"/>
    </w:r>
    <w:r>
      <w:rPr>
        <w:color w:val="9A7B1A"/>
        <w:sz w:val="18"/>
        <w:szCs w:val="18"/>
      </w:rPr>
      <w:t xml:space="preserve">  |  صفحة</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6D8C3" w14:textId="77777777" w:rsidR="00F905E6" w:rsidRDefault="00F905E6">
      <w:r>
        <w:separator/>
      </w:r>
    </w:p>
  </w:footnote>
  <w:footnote w:type="continuationSeparator" w:id="0">
    <w:p w14:paraId="57F8DB81" w14:textId="77777777" w:rsidR="00F905E6" w:rsidRDefault="00F90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9EE36" w14:textId="77777777" w:rsidR="00FC056A" w:rsidRDefault="00000000">
    <w:pPr>
      <w:pBdr>
        <w:bottom w:val="single" w:sz="4" w:space="4" w:color="0D1B33"/>
      </w:pBdr>
      <w:tabs>
        <w:tab w:val="left" w:pos="9200"/>
      </w:tabs>
      <w:jc w:val="right"/>
    </w:pPr>
    <w:r>
      <w:rPr>
        <w:color w:val="0D1B33"/>
        <w:sz w:val="20"/>
        <w:szCs w:val="20"/>
      </w:rPr>
      <w:t>الحشرة العمياء وعلم النفس الاستخلافي</w:t>
    </w:r>
    <w:r>
      <w:rPr>
        <w:sz w:val="20"/>
        <w:szCs w:val="20"/>
      </w:rPr>
      <w:tab/>
    </w:r>
    <w:r>
      <w:rPr>
        <w:color w:val="0A5E5E"/>
        <w:sz w:val="20"/>
        <w:szCs w:val="20"/>
      </w:rPr>
      <w:t>عبد السلام الزراع</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63A49"/>
    <w:multiLevelType w:val="hybridMultilevel"/>
    <w:tmpl w:val="FFFFFFFF"/>
    <w:lvl w:ilvl="0" w:tplc="668EB79E">
      <w:start w:val="1"/>
      <w:numFmt w:val="decimal"/>
      <w:lvlText w:val="%1."/>
      <w:lvlJc w:val="right"/>
      <w:pPr>
        <w:bidi/>
        <w:ind w:right="720" w:hanging="360"/>
      </w:pPr>
    </w:lvl>
    <w:lvl w:ilvl="1" w:tplc="ACA48F32">
      <w:numFmt w:val="decimal"/>
      <w:lvlText w:val=""/>
      <w:lvlJc w:val="left"/>
    </w:lvl>
    <w:lvl w:ilvl="2" w:tplc="F81CE440">
      <w:numFmt w:val="decimal"/>
      <w:lvlText w:val=""/>
      <w:lvlJc w:val="left"/>
    </w:lvl>
    <w:lvl w:ilvl="3" w:tplc="EF2861D0">
      <w:numFmt w:val="decimal"/>
      <w:lvlText w:val=""/>
      <w:lvlJc w:val="left"/>
    </w:lvl>
    <w:lvl w:ilvl="4" w:tplc="BD200BB0">
      <w:numFmt w:val="decimal"/>
      <w:lvlText w:val=""/>
      <w:lvlJc w:val="left"/>
    </w:lvl>
    <w:lvl w:ilvl="5" w:tplc="D08E8636">
      <w:numFmt w:val="decimal"/>
      <w:lvlText w:val=""/>
      <w:lvlJc w:val="left"/>
    </w:lvl>
    <w:lvl w:ilvl="6" w:tplc="49EAE30C">
      <w:numFmt w:val="decimal"/>
      <w:lvlText w:val=""/>
      <w:lvlJc w:val="left"/>
    </w:lvl>
    <w:lvl w:ilvl="7" w:tplc="CE96EA5E">
      <w:numFmt w:val="decimal"/>
      <w:lvlText w:val=""/>
      <w:lvlJc w:val="left"/>
    </w:lvl>
    <w:lvl w:ilvl="8" w:tplc="A84886F0">
      <w:numFmt w:val="decimal"/>
      <w:lvlText w:val=""/>
      <w:lvlJc w:val="left"/>
    </w:lvl>
  </w:abstractNum>
  <w:abstractNum w:abstractNumId="1" w15:restartNumberingAfterBreak="0">
    <w:nsid w:val="223045AE"/>
    <w:multiLevelType w:val="hybridMultilevel"/>
    <w:tmpl w:val="FFFFFFFF"/>
    <w:lvl w:ilvl="0" w:tplc="E6888B30">
      <w:start w:val="1"/>
      <w:numFmt w:val="bullet"/>
      <w:lvlText w:val="◈"/>
      <w:lvlJc w:val="right"/>
      <w:pPr>
        <w:bidi/>
        <w:ind w:right="720" w:hanging="360"/>
      </w:pPr>
    </w:lvl>
    <w:lvl w:ilvl="1" w:tplc="51EC6034">
      <w:numFmt w:val="decimal"/>
      <w:lvlText w:val=""/>
      <w:lvlJc w:val="left"/>
    </w:lvl>
    <w:lvl w:ilvl="2" w:tplc="13C4BF1A">
      <w:numFmt w:val="decimal"/>
      <w:lvlText w:val=""/>
      <w:lvlJc w:val="left"/>
    </w:lvl>
    <w:lvl w:ilvl="3" w:tplc="FA8EE460">
      <w:numFmt w:val="decimal"/>
      <w:lvlText w:val=""/>
      <w:lvlJc w:val="left"/>
    </w:lvl>
    <w:lvl w:ilvl="4" w:tplc="BD18B4A0">
      <w:numFmt w:val="decimal"/>
      <w:lvlText w:val=""/>
      <w:lvlJc w:val="left"/>
    </w:lvl>
    <w:lvl w:ilvl="5" w:tplc="00A63CF0">
      <w:numFmt w:val="decimal"/>
      <w:lvlText w:val=""/>
      <w:lvlJc w:val="left"/>
    </w:lvl>
    <w:lvl w:ilvl="6" w:tplc="3370E186">
      <w:numFmt w:val="decimal"/>
      <w:lvlText w:val=""/>
      <w:lvlJc w:val="left"/>
    </w:lvl>
    <w:lvl w:ilvl="7" w:tplc="5FCA5E12">
      <w:numFmt w:val="decimal"/>
      <w:lvlText w:val=""/>
      <w:lvlJc w:val="left"/>
    </w:lvl>
    <w:lvl w:ilvl="8" w:tplc="5B600E50">
      <w:numFmt w:val="decimal"/>
      <w:lvlText w:val=""/>
      <w:lvlJc w:val="left"/>
    </w:lvl>
  </w:abstractNum>
  <w:abstractNum w:abstractNumId="2" w15:restartNumberingAfterBreak="0">
    <w:nsid w:val="37D94BF1"/>
    <w:multiLevelType w:val="hybridMultilevel"/>
    <w:tmpl w:val="FFFFFFFF"/>
    <w:lvl w:ilvl="0" w:tplc="686462E0">
      <w:start w:val="1"/>
      <w:numFmt w:val="decimal"/>
      <w:lvlText w:val="%1."/>
      <w:lvlJc w:val="right"/>
      <w:pPr>
        <w:bidi/>
        <w:ind w:right="720" w:hanging="360"/>
      </w:pPr>
    </w:lvl>
    <w:lvl w:ilvl="1" w:tplc="87C04D76">
      <w:numFmt w:val="decimal"/>
      <w:lvlText w:val=""/>
      <w:lvlJc w:val="left"/>
    </w:lvl>
    <w:lvl w:ilvl="2" w:tplc="2A8E13A4">
      <w:numFmt w:val="decimal"/>
      <w:lvlText w:val=""/>
      <w:lvlJc w:val="left"/>
    </w:lvl>
    <w:lvl w:ilvl="3" w:tplc="BD806FB2">
      <w:numFmt w:val="decimal"/>
      <w:lvlText w:val=""/>
      <w:lvlJc w:val="left"/>
    </w:lvl>
    <w:lvl w:ilvl="4" w:tplc="8FBCB4A8">
      <w:numFmt w:val="decimal"/>
      <w:lvlText w:val=""/>
      <w:lvlJc w:val="left"/>
    </w:lvl>
    <w:lvl w:ilvl="5" w:tplc="0332DAAA">
      <w:numFmt w:val="decimal"/>
      <w:lvlText w:val=""/>
      <w:lvlJc w:val="left"/>
    </w:lvl>
    <w:lvl w:ilvl="6" w:tplc="50485886">
      <w:numFmt w:val="decimal"/>
      <w:lvlText w:val=""/>
      <w:lvlJc w:val="left"/>
    </w:lvl>
    <w:lvl w:ilvl="7" w:tplc="9E06EA1E">
      <w:numFmt w:val="decimal"/>
      <w:lvlText w:val=""/>
      <w:lvlJc w:val="left"/>
    </w:lvl>
    <w:lvl w:ilvl="8" w:tplc="171A8982">
      <w:numFmt w:val="decimal"/>
      <w:lvlText w:val=""/>
      <w:lvlJc w:val="left"/>
    </w:lvl>
  </w:abstractNum>
  <w:abstractNum w:abstractNumId="3" w15:restartNumberingAfterBreak="0">
    <w:nsid w:val="6D7277E9"/>
    <w:multiLevelType w:val="hybridMultilevel"/>
    <w:tmpl w:val="FFFFFFFF"/>
    <w:lvl w:ilvl="0" w:tplc="E376CB00">
      <w:start w:val="1"/>
      <w:numFmt w:val="decimal"/>
      <w:lvlText w:val="%1."/>
      <w:lvlJc w:val="right"/>
      <w:pPr>
        <w:bidi/>
        <w:ind w:right="720" w:hanging="360"/>
      </w:pPr>
    </w:lvl>
    <w:lvl w:ilvl="1" w:tplc="3DB002EC">
      <w:numFmt w:val="decimal"/>
      <w:lvlText w:val=""/>
      <w:lvlJc w:val="left"/>
    </w:lvl>
    <w:lvl w:ilvl="2" w:tplc="5686DEA0">
      <w:numFmt w:val="decimal"/>
      <w:lvlText w:val=""/>
      <w:lvlJc w:val="left"/>
    </w:lvl>
    <w:lvl w:ilvl="3" w:tplc="3FB44628">
      <w:numFmt w:val="decimal"/>
      <w:lvlText w:val=""/>
      <w:lvlJc w:val="left"/>
    </w:lvl>
    <w:lvl w:ilvl="4" w:tplc="E3DAAFA4">
      <w:numFmt w:val="decimal"/>
      <w:lvlText w:val=""/>
      <w:lvlJc w:val="left"/>
    </w:lvl>
    <w:lvl w:ilvl="5" w:tplc="DC56479C">
      <w:numFmt w:val="decimal"/>
      <w:lvlText w:val=""/>
      <w:lvlJc w:val="left"/>
    </w:lvl>
    <w:lvl w:ilvl="6" w:tplc="9076AB82">
      <w:numFmt w:val="decimal"/>
      <w:lvlText w:val=""/>
      <w:lvlJc w:val="left"/>
    </w:lvl>
    <w:lvl w:ilvl="7" w:tplc="3B98832C">
      <w:numFmt w:val="decimal"/>
      <w:lvlText w:val=""/>
      <w:lvlJc w:val="left"/>
    </w:lvl>
    <w:lvl w:ilvl="8" w:tplc="ACAA6C66">
      <w:numFmt w:val="decimal"/>
      <w:lvlText w:val=""/>
      <w:lvlJc w:val="left"/>
    </w:lvl>
  </w:abstractNum>
  <w:abstractNum w:abstractNumId="4" w15:restartNumberingAfterBreak="0">
    <w:nsid w:val="7062310C"/>
    <w:multiLevelType w:val="hybridMultilevel"/>
    <w:tmpl w:val="FFFFFFFF"/>
    <w:lvl w:ilvl="0" w:tplc="C0BA2DF6">
      <w:start w:val="1"/>
      <w:numFmt w:val="bullet"/>
      <w:lvlText w:val="●"/>
      <w:lvlJc w:val="left"/>
      <w:pPr>
        <w:ind w:left="720" w:hanging="360"/>
      </w:pPr>
    </w:lvl>
    <w:lvl w:ilvl="1" w:tplc="7DEAF306">
      <w:start w:val="1"/>
      <w:numFmt w:val="bullet"/>
      <w:lvlText w:val="○"/>
      <w:lvlJc w:val="left"/>
      <w:pPr>
        <w:ind w:left="1440" w:hanging="360"/>
      </w:pPr>
    </w:lvl>
    <w:lvl w:ilvl="2" w:tplc="C01A3B6E">
      <w:start w:val="1"/>
      <w:numFmt w:val="bullet"/>
      <w:lvlText w:val="■"/>
      <w:lvlJc w:val="left"/>
      <w:pPr>
        <w:ind w:left="2160" w:hanging="360"/>
      </w:pPr>
    </w:lvl>
    <w:lvl w:ilvl="3" w:tplc="668EAB10">
      <w:start w:val="1"/>
      <w:numFmt w:val="bullet"/>
      <w:lvlText w:val="●"/>
      <w:lvlJc w:val="left"/>
      <w:pPr>
        <w:ind w:left="2880" w:hanging="360"/>
      </w:pPr>
    </w:lvl>
    <w:lvl w:ilvl="4" w:tplc="1EECC7C4">
      <w:start w:val="1"/>
      <w:numFmt w:val="bullet"/>
      <w:lvlText w:val="○"/>
      <w:lvlJc w:val="left"/>
      <w:pPr>
        <w:ind w:left="3600" w:hanging="360"/>
      </w:pPr>
    </w:lvl>
    <w:lvl w:ilvl="5" w:tplc="41A24986">
      <w:start w:val="1"/>
      <w:numFmt w:val="bullet"/>
      <w:lvlText w:val="■"/>
      <w:lvlJc w:val="left"/>
      <w:pPr>
        <w:ind w:left="4320" w:hanging="360"/>
      </w:pPr>
    </w:lvl>
    <w:lvl w:ilvl="6" w:tplc="06DED208">
      <w:start w:val="1"/>
      <w:numFmt w:val="bullet"/>
      <w:lvlText w:val="●"/>
      <w:lvlJc w:val="left"/>
      <w:pPr>
        <w:ind w:left="5040" w:hanging="360"/>
      </w:pPr>
    </w:lvl>
    <w:lvl w:ilvl="7" w:tplc="04CE91A4">
      <w:start w:val="1"/>
      <w:numFmt w:val="bullet"/>
      <w:lvlText w:val="●"/>
      <w:lvlJc w:val="left"/>
      <w:pPr>
        <w:ind w:left="5760" w:hanging="360"/>
      </w:pPr>
    </w:lvl>
    <w:lvl w:ilvl="8" w:tplc="DFDA69A2">
      <w:start w:val="1"/>
      <w:numFmt w:val="bullet"/>
      <w:lvlText w:val="●"/>
      <w:lvlJc w:val="left"/>
      <w:pPr>
        <w:ind w:left="6480" w:hanging="360"/>
      </w:pPr>
    </w:lvl>
  </w:abstractNum>
  <w:abstractNum w:abstractNumId="5" w15:restartNumberingAfterBreak="0">
    <w:nsid w:val="7C18096E"/>
    <w:multiLevelType w:val="hybridMultilevel"/>
    <w:tmpl w:val="FFFFFFFF"/>
    <w:lvl w:ilvl="0" w:tplc="F64EC096">
      <w:start w:val="1"/>
      <w:numFmt w:val="decimal"/>
      <w:lvlText w:val="%1."/>
      <w:lvlJc w:val="right"/>
      <w:pPr>
        <w:bidi/>
        <w:ind w:right="720" w:hanging="360"/>
      </w:pPr>
    </w:lvl>
    <w:lvl w:ilvl="1" w:tplc="CB86753C">
      <w:numFmt w:val="decimal"/>
      <w:lvlText w:val=""/>
      <w:lvlJc w:val="left"/>
    </w:lvl>
    <w:lvl w:ilvl="2" w:tplc="0838BDD0">
      <w:numFmt w:val="decimal"/>
      <w:lvlText w:val=""/>
      <w:lvlJc w:val="left"/>
    </w:lvl>
    <w:lvl w:ilvl="3" w:tplc="5A3C3B02">
      <w:numFmt w:val="decimal"/>
      <w:lvlText w:val=""/>
      <w:lvlJc w:val="left"/>
    </w:lvl>
    <w:lvl w:ilvl="4" w:tplc="26747E1A">
      <w:numFmt w:val="decimal"/>
      <w:lvlText w:val=""/>
      <w:lvlJc w:val="left"/>
    </w:lvl>
    <w:lvl w:ilvl="5" w:tplc="1CBE1218">
      <w:numFmt w:val="decimal"/>
      <w:lvlText w:val=""/>
      <w:lvlJc w:val="left"/>
    </w:lvl>
    <w:lvl w:ilvl="6" w:tplc="6CC05954">
      <w:numFmt w:val="decimal"/>
      <w:lvlText w:val=""/>
      <w:lvlJc w:val="left"/>
    </w:lvl>
    <w:lvl w:ilvl="7" w:tplc="88D8719E">
      <w:numFmt w:val="decimal"/>
      <w:lvlText w:val=""/>
      <w:lvlJc w:val="left"/>
    </w:lvl>
    <w:lvl w:ilvl="8" w:tplc="22A6969A">
      <w:numFmt w:val="decimal"/>
      <w:lvlText w:val=""/>
      <w:lvlJc w:val="left"/>
    </w:lvl>
  </w:abstractNum>
  <w:num w:numId="1" w16cid:durableId="78528230">
    <w:abstractNumId w:val="4"/>
    <w:lvlOverride w:ilvl="0">
      <w:startOverride w:val="1"/>
    </w:lvlOverride>
  </w:num>
  <w:num w:numId="2" w16cid:durableId="1827742527">
    <w:abstractNumId w:val="1"/>
    <w:lvlOverride w:ilvl="0">
      <w:startOverride w:val="1"/>
    </w:lvlOverride>
  </w:num>
  <w:num w:numId="3" w16cid:durableId="1491750696">
    <w:abstractNumId w:val="2"/>
    <w:lvlOverride w:ilvl="0">
      <w:startOverride w:val="1"/>
    </w:lvlOverride>
  </w:num>
  <w:num w:numId="4" w16cid:durableId="1939486618">
    <w:abstractNumId w:val="5"/>
    <w:lvlOverride w:ilvl="0">
      <w:startOverride w:val="1"/>
    </w:lvlOverride>
  </w:num>
  <w:num w:numId="5" w16cid:durableId="558368760">
    <w:abstractNumId w:val="3"/>
    <w:lvlOverride w:ilvl="0">
      <w:startOverride w:val="1"/>
    </w:lvlOverride>
  </w:num>
  <w:num w:numId="6" w16cid:durableId="20966330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7"/>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56A"/>
    <w:rsid w:val="00435B2D"/>
    <w:rsid w:val="00820B1E"/>
    <w:rsid w:val="00B60EA1"/>
    <w:rsid w:val="00EC2816"/>
    <w:rsid w:val="00F905E6"/>
    <w:rsid w:val="00FC05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539A330"/>
  <w15:docId w15:val="{A014A784-ABF2-0041-9A27-381BD049B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color w:val="111111"/>
        <w:sz w:val="26"/>
        <w:szCs w:val="26"/>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3633</Words>
  <Characters>20712</Characters>
  <Application>Microsoft Office Word</Application>
  <DocSecurity>0</DocSecurity>
  <Lines>172</Lines>
  <Paragraphs>48</Paragraphs>
  <ScaleCrop>false</ScaleCrop>
  <Company/>
  <LinksUpToDate>false</LinksUpToDate>
  <CharactersWithSpaces>24297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4</cp:revision>
  <dcterms:created xsi:type="dcterms:W3CDTF">2026-05-15T11:57:00Z</dcterms:created>
  <dcterms:modified xsi:type="dcterms:W3CDTF">2026-05-15T15:37:00Z</dcterms:modified>
</cp:coreProperties>
</file>