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1611A" w14:textId="77777777" w:rsidR="005102BB" w:rsidRDefault="005102BB">
      <w:pPr>
        <w:spacing w:after="500"/>
        <w:rPr>
          <w:rFonts w:cs="Arial" w:hint="cs"/>
        </w:rPr>
      </w:pPr>
    </w:p>
    <w:p w14:paraId="3F26F5D7" w14:textId="77777777" w:rsidR="005102BB" w:rsidRDefault="00B95738">
      <w:pPr>
        <w:spacing w:after="200"/>
        <w:jc w:val="center"/>
        <w:rPr>
          <w:rFonts w:cs="Arial"/>
        </w:rPr>
      </w:pPr>
      <w:r>
        <w:rPr>
          <w:b/>
          <w:bCs/>
          <w:color w:val="0F6B6B"/>
        </w:rPr>
        <w:t>قسيم نقدي موسّع</w:t>
      </w:r>
    </w:p>
    <w:p w14:paraId="54B21950" w14:textId="77777777" w:rsidR="005102BB" w:rsidRDefault="00B95738">
      <w:pPr>
        <w:spacing w:before="200" w:after="120"/>
        <w:jc w:val="center"/>
        <w:rPr>
          <w:rFonts w:cs="Arial"/>
        </w:rPr>
      </w:pPr>
      <w:r>
        <w:rPr>
          <w:b/>
          <w:bCs/>
          <w:color w:val="1B2A4A"/>
          <w:sz w:val="40"/>
          <w:szCs w:val="40"/>
        </w:rPr>
        <w:t>إشكاليات المشروعية والتوظيف الأيديولوجي</w:t>
      </w:r>
    </w:p>
    <w:p w14:paraId="4F81F498" w14:textId="741BD71D" w:rsidR="005102BB" w:rsidRDefault="00B95738">
      <w:pPr>
        <w:spacing w:after="300"/>
        <w:jc w:val="center"/>
        <w:rPr>
          <w:rFonts w:cs="Arial"/>
        </w:rPr>
      </w:pPr>
      <w:r>
        <w:rPr>
          <w:b/>
          <w:bCs/>
          <w:color w:val="1B2A4A"/>
          <w:sz w:val="28"/>
          <w:szCs w:val="28"/>
        </w:rPr>
        <w:t>في علم النفس الاستخلافي : قراءة نقدية  في ضوء الجابري وحسن حنفي وأبو زيد وطه عبد الرحمن</w:t>
      </w:r>
    </w:p>
    <w:p w14:paraId="47913F96" w14:textId="146D2CC1" w:rsidR="005102BB" w:rsidRDefault="00B95738">
      <w:pPr>
        <w:pBdr>
          <w:top w:val="single" w:sz="8" w:space="10" w:color="B8912F"/>
          <w:bottom w:val="single" w:sz="8" w:space="10" w:color="B8912F"/>
        </w:pBdr>
        <w:spacing w:after="500"/>
        <w:jc w:val="center"/>
        <w:rPr>
          <w:rFonts w:cs="Arial"/>
        </w:rPr>
      </w:pPr>
      <w:r>
        <w:rPr>
          <w:i/>
          <w:iCs/>
          <w:color w:val="0F6B6B"/>
          <w:sz w:val="24"/>
          <w:szCs w:val="24"/>
        </w:rPr>
        <w:t xml:space="preserve">  تعميق نقدي رباعي المصادر مع موازنة معيارية ختامية</w:t>
      </w:r>
    </w:p>
    <w:p w14:paraId="2A414B90" w14:textId="77777777" w:rsidR="005102BB" w:rsidRDefault="005102BB">
      <w:pPr>
        <w:spacing w:after="3000"/>
        <w:rPr>
          <w:rFonts w:cs="Arial"/>
        </w:rPr>
      </w:pPr>
    </w:p>
    <w:p w14:paraId="25FCA6A2" w14:textId="77777777" w:rsidR="005102BB" w:rsidRDefault="00B95738">
      <w:pPr>
        <w:jc w:val="center"/>
        <w:rPr>
          <w:rFonts w:cs="Arial"/>
        </w:rPr>
      </w:pPr>
      <w:r>
        <w:rPr>
          <w:color w:val="1B2A4A"/>
          <w:sz w:val="22"/>
          <w:szCs w:val="22"/>
        </w:rPr>
        <w:t>1447هـ / 2026م</w:t>
      </w:r>
    </w:p>
    <w:p w14:paraId="68916E17" w14:textId="77777777" w:rsidR="005102BB" w:rsidRDefault="00B95738">
      <w:pPr>
        <w:rPr>
          <w:rFonts w:cs="Arial"/>
        </w:rPr>
      </w:pPr>
      <w:r>
        <w:br w:type="page"/>
      </w:r>
    </w:p>
    <w:p w14:paraId="2E394F02" w14:textId="3B5A9C57" w:rsidR="005102BB" w:rsidRDefault="00B95738">
      <w:pPr>
        <w:pStyle w:val="1"/>
        <w:pBdr>
          <w:bottom w:val="single" w:sz="12" w:space="8" w:color="B8912F"/>
        </w:pBdr>
        <w:bidi/>
        <w:spacing w:before="480" w:after="280"/>
        <w:jc w:val="center"/>
        <w:rPr>
          <w:rFonts w:cs="Arial"/>
        </w:rPr>
      </w:pPr>
      <w:r>
        <w:rPr>
          <w:b/>
          <w:bCs/>
          <w:color w:val="1B2A4A"/>
          <w:sz w:val="34"/>
          <w:szCs w:val="34"/>
        </w:rPr>
        <w:t>تمهيد : في ضرورة النقد الداخلي – لماذا لا يكفي أن يكون المشروع «إسلاميًا» ليكون «علميًا»؟</w:t>
      </w:r>
    </w:p>
    <w:p w14:paraId="6798D3B8" w14:textId="77777777" w:rsidR="005102BB" w:rsidRDefault="00B95738">
      <w:pPr>
        <w:spacing w:after="200" w:line="380" w:lineRule="auto"/>
        <w:jc w:val="both"/>
        <w:rPr>
          <w:rFonts w:cs="Arial"/>
        </w:rPr>
      </w:pPr>
      <w:r>
        <w:rPr>
          <w:color w:val="1A1A1A"/>
        </w:rPr>
        <w:t>يمثل مشروع «علم النفس الاستخلافي» محاولة معاصرة لتجاوز المادية التي يرى البعض أنها تهيمن على علم النفس الغربي، وذلك عبر تأسيس مقاربة نفسية تستند إلى الرؤية الكونية الإسلامية ومفهوم الاستخلاف. يهدف هذا المشروع إلى تقديم نموذج معرفي وعلاجي بديل، يستلهم مفاهيمه من التراث الإسلامي ويوظفها في فهم السلوك البشري وعلاجه. ومع ذلك، فإن هذا المشروع الطموح لا يخلو من تحديات نقدية وفلسفية عميقة، خاصة فيما يتعلق بـ«مشروعيته» العلمية وإمكانية «توظيفه الأيديولوجي».</w:t>
      </w:r>
    </w:p>
    <w:p w14:paraId="6CFF2B6F" w14:textId="77777777" w:rsidR="005102BB" w:rsidRDefault="00B95738">
      <w:pPr>
        <w:spacing w:after="200" w:line="380" w:lineRule="auto"/>
        <w:jc w:val="both"/>
        <w:rPr>
          <w:rFonts w:cs="Arial"/>
        </w:rPr>
      </w:pPr>
      <w:r>
        <w:rPr>
          <w:color w:val="1A1A1A"/>
        </w:rPr>
        <w:t xml:space="preserve">وقيمة هذا القسيم النقدي — بوصفه ملحقًا ضروريًا لأي مشروع معرفي جاد — لا تكمن في كونه هجومًا خارجيًا على المشروع الاستخلافي، بل في كونه امتحانًا داخليًا لصلابته: فالمشروع الذي يدّعي أنه يقدم «قطيعة </w:t>
      </w:r>
      <w:proofErr w:type="spellStart"/>
      <w:r>
        <w:rPr>
          <w:color w:val="1A1A1A"/>
        </w:rPr>
        <w:t>إبستمولوجية</w:t>
      </w:r>
      <w:proofErr w:type="spellEnd"/>
      <w:r>
        <w:rPr>
          <w:color w:val="1A1A1A"/>
        </w:rPr>
        <w:t xml:space="preserve">» حقيقية مع الوضعية الغربية، مُطالَب أولاً بأن يثبت أنه لا يقع بدوره في أسر «أيديولوجيا مضادة» تستبدل استبداد المادة باستبداد النص </w:t>
      </w:r>
      <w:proofErr w:type="spellStart"/>
      <w:r>
        <w:rPr>
          <w:color w:val="1A1A1A"/>
        </w:rPr>
        <w:t>المجتزأ</w:t>
      </w:r>
      <w:proofErr w:type="spellEnd"/>
      <w:r>
        <w:rPr>
          <w:color w:val="1A1A1A"/>
        </w:rPr>
        <w:t xml:space="preserve"> من سياقه، أو تستبدل تسليع الإنسان في السوق الرأسمالي بتدجينه في منظومة دينية توظف الوعظ لتبرير القهر القائم. وهذا الامتحان لا يمكن إجراؤه بأدوات دفاعية من داخل المشروع نفسه، بل يستلزم الاستعانة </w:t>
      </w:r>
      <w:proofErr w:type="spellStart"/>
      <w:r>
        <w:rPr>
          <w:color w:val="1A1A1A"/>
        </w:rPr>
        <w:t>بأعتى</w:t>
      </w:r>
      <w:proofErr w:type="spellEnd"/>
      <w:r>
        <w:rPr>
          <w:color w:val="1A1A1A"/>
        </w:rPr>
        <w:t xml:space="preserve"> النقّاد الذين طوّروا آليات تفكيك الخطاب الديني والأيديولوجي في السياق العربي المعاصر، وأبرزهم أربعة: محمد عابد الجابري وحسن حنفي في نقد بنية العقل وتوظيف النص، ونصر حامد أبو زيد في نقد آليات تحويل النص التاريخي إلى مطلق معرفي، وطه عبد الرحمن في محاولته التأسيسية لأخلاق ائتمانية إسلامية أصيلة تقدّم — من موقع مختلف تمامًا — نقدًا للحداثة الغربية ذاتها لا يقل صرامة عن نقد الجابري وحنفي للتراث.</w:t>
      </w:r>
    </w:p>
    <w:p w14:paraId="14322941" w14:textId="77777777" w:rsidR="005102BB" w:rsidRDefault="00B95738">
      <w:pPr>
        <w:spacing w:after="200" w:line="380" w:lineRule="auto"/>
        <w:jc w:val="both"/>
        <w:rPr>
          <w:rFonts w:cs="Arial"/>
        </w:rPr>
      </w:pPr>
      <w:r>
        <w:rPr>
          <w:color w:val="1A1A1A"/>
        </w:rPr>
        <w:t>يتناول هذا التحليل النقدي الموسّع إشكاليات المشروعية والتوظيف الأيديولوجي لعلم النفس الاستخلافي، مستندًا في طبعته الأولى إلى أطروحات الجابري وحنفي، ومضيفًا في هذه الطبعة الموسّعة قراءتين أساسيتين أخريين: قراءة أبو زيد لآليات «تسييج النص» وتحويله من حدث تاريخي إلى مطلق ميتافيزيقي، وقراءة طه عبد الرحمن التي تفتح أفقًا مغايرًا يسمح بموازنة أكثر إنصافًا بين النقد الهدّام والنقد البنّاء. وتُختتم الدراسة بمحاولة تأسيسية لصياغة معايير إجرائية تفصل بين «التوظيف الأيديولوجي» المرفوض و«التأصيل المعرفي المشروع»، بما يجعل هذا القسيم النقدي أداة تقويم لا مجرد سردٍ للاعتراضات.</w:t>
      </w:r>
    </w:p>
    <w:p w14:paraId="636553B1" w14:textId="77777777" w:rsidR="005102BB" w:rsidRDefault="00B95738">
      <w:pPr>
        <w:rPr>
          <w:rFonts w:cs="Arial"/>
        </w:rPr>
      </w:pPr>
      <w:r>
        <w:br w:type="page"/>
      </w:r>
    </w:p>
    <w:p w14:paraId="4148862A" w14:textId="77777777" w:rsidR="005102BB" w:rsidRDefault="00B95738">
      <w:pPr>
        <w:pStyle w:val="1"/>
        <w:pBdr>
          <w:bottom w:val="single" w:sz="12" w:space="8" w:color="B8912F"/>
        </w:pBdr>
        <w:bidi/>
        <w:spacing w:before="480" w:after="280"/>
        <w:jc w:val="center"/>
        <w:rPr>
          <w:rFonts w:cs="Arial"/>
        </w:rPr>
      </w:pPr>
      <w:r>
        <w:rPr>
          <w:b/>
          <w:bCs/>
          <w:color w:val="1B2A4A"/>
          <w:sz w:val="34"/>
          <w:szCs w:val="34"/>
        </w:rPr>
        <w:t xml:space="preserve">١. نقد «العقل </w:t>
      </w:r>
      <w:proofErr w:type="spellStart"/>
      <w:r>
        <w:rPr>
          <w:b/>
          <w:bCs/>
          <w:color w:val="1B2A4A"/>
          <w:sz w:val="34"/>
          <w:szCs w:val="34"/>
        </w:rPr>
        <w:t>العرفاني</w:t>
      </w:r>
      <w:proofErr w:type="spellEnd"/>
      <w:r>
        <w:rPr>
          <w:b/>
          <w:bCs/>
          <w:color w:val="1B2A4A"/>
          <w:sz w:val="34"/>
          <w:szCs w:val="34"/>
        </w:rPr>
        <w:t>» ومأزق المشروعية (استنادًا إلى محمد عابد الجابري)</w:t>
      </w:r>
    </w:p>
    <w:p w14:paraId="164FE36F" w14:textId="77777777" w:rsidR="005102BB" w:rsidRDefault="00B95738">
      <w:pPr>
        <w:pStyle w:val="2"/>
        <w:bidi/>
        <w:spacing w:before="360" w:after="200"/>
        <w:jc w:val="right"/>
        <w:rPr>
          <w:rFonts w:cs="Arial"/>
        </w:rPr>
      </w:pPr>
      <w:r>
        <w:rPr>
          <w:b/>
          <w:bCs/>
          <w:color w:val="0F6B6B"/>
          <w:sz w:val="28"/>
          <w:szCs w:val="28"/>
        </w:rPr>
        <w:t xml:space="preserve">١.١ البنية الثلاثية للعقل العربي: البياني </w:t>
      </w:r>
      <w:proofErr w:type="spellStart"/>
      <w:r>
        <w:rPr>
          <w:b/>
          <w:bCs/>
          <w:color w:val="0F6B6B"/>
          <w:sz w:val="28"/>
          <w:szCs w:val="28"/>
        </w:rPr>
        <w:t>والعرفاني</w:t>
      </w:r>
      <w:proofErr w:type="spellEnd"/>
      <w:r>
        <w:rPr>
          <w:b/>
          <w:bCs/>
          <w:color w:val="0F6B6B"/>
          <w:sz w:val="28"/>
          <w:szCs w:val="28"/>
        </w:rPr>
        <w:t xml:space="preserve"> والبرهاني</w:t>
      </w:r>
    </w:p>
    <w:p w14:paraId="11D4DB90" w14:textId="77777777" w:rsidR="005102BB" w:rsidRDefault="00B95738">
      <w:pPr>
        <w:spacing w:after="200" w:line="380" w:lineRule="auto"/>
        <w:jc w:val="both"/>
        <w:rPr>
          <w:rFonts w:cs="Arial"/>
        </w:rPr>
      </w:pPr>
      <w:r>
        <w:rPr>
          <w:color w:val="1A1A1A"/>
        </w:rPr>
        <w:t xml:space="preserve">قدم المفكر المغربي محمد عابد الجابري في مشروعه الرائد «نقد العقل العربي» تحليلًا معمقًا لبنية العقل العربي، مميزًا بين ثلاثة أنظمة معرفية رئيسية: العقل البياني، والعقل </w:t>
      </w:r>
      <w:proofErr w:type="spellStart"/>
      <w:r>
        <w:rPr>
          <w:color w:val="1A1A1A"/>
        </w:rPr>
        <w:t>العرفاني</w:t>
      </w:r>
      <w:proofErr w:type="spellEnd"/>
      <w:r>
        <w:rPr>
          <w:color w:val="1A1A1A"/>
        </w:rPr>
        <w:t xml:space="preserve">، والعقل البرهاني [1]. يرى الجابري أن العقل البياني يقوم على سلطة النص واللغة والقياس الفقهي، بينما يعتمد العقل </w:t>
      </w:r>
      <w:proofErr w:type="spellStart"/>
      <w:r>
        <w:rPr>
          <w:color w:val="1A1A1A"/>
        </w:rPr>
        <w:t>العرفاني</w:t>
      </w:r>
      <w:proofErr w:type="spellEnd"/>
      <w:r>
        <w:rPr>
          <w:color w:val="1A1A1A"/>
        </w:rPr>
        <w:t xml:space="preserve"> على الكشف والإشراق والتأويل الباطني، وهو ما انتقده الجابري بشدة كونه يعطل العقل والسببية ويقود إلى </w:t>
      </w:r>
      <w:proofErr w:type="spellStart"/>
      <w:r>
        <w:rPr>
          <w:color w:val="1A1A1A"/>
        </w:rPr>
        <w:t>اللاتاريخية</w:t>
      </w:r>
      <w:proofErr w:type="spellEnd"/>
      <w:r>
        <w:rPr>
          <w:color w:val="1A1A1A"/>
        </w:rPr>
        <w:t xml:space="preserve"> [2]. أما العقل البرهاني، فيقوم على الاستدلال العقلي والملاحظة والتجريب، وهو ما دعا الجابري إلى سيادته في التعامل مع العلوم الإنسانية والطبيعية.</w:t>
      </w:r>
    </w:p>
    <w:p w14:paraId="2DF7ECAB" w14:textId="77777777" w:rsidR="005102BB" w:rsidRDefault="00B95738">
      <w:pPr>
        <w:spacing w:after="200" w:line="380" w:lineRule="auto"/>
        <w:jc w:val="both"/>
        <w:rPr>
          <w:rFonts w:cs="Arial"/>
        </w:rPr>
      </w:pPr>
      <w:r>
        <w:rPr>
          <w:color w:val="1A1A1A"/>
        </w:rPr>
        <w:t xml:space="preserve">ولا بد من التذكير هنا بالخلفية </w:t>
      </w:r>
      <w:proofErr w:type="spellStart"/>
      <w:r>
        <w:rPr>
          <w:color w:val="1A1A1A"/>
        </w:rPr>
        <w:t>الإبستمولوجية</w:t>
      </w:r>
      <w:proofErr w:type="spellEnd"/>
      <w:r>
        <w:rPr>
          <w:color w:val="1A1A1A"/>
        </w:rPr>
        <w:t xml:space="preserve"> الفرنسية التي استقى منها الجابري أدواته النقدية، وتحديدًا مفهوم «القطيعة </w:t>
      </w:r>
      <w:proofErr w:type="spellStart"/>
      <w:r>
        <w:rPr>
          <w:color w:val="1A1A1A"/>
        </w:rPr>
        <w:t>الإبستمولوجية</w:t>
      </w:r>
      <w:proofErr w:type="spellEnd"/>
      <w:r>
        <w:rPr>
          <w:color w:val="1A1A1A"/>
        </w:rPr>
        <w:t xml:space="preserve">» عند </w:t>
      </w:r>
      <w:proofErr w:type="spellStart"/>
      <w:r>
        <w:rPr>
          <w:color w:val="1A1A1A"/>
        </w:rPr>
        <w:t>غاستون</w:t>
      </w:r>
      <w:proofErr w:type="spellEnd"/>
      <w:r>
        <w:rPr>
          <w:color w:val="1A1A1A"/>
        </w:rPr>
        <w:t xml:space="preserve"> </w:t>
      </w:r>
      <w:proofErr w:type="spellStart"/>
      <w:r>
        <w:rPr>
          <w:color w:val="1A1A1A"/>
        </w:rPr>
        <w:t>باشلار</w:t>
      </w:r>
      <w:proofErr w:type="spellEnd"/>
      <w:r>
        <w:rPr>
          <w:color w:val="1A1A1A"/>
        </w:rPr>
        <w:t xml:space="preserve"> ولوي </w:t>
      </w:r>
      <w:proofErr w:type="spellStart"/>
      <w:r>
        <w:rPr>
          <w:color w:val="1A1A1A"/>
        </w:rPr>
        <w:t>ألتوسير</w:t>
      </w:r>
      <w:proofErr w:type="spellEnd"/>
      <w:r>
        <w:rPr>
          <w:color w:val="1A1A1A"/>
        </w:rPr>
        <w:t xml:space="preserve">، الذي وظّفه الجابري بدقة شديدة حين طالب بـ«قطيعة» مع البنية </w:t>
      </w:r>
      <w:proofErr w:type="spellStart"/>
      <w:r>
        <w:rPr>
          <w:color w:val="1A1A1A"/>
        </w:rPr>
        <w:t>العرفانية</w:t>
      </w:r>
      <w:proofErr w:type="spellEnd"/>
      <w:r>
        <w:rPr>
          <w:color w:val="1A1A1A"/>
        </w:rPr>
        <w:t xml:space="preserve"> للعقل العربي بوصفها عائقًا </w:t>
      </w:r>
      <w:proofErr w:type="spellStart"/>
      <w:r>
        <w:rPr>
          <w:color w:val="1A1A1A"/>
        </w:rPr>
        <w:t>إبستمولوجيًا</w:t>
      </w:r>
      <w:proofErr w:type="spellEnd"/>
      <w:r>
        <w:rPr>
          <w:color w:val="1A1A1A"/>
        </w:rPr>
        <w:t xml:space="preserve"> (</w:t>
      </w:r>
      <w:proofErr w:type="spellStart"/>
      <w:r>
        <w:rPr>
          <w:color w:val="1A1A1A"/>
        </w:rPr>
        <w:t>Obstacle</w:t>
      </w:r>
      <w:proofErr w:type="spellEnd"/>
      <w:r>
        <w:rPr>
          <w:color w:val="1A1A1A"/>
        </w:rPr>
        <w:t xml:space="preserve"> </w:t>
      </w:r>
      <w:proofErr w:type="spellStart"/>
      <w:r>
        <w:rPr>
          <w:color w:val="1A1A1A"/>
        </w:rPr>
        <w:t>Épistémologique</w:t>
      </w:r>
      <w:proofErr w:type="spellEnd"/>
      <w:r>
        <w:rPr>
          <w:color w:val="1A1A1A"/>
        </w:rPr>
        <w:t xml:space="preserve">) يعيق أي تأسيس علمي جاد، تمامًا كما كانت الخبرة الحسية المباشرة غير المُراقَبة عائقًا أمام نشوء الفيزياء الحديثة عند </w:t>
      </w:r>
      <w:proofErr w:type="spellStart"/>
      <w:r>
        <w:rPr>
          <w:color w:val="1A1A1A"/>
        </w:rPr>
        <w:t>باشلار</w:t>
      </w:r>
      <w:proofErr w:type="spellEnd"/>
      <w:r>
        <w:rPr>
          <w:color w:val="1A1A1A"/>
        </w:rPr>
        <w:t xml:space="preserve">. وهذا التوظيف يضع الجابري، من حيث لا يقصد أصحاب المشروع الاستخلافي بالضرورة، في موقع الخصم المباشر لمصطلح «القطيعة </w:t>
      </w:r>
      <w:proofErr w:type="spellStart"/>
      <w:r>
        <w:rPr>
          <w:color w:val="1A1A1A"/>
        </w:rPr>
        <w:t>الإبستمولوجية</w:t>
      </w:r>
      <w:proofErr w:type="spellEnd"/>
      <w:r>
        <w:rPr>
          <w:color w:val="1A1A1A"/>
        </w:rPr>
        <w:t xml:space="preserve">» ذاته الذي يتبناه الزراع؛ لأن الجابري يطالب بقطيعة مع منطق الكشف والتأويل الباطني، بينما يطالب الزراع بقطيعة مع منطق الإغلاق المادي — وكلاهما يستخدم المصطلح ذاته لغايتين متعاكستين تمامًا، وهو ما يستوجب من المشروع الاستخلافي أن يوضح صراحة موقفه من نقد الجابري </w:t>
      </w:r>
      <w:proofErr w:type="spellStart"/>
      <w:r>
        <w:rPr>
          <w:color w:val="1A1A1A"/>
        </w:rPr>
        <w:t>للعرفانية</w:t>
      </w:r>
      <w:proofErr w:type="spellEnd"/>
      <w:r>
        <w:rPr>
          <w:color w:val="1A1A1A"/>
        </w:rPr>
        <w:t xml:space="preserve"> قبل أن يستعير مصطلحه النقدي لغرض مغاير.</w:t>
      </w:r>
    </w:p>
    <w:p w14:paraId="1B3F2F4B" w14:textId="77777777" w:rsidR="005102BB" w:rsidRDefault="00B95738">
      <w:pPr>
        <w:pStyle w:val="2"/>
        <w:bidi/>
        <w:spacing w:before="360" w:after="200"/>
        <w:jc w:val="right"/>
        <w:rPr>
          <w:rFonts w:cs="Arial"/>
        </w:rPr>
      </w:pPr>
      <w:r>
        <w:rPr>
          <w:b/>
          <w:bCs/>
          <w:color w:val="0F6B6B"/>
          <w:sz w:val="28"/>
          <w:szCs w:val="28"/>
        </w:rPr>
        <w:t>١.٢ إشكالية «تسخير المقدس لتقديس العلم»</w:t>
      </w:r>
    </w:p>
    <w:p w14:paraId="62061B8C" w14:textId="77777777" w:rsidR="005102BB" w:rsidRDefault="00B95738">
      <w:pPr>
        <w:spacing w:after="200" w:line="380" w:lineRule="auto"/>
        <w:jc w:val="both"/>
        <w:rPr>
          <w:rFonts w:cs="Arial"/>
        </w:rPr>
      </w:pPr>
      <w:r>
        <w:rPr>
          <w:color w:val="1A1A1A"/>
        </w:rPr>
        <w:t>من هذا المنطلق، يمكن توجيه نقد مزدوج للمشروع الاستخلافي، يتمحور حول إشكالية «تسخير المقدس لتقديس العلم» [3].</w:t>
      </w:r>
    </w:p>
    <w:p w14:paraId="1F5BB8C1" w14:textId="77777777" w:rsidR="005102BB" w:rsidRDefault="00B95738">
      <w:pPr>
        <w:pStyle w:val="3"/>
        <w:bidi/>
        <w:spacing w:before="260" w:after="160"/>
        <w:jc w:val="right"/>
        <w:rPr>
          <w:rFonts w:cs="Arial"/>
        </w:rPr>
      </w:pPr>
      <w:r>
        <w:rPr>
          <w:b/>
          <w:bCs/>
          <w:color w:val="B8912F"/>
          <w:sz w:val="25"/>
          <w:szCs w:val="25"/>
        </w:rPr>
        <w:t xml:space="preserve">١.٢.١ </w:t>
      </w:r>
      <w:proofErr w:type="spellStart"/>
      <w:r>
        <w:rPr>
          <w:b/>
          <w:bCs/>
          <w:color w:val="B8912F"/>
          <w:sz w:val="25"/>
          <w:szCs w:val="25"/>
        </w:rPr>
        <w:t>اللاتاريخية</w:t>
      </w:r>
      <w:proofErr w:type="spellEnd"/>
      <w:r>
        <w:rPr>
          <w:b/>
          <w:bCs/>
          <w:color w:val="B8912F"/>
          <w:sz w:val="25"/>
          <w:szCs w:val="25"/>
        </w:rPr>
        <w:t xml:space="preserve"> في توظيف النص</w:t>
      </w:r>
    </w:p>
    <w:p w14:paraId="1CCB975C" w14:textId="77777777" w:rsidR="005102BB" w:rsidRDefault="00B95738">
      <w:pPr>
        <w:spacing w:after="180" w:line="380" w:lineRule="auto"/>
        <w:ind w:left="360"/>
        <w:jc w:val="both"/>
        <w:rPr>
          <w:rFonts w:cs="Arial"/>
        </w:rPr>
      </w:pPr>
      <w:r>
        <w:rPr>
          <w:b/>
          <w:bCs/>
          <w:color w:val="B8912F"/>
        </w:rPr>
        <w:t xml:space="preserve">◈  </w:t>
      </w:r>
      <w:r>
        <w:rPr>
          <w:color w:val="1A1A1A"/>
        </w:rPr>
        <w:t>يحذر الجابري من خطورة انتزاع المفاهيم الدينية من سياقاتها التاريخية والاجتماعية وتحويلها إلى مجرد «تقنيات» علاجية. فعملية «استخلاف» مفاهيم مثل التوكل والصبر من سياقها النصي وتحويلها مباشرة إلى أدوات علاجية، تُغفل البعد التاريخي لتشكل هذه المفاهيم وتطورها. هذا الفصل التعسفي يحول النص الديني من «خطاب هداية» مفتوح على إشكاليات الواقع إلى «موضوع للاستثمار النفسي» أو «مخزن للتقنيات»، مما يجعله عرضة لتبرير الوضع القائم بدلاً من نقده أو السعي لتغييره [3].</w:t>
      </w:r>
    </w:p>
    <w:p w14:paraId="497A76B1" w14:textId="77777777" w:rsidR="005102BB" w:rsidRDefault="00B95738">
      <w:pPr>
        <w:spacing w:after="200" w:line="380" w:lineRule="auto"/>
        <w:jc w:val="both"/>
        <w:rPr>
          <w:rFonts w:cs="Arial"/>
        </w:rPr>
      </w:pPr>
      <w:r>
        <w:rPr>
          <w:color w:val="1A1A1A"/>
        </w:rPr>
        <w:t>ويمكن تعميق هذا الاعتراض بالتمييز — وهو تمييز أصيل عند الجابري نفسه في تحليله للتراث — بين ثلاثة مستويات ممكنة لتعامل أي مشروع معاصر مع المفهوم الديني التراثي: المستوى الأول هو «الاسترجاع» (</w:t>
      </w:r>
      <w:proofErr w:type="spellStart"/>
      <w:r>
        <w:rPr>
          <w:color w:val="1A1A1A"/>
        </w:rPr>
        <w:t>Restitution</w:t>
      </w:r>
      <w:proofErr w:type="spellEnd"/>
      <w:r>
        <w:rPr>
          <w:color w:val="1A1A1A"/>
        </w:rPr>
        <w:t xml:space="preserve">)، وفيه يُعاد إنتاج المفهوم </w:t>
      </w:r>
      <w:proofErr w:type="spellStart"/>
      <w:r>
        <w:rPr>
          <w:color w:val="1A1A1A"/>
        </w:rPr>
        <w:t>بحرفيته</w:t>
      </w:r>
      <w:proofErr w:type="spellEnd"/>
      <w:r>
        <w:rPr>
          <w:color w:val="1A1A1A"/>
        </w:rPr>
        <w:t xml:space="preserve"> التاريخية دون أي وعي نقدي بمساراته وتحولاته عبر تاريخ التفسير والفقه، وهذا هو أخطر مستوى لأنه يُقدّم بناء تاريخيًا متأخرًا (كمفهوم «التوكل» كما استقر عليه المتصوفة في القرن الرابع الهجري مثلًا) على أنه المعنى القرآني «الأصلي» المباشر. المستوى الثاني هو «الاستقراء التاريخي النقدي» (</w:t>
      </w:r>
      <w:proofErr w:type="spellStart"/>
      <w:r>
        <w:rPr>
          <w:color w:val="1A1A1A"/>
        </w:rPr>
        <w:t>Historical-Critical</w:t>
      </w:r>
      <w:proofErr w:type="spellEnd"/>
      <w:r>
        <w:rPr>
          <w:color w:val="1A1A1A"/>
        </w:rPr>
        <w:t xml:space="preserve"> </w:t>
      </w:r>
      <w:proofErr w:type="spellStart"/>
      <w:r>
        <w:rPr>
          <w:color w:val="1A1A1A"/>
        </w:rPr>
        <w:t>Retrieval</w:t>
      </w:r>
      <w:proofErr w:type="spellEnd"/>
      <w:r>
        <w:rPr>
          <w:color w:val="1A1A1A"/>
        </w:rPr>
        <w:t>)، وفيه يُعاد بناء مسار تشكل المفهوم عبر طبقاته التاريخية المتعاقبة قبل توظيفه، بحيث يُصرَّح بأن التوظيف المعاصر هو قراءة معينة ضمن قراءات ممكنة لا القراءة الوحيدة. أما المستوى الثالث، وهو الذي يطالب به الجابري ضمنًا، فهو «إعادة البناء البرهاني» (</w:t>
      </w:r>
      <w:proofErr w:type="spellStart"/>
      <w:r>
        <w:rPr>
          <w:color w:val="1A1A1A"/>
        </w:rPr>
        <w:t>Rational</w:t>
      </w:r>
      <w:proofErr w:type="spellEnd"/>
      <w:r>
        <w:rPr>
          <w:color w:val="1A1A1A"/>
        </w:rPr>
        <w:t xml:space="preserve"> </w:t>
      </w:r>
      <w:proofErr w:type="spellStart"/>
      <w:r>
        <w:rPr>
          <w:color w:val="1A1A1A"/>
        </w:rPr>
        <w:t>Reconstruction</w:t>
      </w:r>
      <w:proofErr w:type="spellEnd"/>
      <w:r>
        <w:rPr>
          <w:color w:val="1A1A1A"/>
        </w:rPr>
        <w:t xml:space="preserve">)، وفيه يُستخرج من المفهوم التراثي مضمونه العقلي القابل للتعميم بمعزل عن غلافه التاريخي الخاص، ليُختبر بمعايير برهانية مستقلة عن سلطة النص. والمساءلة المشروعة الموجهة إلى أدبيات المشروع الاستخلافي هي: أي هذه المستويات الثلاثة تعتمده فعليًا حين تنتقل من الآية أو الحديث إلى «التقنية العلاجية»؟ فغياب التصريح المنهجي بهذا الانتقال هو بيت القصيد في نقد </w:t>
      </w:r>
      <w:proofErr w:type="spellStart"/>
      <w:r>
        <w:rPr>
          <w:color w:val="1A1A1A"/>
        </w:rPr>
        <w:t>اللاتاريخية</w:t>
      </w:r>
      <w:proofErr w:type="spellEnd"/>
      <w:r>
        <w:rPr>
          <w:color w:val="1A1A1A"/>
        </w:rPr>
        <w:t xml:space="preserve"> [1، 2، 3].</w:t>
      </w:r>
    </w:p>
    <w:p w14:paraId="7A284F12" w14:textId="77777777" w:rsidR="005102BB" w:rsidRDefault="00B95738">
      <w:pPr>
        <w:pStyle w:val="3"/>
        <w:bidi/>
        <w:spacing w:before="260" w:after="160"/>
        <w:jc w:val="right"/>
        <w:rPr>
          <w:rFonts w:cs="Arial"/>
        </w:rPr>
      </w:pPr>
      <w:r>
        <w:rPr>
          <w:b/>
          <w:bCs/>
          <w:color w:val="B8912F"/>
          <w:sz w:val="25"/>
          <w:szCs w:val="25"/>
        </w:rPr>
        <w:t>١.٢.٢ التلفيق المنهجي لا التأسيس العلمي</w:t>
      </w:r>
    </w:p>
    <w:p w14:paraId="776E5F85" w14:textId="77777777" w:rsidR="005102BB" w:rsidRDefault="00B95738">
      <w:pPr>
        <w:spacing w:after="180" w:line="380" w:lineRule="auto"/>
        <w:ind w:left="360"/>
        <w:jc w:val="both"/>
        <w:rPr>
          <w:rFonts w:cs="Arial"/>
        </w:rPr>
      </w:pPr>
      <w:r>
        <w:rPr>
          <w:b/>
          <w:bCs/>
          <w:color w:val="B8912F"/>
        </w:rPr>
        <w:t xml:space="preserve">◈  </w:t>
      </w:r>
      <w:r>
        <w:rPr>
          <w:color w:val="1A1A1A"/>
        </w:rPr>
        <w:t xml:space="preserve">قد يُنظر إلى محاولة دمج مفاهيم الوحي مع أدوات العلاج السلوكي المعرفي (التي هي نتاج سياق معرفي غربي) كشكل من أشكال «التلفيق» الذي يفتقر إلى القطيعة </w:t>
      </w:r>
      <w:proofErr w:type="spellStart"/>
      <w:r>
        <w:rPr>
          <w:color w:val="1A1A1A"/>
        </w:rPr>
        <w:t>الإبستيمولوجية</w:t>
      </w:r>
      <w:proofErr w:type="spellEnd"/>
      <w:r>
        <w:rPr>
          <w:color w:val="1A1A1A"/>
        </w:rPr>
        <w:t xml:space="preserve"> الضرورية لنشوء علم جديد. فبدلاً من بناء نموذج معرفي جديد قائم على البرهان والاستدلال العقلي المستقل، يتم استعارة العمود الفقري للعلم الغربي (المنهج التجريبي) وتطعيمه بمفاهيم روحانية. هذا قد ينتج عنه «علم نفس بديل» غير قادر على إثبات تميزه البرهاني، ويكتفي بـ«مشروعيته» المستمدة من الدين لا من نتائجه العلمية البحتة أو قدرته على تقديم تفسيرات جديدة ومستقلة للظواهر النفسية [3].</w:t>
      </w:r>
    </w:p>
    <w:p w14:paraId="6053666D" w14:textId="77777777" w:rsidR="005102BB" w:rsidRDefault="00B95738">
      <w:pPr>
        <w:spacing w:after="200" w:line="380" w:lineRule="auto"/>
        <w:jc w:val="both"/>
        <w:rPr>
          <w:rFonts w:cs="Arial"/>
        </w:rPr>
      </w:pPr>
      <w:r>
        <w:rPr>
          <w:color w:val="1A1A1A"/>
        </w:rPr>
        <w:t>ويستحق هذا الاعتراض تفصيلًا إضافيًا من زاوية فلسفة العلم: فالتمييز الذي يفترضه الجابري ضمنًا بين «التلفيق» و«التأسيس العلمي» يستدعي معيار «الاستقلالية التفسيرية» (</w:t>
      </w:r>
      <w:proofErr w:type="spellStart"/>
      <w:r>
        <w:rPr>
          <w:color w:val="1A1A1A"/>
        </w:rPr>
        <w:t>Explanatory</w:t>
      </w:r>
      <w:proofErr w:type="spellEnd"/>
      <w:r>
        <w:rPr>
          <w:color w:val="1A1A1A"/>
        </w:rPr>
        <w:t xml:space="preserve"> </w:t>
      </w:r>
      <w:proofErr w:type="spellStart"/>
      <w:r>
        <w:rPr>
          <w:color w:val="1A1A1A"/>
        </w:rPr>
        <w:t>Autonomy</w:t>
      </w:r>
      <w:proofErr w:type="spellEnd"/>
      <w:r>
        <w:rPr>
          <w:color w:val="1A1A1A"/>
        </w:rPr>
        <w:t xml:space="preserve">)، أي: هل يقدم النموذج الجديد تفسيرات للظواهر النفسية يتعذر الوصول إليها عبر النموذج الغربي المستعار أصلًا، بحيث يضيف قيمة تفسيرية حقيقية؟ أم أنه يعيد وصف الظواهر ذاتها التي فسّرها العلاج المعرفي السلوكي، بمفردات دينية مرادفة (فيصبح «إعادة الإسناد المعرفي» </w:t>
      </w:r>
      <w:proofErr w:type="spellStart"/>
      <w:r>
        <w:rPr>
          <w:color w:val="1A1A1A"/>
        </w:rPr>
        <w:t>Cognitive</w:t>
      </w:r>
      <w:proofErr w:type="spellEnd"/>
      <w:r>
        <w:rPr>
          <w:color w:val="1A1A1A"/>
        </w:rPr>
        <w:t xml:space="preserve"> </w:t>
      </w:r>
      <w:proofErr w:type="spellStart"/>
      <w:r>
        <w:rPr>
          <w:color w:val="1A1A1A"/>
        </w:rPr>
        <w:t>Reattribution</w:t>
      </w:r>
      <w:proofErr w:type="spellEnd"/>
      <w:r>
        <w:rPr>
          <w:color w:val="1A1A1A"/>
        </w:rPr>
        <w:t xml:space="preserve"> هي «التوكل» بلا أي تفسير جديد للآلية النفسية نفسها)؟ فإن كان الأمر مقصورًا على إعادة التسمية دون إضافة تفسيرية، يكون الاعتراض الجابري في محله تمامًا: إذ لا يكون أمامنا «علم» جديد بل «مسرد مصطلحات» (</w:t>
      </w:r>
      <w:proofErr w:type="spellStart"/>
      <w:r>
        <w:rPr>
          <w:color w:val="1A1A1A"/>
        </w:rPr>
        <w:t>Glossary</w:t>
      </w:r>
      <w:proofErr w:type="spellEnd"/>
      <w:r>
        <w:rPr>
          <w:color w:val="1A1A1A"/>
        </w:rPr>
        <w:t>) يُغلّف نموذجًا قائمًا بلبوس مختلف. أما إن استطاع النموذج أن يفسّر — بآلية مختلفة فعلًا — لماذا تنجح بعض التدخلات مع فئات بعينها دون أخرى بطريقة تتجاوز تنبؤات النموذج الغربي الأصلي، فإن دعوى «التأسيس» تصبح قابلة للدفاع عنها تجريبيًا، لا مجرد شعار [1، 2، 3].</w:t>
      </w:r>
    </w:p>
    <w:p w14:paraId="7A8D6033" w14:textId="77777777" w:rsidR="005102BB" w:rsidRDefault="00B95738">
      <w:pPr>
        <w:rPr>
          <w:rFonts w:cs="Arial"/>
        </w:rPr>
      </w:pPr>
      <w:r>
        <w:br w:type="page"/>
      </w:r>
    </w:p>
    <w:p w14:paraId="1CB0875B" w14:textId="77777777" w:rsidR="005102BB" w:rsidRDefault="00B95738">
      <w:pPr>
        <w:pStyle w:val="1"/>
        <w:pBdr>
          <w:bottom w:val="single" w:sz="12" w:space="8" w:color="B8912F"/>
        </w:pBdr>
        <w:bidi/>
        <w:spacing w:before="480" w:after="280"/>
        <w:jc w:val="center"/>
        <w:rPr>
          <w:rFonts w:cs="Arial"/>
        </w:rPr>
      </w:pPr>
      <w:r>
        <w:rPr>
          <w:b/>
          <w:bCs/>
          <w:color w:val="1B2A4A"/>
          <w:sz w:val="34"/>
          <w:szCs w:val="34"/>
        </w:rPr>
        <w:t>٢. نقد «علم اللاهوت التطبيقي» وتكريس التبعية (استنادًا إلى حسن حنفي)</w:t>
      </w:r>
    </w:p>
    <w:p w14:paraId="3B456714" w14:textId="77777777" w:rsidR="005102BB" w:rsidRDefault="00B95738">
      <w:pPr>
        <w:pStyle w:val="2"/>
        <w:bidi/>
        <w:spacing w:before="360" w:after="200"/>
        <w:jc w:val="right"/>
        <w:rPr>
          <w:rFonts w:cs="Arial"/>
        </w:rPr>
      </w:pPr>
      <w:r>
        <w:rPr>
          <w:b/>
          <w:bCs/>
          <w:color w:val="0F6B6B"/>
          <w:sz w:val="28"/>
          <w:szCs w:val="28"/>
        </w:rPr>
        <w:t>٢.١ من علم الكلام إلى علم الإنسان الثوري</w:t>
      </w:r>
    </w:p>
    <w:p w14:paraId="70904CDE" w14:textId="77777777" w:rsidR="005102BB" w:rsidRDefault="00B95738">
      <w:pPr>
        <w:spacing w:after="200" w:line="380" w:lineRule="auto"/>
        <w:jc w:val="both"/>
        <w:rPr>
          <w:rFonts w:cs="Arial"/>
        </w:rPr>
      </w:pPr>
      <w:r>
        <w:rPr>
          <w:color w:val="1A1A1A"/>
        </w:rPr>
        <w:t>في مشروعه الفكري «التراث والتجديد»، وخاصة في مؤلفه «من العقيدة إلى الثورة»، دعا المفكر المصري حسن حنفي إلى ضرورة تحويل «علم الكلام» (اللاهوت) من مجرد دراسة للذات الإلهية وصفاتها إلى «علم إنسان» ثوري يحرر وعي الإنسان ويغير واقعه [4]. يرى حنفي أن الهدف الأساسي للفكر الديني يجب أن يكون تحرير الإنسان من كل أشكال القهر والاستلاب، وليس تبرير الواقع أو التكيف معه.</w:t>
      </w:r>
    </w:p>
    <w:p w14:paraId="6AE1E259" w14:textId="77777777" w:rsidR="005102BB" w:rsidRDefault="00B95738">
      <w:pPr>
        <w:spacing w:after="200" w:line="380" w:lineRule="auto"/>
        <w:jc w:val="both"/>
        <w:rPr>
          <w:rFonts w:cs="Arial"/>
        </w:rPr>
      </w:pPr>
      <w:r>
        <w:rPr>
          <w:color w:val="1A1A1A"/>
        </w:rPr>
        <w:t>وتجدر الإشارة إلى أن مشروع حنفي بأكمله ينطلق من قراءة يسارية-</w:t>
      </w:r>
      <w:proofErr w:type="spellStart"/>
      <w:r>
        <w:rPr>
          <w:color w:val="1A1A1A"/>
        </w:rPr>
        <w:t>فينومينولوجية</w:t>
      </w:r>
      <w:proofErr w:type="spellEnd"/>
      <w:r>
        <w:rPr>
          <w:color w:val="1A1A1A"/>
        </w:rPr>
        <w:t xml:space="preserve"> للتراث، متأثرة بلاهوت التحرير في أمريكا اللاتينية من جهة، وبالمنهج </w:t>
      </w:r>
      <w:proofErr w:type="spellStart"/>
      <w:r>
        <w:rPr>
          <w:color w:val="1A1A1A"/>
        </w:rPr>
        <w:t>الفينومينولوجي</w:t>
      </w:r>
      <w:proofErr w:type="spellEnd"/>
      <w:r>
        <w:rPr>
          <w:color w:val="1A1A1A"/>
        </w:rPr>
        <w:t xml:space="preserve"> </w:t>
      </w:r>
      <w:proofErr w:type="spellStart"/>
      <w:r>
        <w:rPr>
          <w:color w:val="1A1A1A"/>
        </w:rPr>
        <w:t>الهوسرلي</w:t>
      </w:r>
      <w:proofErr w:type="spellEnd"/>
      <w:r>
        <w:rPr>
          <w:color w:val="1A1A1A"/>
        </w:rPr>
        <w:t xml:space="preserve"> في «تحويل اللاهوت إلى أنثروبولوجيا» من جهة أخرى؛ إذ يرى حنفي أن كل قضية كلامية (كصفات الله، والقدر، والنبوة) هي في جوهرها قناع لقضية إنسانية-اجتماعية مضمرة (كقضية العدل، والحرية، والسلطة). وبهذا المعيار التأويلي بالذات — تحويل القضية الغيبية إلى مضمونها الاجتماعي الكامن — يمكن فهم حدة اعتراضه المحتمل على مشروع يسير، من منظوره، في الاتجاه المعاكس تمامًا: أي تحويل قضية اجتماعية-نفسية (كالقلق الناتج عن ظروف معيشية أو اقتصادية قاسية) إلى قضية غيبية خالصة (ضعف اليقين، أو بُعد عن الله)، وهو ما يسميه حنفي في مواضع أخرى من كتاباته بـ«التديين الزائف للمشكلات الاجتماعية».</w:t>
      </w:r>
    </w:p>
    <w:p w14:paraId="76B55A5A" w14:textId="77777777" w:rsidR="005102BB" w:rsidRDefault="00B95738">
      <w:pPr>
        <w:pStyle w:val="2"/>
        <w:bidi/>
        <w:spacing w:before="360" w:after="200"/>
        <w:jc w:val="right"/>
        <w:rPr>
          <w:rFonts w:cs="Arial"/>
        </w:rPr>
      </w:pPr>
      <w:r>
        <w:rPr>
          <w:b/>
          <w:bCs/>
          <w:color w:val="0F6B6B"/>
          <w:sz w:val="28"/>
          <w:szCs w:val="28"/>
        </w:rPr>
        <w:t>٢.٢ النقد اللاذع من منظور حنفي</w:t>
      </w:r>
    </w:p>
    <w:p w14:paraId="26582FCC" w14:textId="77777777" w:rsidR="005102BB" w:rsidRDefault="00B95738">
      <w:pPr>
        <w:pStyle w:val="3"/>
        <w:bidi/>
        <w:spacing w:before="260" w:after="160"/>
        <w:jc w:val="right"/>
        <w:rPr>
          <w:rFonts w:cs="Arial"/>
        </w:rPr>
      </w:pPr>
      <w:r>
        <w:rPr>
          <w:b/>
          <w:bCs/>
          <w:color w:val="B8912F"/>
          <w:sz w:val="25"/>
          <w:szCs w:val="25"/>
        </w:rPr>
        <w:t>٢.٢.١ علم نفس «للتكييف» لا «للتحرر»</w:t>
      </w:r>
    </w:p>
    <w:p w14:paraId="202E7DC0" w14:textId="77777777" w:rsidR="005102BB" w:rsidRDefault="00B95738">
      <w:pPr>
        <w:spacing w:after="180" w:line="380" w:lineRule="auto"/>
        <w:ind w:left="360"/>
        <w:jc w:val="both"/>
        <w:rPr>
          <w:rFonts w:cs="Arial"/>
        </w:rPr>
      </w:pPr>
      <w:r>
        <w:rPr>
          <w:b/>
          <w:bCs/>
          <w:color w:val="B8912F"/>
        </w:rPr>
        <w:t xml:space="preserve">◈  </w:t>
      </w:r>
      <w:r>
        <w:rPr>
          <w:color w:val="1A1A1A"/>
        </w:rPr>
        <w:t>يرى حنفي أن الخطر الأكبر يكمن في تحويل الدين إلى أداة لـ«تسكين الألم» وتبرير الواقع بدلاً من تغييره. فعندما يُعرّف السواء النفسي بأنه «الرضا بالقدر» والتكيف مع بنى اجتماعية قد تكون جائرة، يتحول «الاستخلاف» من مفهوم ثوري يحمل مسؤولية تغيير العالم (الأمر بالمعروف والنهي عن المنكر) إلى أداة لقمع التساؤل الوجودي والغضب الثوري، وإضفاء الشرعية على الوضع القائم. إنه يتحول إلى «أفيون» يُعطي غطاءً روحيًا للامتثال والاستسلام، بدلاً من أن يكون محركًا للتغيير والتحرر [3].</w:t>
      </w:r>
    </w:p>
    <w:p w14:paraId="329B0405" w14:textId="77777777" w:rsidR="005102BB" w:rsidRDefault="00B95738">
      <w:pPr>
        <w:spacing w:after="200" w:line="380" w:lineRule="auto"/>
        <w:jc w:val="both"/>
        <w:rPr>
          <w:rFonts w:cs="Arial"/>
        </w:rPr>
      </w:pPr>
      <w:r>
        <w:rPr>
          <w:color w:val="1A1A1A"/>
        </w:rPr>
        <w:t>ولتعميق هذا الاعتراض بلغة إكلينيكية دقيقة، يمكن صياغته على هيئة سؤال تشخيصي تفريقي (</w:t>
      </w:r>
      <w:proofErr w:type="spellStart"/>
      <w:r>
        <w:rPr>
          <w:color w:val="1A1A1A"/>
        </w:rPr>
        <w:t>Differential</w:t>
      </w:r>
      <w:proofErr w:type="spellEnd"/>
      <w:r>
        <w:rPr>
          <w:color w:val="1A1A1A"/>
        </w:rPr>
        <w:t xml:space="preserve"> </w:t>
      </w:r>
      <w:proofErr w:type="spellStart"/>
      <w:r>
        <w:rPr>
          <w:color w:val="1A1A1A"/>
        </w:rPr>
        <w:t>Diagnostic</w:t>
      </w:r>
      <w:proofErr w:type="spellEnd"/>
      <w:r>
        <w:rPr>
          <w:color w:val="1A1A1A"/>
        </w:rPr>
        <w:t xml:space="preserve"> </w:t>
      </w:r>
      <w:proofErr w:type="spellStart"/>
      <w:r>
        <w:rPr>
          <w:color w:val="1A1A1A"/>
        </w:rPr>
        <w:t>Question</w:t>
      </w:r>
      <w:proofErr w:type="spellEnd"/>
      <w:r>
        <w:rPr>
          <w:color w:val="1A1A1A"/>
        </w:rPr>
        <w:t xml:space="preserve">) موجَّه لأي بروتوكول علاجي استخلافي بعينه: حين يُشخَّص ضيق المراجِع بوصفه «مرضًا للقلب» يحتاج إلى تزكية روحية، هل جرى استبعاد — بمنهجية صريحة — احتمال أن يكون هذا الضيق استجابة نفسية سويّة ومتناسبة مع ظلم بنيوي فعلي (كاستغلال في العمل، أو قهر أسري، أو فساد مؤسسي)؟ فإن كان البروتوكول لا يتضمن هذه الخطوة </w:t>
      </w:r>
      <w:proofErr w:type="spellStart"/>
      <w:r>
        <w:rPr>
          <w:color w:val="1A1A1A"/>
        </w:rPr>
        <w:t>التفريقية</w:t>
      </w:r>
      <w:proofErr w:type="spellEnd"/>
      <w:r>
        <w:rPr>
          <w:color w:val="1A1A1A"/>
        </w:rPr>
        <w:t xml:space="preserve"> بوضوح، يصبح احتمال «</w:t>
      </w:r>
      <w:proofErr w:type="spellStart"/>
      <w:r>
        <w:rPr>
          <w:color w:val="1A1A1A"/>
        </w:rPr>
        <w:t>الأدلجة</w:t>
      </w:r>
      <w:proofErr w:type="spellEnd"/>
      <w:r>
        <w:rPr>
          <w:color w:val="1A1A1A"/>
        </w:rPr>
        <w:t xml:space="preserve"> </w:t>
      </w:r>
      <w:proofErr w:type="spellStart"/>
      <w:r>
        <w:rPr>
          <w:color w:val="1A1A1A"/>
        </w:rPr>
        <w:t>التكييفية</w:t>
      </w:r>
      <w:proofErr w:type="spellEnd"/>
      <w:r>
        <w:rPr>
          <w:color w:val="1A1A1A"/>
        </w:rPr>
        <w:t>» التي يحذر منها حنفي احتمالًا منهجيًا حقيقيًا لا افتراضًا تجنيّا، لأن غياب هذا التفريق يعني أن كل معاناة — أيًا كان سببها الواقعي — ستُردّ حتمًا إلى نقص إيماني داخلي، وهو ما يُسقط عمليًا العدالة الاجتماعية من معادلة الشفاء النفسي [3، 4].</w:t>
      </w:r>
    </w:p>
    <w:p w14:paraId="7FF6026A" w14:textId="77777777" w:rsidR="005102BB" w:rsidRDefault="00B95738">
      <w:pPr>
        <w:pStyle w:val="3"/>
        <w:bidi/>
        <w:spacing w:before="260" w:after="160"/>
        <w:jc w:val="right"/>
        <w:rPr>
          <w:rFonts w:cs="Arial"/>
        </w:rPr>
      </w:pPr>
      <w:r>
        <w:rPr>
          <w:b/>
          <w:bCs/>
          <w:color w:val="B8912F"/>
          <w:sz w:val="25"/>
          <w:szCs w:val="25"/>
        </w:rPr>
        <w:t>٢.٢.٢ استلاب العقل العلمي باسم الدين</w:t>
      </w:r>
    </w:p>
    <w:p w14:paraId="1BC78B1B" w14:textId="77777777" w:rsidR="005102BB" w:rsidRDefault="00B95738">
      <w:pPr>
        <w:spacing w:after="180" w:line="380" w:lineRule="auto"/>
        <w:ind w:left="360"/>
        <w:jc w:val="both"/>
        <w:rPr>
          <w:rFonts w:cs="Arial"/>
        </w:rPr>
      </w:pPr>
      <w:r>
        <w:rPr>
          <w:b/>
          <w:bCs/>
          <w:color w:val="B8912F"/>
        </w:rPr>
        <w:t xml:space="preserve">◈  </w:t>
      </w:r>
      <w:r>
        <w:rPr>
          <w:color w:val="1A1A1A"/>
        </w:rPr>
        <w:t>إن إضفاء «المشروعية الدينية» على هذا العلم يمثل، في منظور حنفي، شكلاً من أشكال الوصاية الجديدة على العقل. فبدلاً من تحرير العقل المسلم لدراسة النفس البشرية بجرأة ومناهج إنسانية محضة، يتم حبسه داخل دائرة «الحلال والحرام في العلم». هذا قد يُنتج وعيًا علميًا تابعًا يُقيم صحة الفرضية ليس بمدى اتساقها مع الواقع أو قدرتها على التفسير العلمي، بل بمدى انسجامها الظاهري مع فهم مسبق للنص الديني. هذا لا يؤدي إلى «أسلمة المعرفة» بقدر ما يؤدي إلى «</w:t>
      </w:r>
      <w:proofErr w:type="spellStart"/>
      <w:r>
        <w:rPr>
          <w:color w:val="1A1A1A"/>
        </w:rPr>
        <w:t>أدلجة</w:t>
      </w:r>
      <w:proofErr w:type="spellEnd"/>
      <w:r>
        <w:rPr>
          <w:color w:val="1A1A1A"/>
        </w:rPr>
        <w:t xml:space="preserve"> المعرفة» ووأد روح البحث العلمي الحر والنقد الذاتي [3].</w:t>
      </w:r>
    </w:p>
    <w:p w14:paraId="5130422E" w14:textId="77777777" w:rsidR="005102BB" w:rsidRDefault="00B95738">
      <w:pPr>
        <w:spacing w:after="200" w:line="380" w:lineRule="auto"/>
        <w:jc w:val="both"/>
        <w:rPr>
          <w:rFonts w:cs="Arial"/>
        </w:rPr>
      </w:pPr>
      <w:r>
        <w:rPr>
          <w:color w:val="1A1A1A"/>
        </w:rPr>
        <w:t>ويمكن أن نضيف إلى هذا الاعتراض معيارًا عمليًا لاختباره تجريبيًا في أدبيات أي مشروع استخلافي: معيار «قابلية التفنيد الداخلي» (</w:t>
      </w:r>
      <w:proofErr w:type="spellStart"/>
      <w:r>
        <w:rPr>
          <w:color w:val="1A1A1A"/>
        </w:rPr>
        <w:t>Internal</w:t>
      </w:r>
      <w:proofErr w:type="spellEnd"/>
      <w:r>
        <w:rPr>
          <w:color w:val="1A1A1A"/>
        </w:rPr>
        <w:t xml:space="preserve"> </w:t>
      </w:r>
      <w:proofErr w:type="spellStart"/>
      <w:r>
        <w:rPr>
          <w:color w:val="1A1A1A"/>
        </w:rPr>
        <w:t>Falsifiability</w:t>
      </w:r>
      <w:proofErr w:type="spellEnd"/>
      <w:r>
        <w:rPr>
          <w:color w:val="1A1A1A"/>
        </w:rPr>
        <w:t xml:space="preserve">) — أي هل يتضمن الإطار النظري آلية معلنة يمكن من خلالها لنتيجة تجريبية أو سريرية أن «تُخطّئ» أحد مسلماته النظرية، أم أن كل نتيجة مخالفة تُؤوَّل بأثر رجعي بحيث تبقى المسلمات بمنأى عن أي دحض ممكن؟ فحين يُنظَّر لفعالية تقنية علاجية معينة، ثم تفشل هذه التقنية سريريًا مع حالة بعينها، هل يُعاد النظر في التقنية أو في الافتراض النظري الذي بُنيت عليه، أم يُعاد تفسير الفشل بأنه «ضعف إيمان المريض» أو «عدم استعداده الروحي»؟ فالإجابة الثانية — إن غلبت بنيويًا على أدبيات المشروع — تحوّل النموذج إلى بنية غير قابلة للتفنيد بالمعنى </w:t>
      </w:r>
      <w:proofErr w:type="spellStart"/>
      <w:r>
        <w:rPr>
          <w:color w:val="1A1A1A"/>
        </w:rPr>
        <w:t>البوبري</w:t>
      </w:r>
      <w:proofErr w:type="spellEnd"/>
      <w:r>
        <w:rPr>
          <w:color w:val="1A1A1A"/>
        </w:rPr>
        <w:t xml:space="preserve"> (</w:t>
      </w:r>
      <w:proofErr w:type="spellStart"/>
      <w:r>
        <w:rPr>
          <w:color w:val="1A1A1A"/>
        </w:rPr>
        <w:t>Popperian</w:t>
      </w:r>
      <w:proofErr w:type="spellEnd"/>
      <w:r>
        <w:rPr>
          <w:color w:val="1A1A1A"/>
        </w:rPr>
        <w:t>)، وهو بعينه ما يخشاه حنفي حين يتحدث عن «</w:t>
      </w:r>
      <w:proofErr w:type="spellStart"/>
      <w:r>
        <w:rPr>
          <w:color w:val="1A1A1A"/>
        </w:rPr>
        <w:t>أدلجة</w:t>
      </w:r>
      <w:proofErr w:type="spellEnd"/>
      <w:r>
        <w:rPr>
          <w:color w:val="1A1A1A"/>
        </w:rPr>
        <w:t xml:space="preserve"> المعرفة» [3، 4].</w:t>
      </w:r>
    </w:p>
    <w:p w14:paraId="4367C177" w14:textId="77777777" w:rsidR="005102BB" w:rsidRDefault="00B95738">
      <w:pPr>
        <w:rPr>
          <w:rFonts w:cs="Arial"/>
        </w:rPr>
      </w:pPr>
      <w:r>
        <w:br w:type="page"/>
      </w:r>
    </w:p>
    <w:p w14:paraId="7E75DB80" w14:textId="77777777" w:rsidR="005102BB" w:rsidRDefault="00B95738">
      <w:pPr>
        <w:pStyle w:val="1"/>
        <w:pBdr>
          <w:bottom w:val="single" w:sz="12" w:space="8" w:color="B8912F"/>
        </w:pBdr>
        <w:bidi/>
        <w:spacing w:before="480" w:after="280"/>
        <w:jc w:val="center"/>
        <w:rPr>
          <w:rFonts w:cs="Arial"/>
        </w:rPr>
      </w:pPr>
      <w:r>
        <w:rPr>
          <w:b/>
          <w:bCs/>
          <w:color w:val="1B2A4A"/>
          <w:sz w:val="34"/>
          <w:szCs w:val="34"/>
        </w:rPr>
        <w:t>٣. نقد «تسييج النص» وإنتاج المطلق من التاريخي (استنادًا إلى نصر حامد أبو زيد) — فصل مُستحدَث</w:t>
      </w:r>
    </w:p>
    <w:p w14:paraId="0A72C593" w14:textId="77777777" w:rsidR="005102BB" w:rsidRDefault="00B95738">
      <w:pPr>
        <w:pStyle w:val="2"/>
        <w:bidi/>
        <w:spacing w:before="360" w:after="200"/>
        <w:jc w:val="right"/>
        <w:rPr>
          <w:rFonts w:cs="Arial"/>
        </w:rPr>
      </w:pPr>
      <w:r>
        <w:rPr>
          <w:b/>
          <w:bCs/>
          <w:color w:val="0F6B6B"/>
          <w:sz w:val="28"/>
          <w:szCs w:val="28"/>
        </w:rPr>
        <w:t>٣.١ النص بوصفه «منتَجًا ثقافيًا»: من «مفهوم النص» إلى «نقد الخطاب الديني»</w:t>
      </w:r>
    </w:p>
    <w:p w14:paraId="7012467B" w14:textId="77777777" w:rsidR="005102BB" w:rsidRDefault="00B95738">
      <w:pPr>
        <w:spacing w:after="200" w:line="380" w:lineRule="auto"/>
        <w:jc w:val="both"/>
        <w:rPr>
          <w:rFonts w:cs="Arial"/>
        </w:rPr>
      </w:pPr>
      <w:r>
        <w:rPr>
          <w:color w:val="1A1A1A"/>
        </w:rPr>
        <w:t>يضيف نصر حامد أبو زيد بُعدًا نقديًا مكمّلًا لنقد الجابري وحنفي، وإن اختلف عنهما في المنطلق المنهجي. ففي كتابه «مفهوم النص: دراسة في علوم القرآن»، يقدم أبو زيد أطروحته المحورية بأن النص القرآني، وإن كان في مصدره الأول وحيًا إلهيًا، إلا أنه بمجرد نزوله وتفاعله مع واقع المجتمع العربي في القرن السابع الميلادي، تحوّل إلى «منتَج ثقافي» (</w:t>
      </w:r>
      <w:proofErr w:type="spellStart"/>
      <w:r>
        <w:rPr>
          <w:color w:val="1A1A1A"/>
        </w:rPr>
        <w:t>Cultural</w:t>
      </w:r>
      <w:proofErr w:type="spellEnd"/>
      <w:r>
        <w:rPr>
          <w:color w:val="1A1A1A"/>
        </w:rPr>
        <w:t xml:space="preserve"> </w:t>
      </w:r>
      <w:proofErr w:type="spellStart"/>
      <w:r>
        <w:rPr>
          <w:color w:val="1A1A1A"/>
        </w:rPr>
        <w:t>Product</w:t>
      </w:r>
      <w:proofErr w:type="spellEnd"/>
      <w:r>
        <w:rPr>
          <w:color w:val="1A1A1A"/>
        </w:rPr>
        <w:t>) يحمل بالضرورة آثار سياقه اللغوي والاجتماعي والتاريخي [5]. ويؤكد أبو زيد في «نقد الخطاب الديني» أن الخطر الأكبر لا يكمن في الفهم البشري للنص بحد ذاته، بل في تحويل هذا الفهم البشري — الظرفي بالضرورة — إلى سلطة مطلقة متعالية عن النقد، بحيث يُنسب للفهم قداسة النص نفسه [6].</w:t>
      </w:r>
    </w:p>
    <w:p w14:paraId="0826D1BA" w14:textId="77777777" w:rsidR="005102BB" w:rsidRDefault="00B95738">
      <w:pPr>
        <w:spacing w:after="200" w:line="380" w:lineRule="auto"/>
        <w:jc w:val="both"/>
        <w:rPr>
          <w:rFonts w:cs="Arial"/>
        </w:rPr>
      </w:pPr>
      <w:r>
        <w:rPr>
          <w:color w:val="1A1A1A"/>
        </w:rPr>
        <w:t>وتكمن قوة هذا النقد، حين يُوجَّه إلى المشروع الاستخلافي، في أنه يستهدف نقطة مختلفة عن نقطتي الجابري وحنفي: فبينما ينصبّ نقد الجابري على «آلية» انتزاع المفهوم من سياقه، وينصبّ نقد حنفي على «الوظيفة» الاجتماعية-السياسية لهذا الانتزاع (تبرير الاستسلام)، ينصبّ نقد أبو زيد على «مآل» هذا الانتزاع المعرفي: أي كيف يتحول تأويل بشري معين (كربط آية معينة بآلية عصبية أو نفسية بعينها) من «قراءة مقترحة قابلة للمراجعة» إلى «حقيقة علمية-دينية مزدوجة القداسة» يصعب على أي باحث لاحق أن يناقشها دون أن يُتهم بمعاداة الدين والعلم معًا في آنٍ واحد.</w:t>
      </w:r>
    </w:p>
    <w:p w14:paraId="54487568" w14:textId="77777777" w:rsidR="005102BB" w:rsidRDefault="00B95738">
      <w:pPr>
        <w:pStyle w:val="2"/>
        <w:bidi/>
        <w:spacing w:before="360" w:after="200"/>
        <w:jc w:val="right"/>
        <w:rPr>
          <w:rFonts w:cs="Arial"/>
        </w:rPr>
      </w:pPr>
      <w:r>
        <w:rPr>
          <w:b/>
          <w:bCs/>
          <w:color w:val="0F6B6B"/>
          <w:sz w:val="28"/>
          <w:szCs w:val="28"/>
        </w:rPr>
        <w:t>٣.٢ إشكالية «التسييج المزدوج»: حين يتحصّن التأويل خلف قداسة مصدرَين</w:t>
      </w:r>
    </w:p>
    <w:p w14:paraId="7ACCF064" w14:textId="77777777" w:rsidR="005102BB" w:rsidRDefault="00B95738">
      <w:pPr>
        <w:spacing w:after="180" w:line="380" w:lineRule="auto"/>
        <w:ind w:left="360"/>
        <w:jc w:val="both"/>
        <w:rPr>
          <w:rFonts w:cs="Arial"/>
        </w:rPr>
      </w:pPr>
      <w:r>
        <w:rPr>
          <w:b/>
          <w:bCs/>
          <w:color w:val="B8912F"/>
        </w:rPr>
        <w:t xml:space="preserve">◈  </w:t>
      </w:r>
      <w:r>
        <w:rPr>
          <w:color w:val="1A1A1A"/>
        </w:rPr>
        <w:t>الخطر البنيوي الذي يحذر منه أبو زيد ضمنيًا هو ما يمكن تسميته «التسييج المزدوج» (</w:t>
      </w:r>
      <w:proofErr w:type="spellStart"/>
      <w:r>
        <w:rPr>
          <w:color w:val="1A1A1A"/>
        </w:rPr>
        <w:t>Double</w:t>
      </w:r>
      <w:proofErr w:type="spellEnd"/>
      <w:r>
        <w:rPr>
          <w:color w:val="1A1A1A"/>
        </w:rPr>
        <w:t xml:space="preserve"> </w:t>
      </w:r>
      <w:proofErr w:type="spellStart"/>
      <w:r>
        <w:rPr>
          <w:color w:val="1A1A1A"/>
        </w:rPr>
        <w:t>Fencing</w:t>
      </w:r>
      <w:proofErr w:type="spellEnd"/>
      <w:r>
        <w:rPr>
          <w:color w:val="1A1A1A"/>
        </w:rPr>
        <w:t>): ففي النقد التقليدي للنصوص الدينية وحدها، يبقى الباب مفتوحًا لمساءلة صحة الفهم البشري للنص بمعزل عن قداسة النص ذاته. أما حين يُدمَج التأويل الديني بمصطلحات علمية معاصرة (عصبية أو نفسية) كما يفعل المشروع الاستخلافي، فإن أي محاولة نقدية لاحقة تجد نفسها أمام تحصين مضاعف: فنقد الجانب الديني من التأويل يُواجَه بحجة «هذا علم لا مجرد تدين»، ونقد الجانب العلمي منه يُواجَه بحجة «هذا وحي لا مجرد نظرية بشرية قابلة للخطأ». وبذلك يفلت التأويل المُركَّب من كلا آليتي المراجعة النقدية المتاحتين له أصلًا، وهو بعينه المأزق الذي حذر منه أبو زيد حين تحدث عن استثمار القداسة لتحصين الفهم البشري من النقد [5، 6].</w:t>
      </w:r>
    </w:p>
    <w:p w14:paraId="232F35D3" w14:textId="77777777" w:rsidR="005102BB" w:rsidRDefault="00B95738">
      <w:pPr>
        <w:spacing w:after="200" w:line="380" w:lineRule="auto"/>
        <w:jc w:val="both"/>
        <w:rPr>
          <w:rFonts w:cs="Arial"/>
        </w:rPr>
      </w:pPr>
      <w:r>
        <w:rPr>
          <w:color w:val="1A1A1A"/>
        </w:rPr>
        <w:t xml:space="preserve">غير أن الإنصاف المنهجي يقتضي أن نلاحظ أن هذا الخطر ليس حتميًا بل احتماليًا: فهو يتحقق فقط حين يغيب التمييز الصريح — على مستوى الخطاب النظري ذاته — بين طبقتين مختلفتين تمام الاختلاف: طبقة النص المقدس ذاته (وهي، من منظور المؤمن، ثابتة ومصونة من الخطأ)، وطبقة التأويل البشري المعاصر لهذا النص وربطه بمعطى نفسي أو عصبي معين (وهي، بالضرورة المنطقية البحتة، اجتهاد بشري قابل للمراجعة والتصويب مهما بلغ حسن نية صاحبه وعمق علمه). ومعيار المشروعية هنا، تبعًا لنقد أبو زيد، هو: هل يُصرَّح صراحة وبانتظام في المتن العلمي للمشروع بأن الربط المحدد بين آية معينة وآلية نفسية أو عصبية معينة هو «اجتهاد تأويلي معاصر» قابل </w:t>
      </w:r>
      <w:proofErr w:type="spellStart"/>
      <w:r>
        <w:rPr>
          <w:color w:val="1A1A1A"/>
        </w:rPr>
        <w:t>للخطإ</w:t>
      </w:r>
      <w:proofErr w:type="spellEnd"/>
      <w:r>
        <w:rPr>
          <w:color w:val="1A1A1A"/>
        </w:rPr>
        <w:t>، مائز عن قطعية الآية ذاتها؟ أم يُترك الأمر ملتبسًا بحيث يكتسب الاجتهاد التأويلي — بصمت — قداسة النص الذي استند إليه؟ [5، 6].</w:t>
      </w:r>
    </w:p>
    <w:p w14:paraId="65309F1D" w14:textId="77777777" w:rsidR="005102BB" w:rsidRDefault="00B95738">
      <w:pPr>
        <w:rPr>
          <w:rFonts w:cs="Arial"/>
        </w:rPr>
      </w:pPr>
      <w:r>
        <w:br w:type="page"/>
      </w:r>
    </w:p>
    <w:p w14:paraId="155515F9" w14:textId="77777777" w:rsidR="005102BB" w:rsidRDefault="00B95738">
      <w:pPr>
        <w:pStyle w:val="1"/>
        <w:pBdr>
          <w:bottom w:val="single" w:sz="12" w:space="8" w:color="B8912F"/>
        </w:pBdr>
        <w:bidi/>
        <w:spacing w:before="480" w:after="280"/>
        <w:jc w:val="center"/>
        <w:rPr>
          <w:rFonts w:cs="Arial"/>
        </w:rPr>
      </w:pPr>
      <w:r>
        <w:rPr>
          <w:b/>
          <w:bCs/>
          <w:color w:val="1B2A4A"/>
          <w:sz w:val="34"/>
          <w:szCs w:val="34"/>
        </w:rPr>
        <w:t>٤. الأفق المضاد: نحو موازنة نقدية من منظور طه عبد الرحمن — فصل مُستحدَث</w:t>
      </w:r>
    </w:p>
    <w:p w14:paraId="7C389D49" w14:textId="77777777" w:rsidR="005102BB" w:rsidRDefault="00B95738">
      <w:pPr>
        <w:pStyle w:val="2"/>
        <w:bidi/>
        <w:spacing w:before="360" w:after="200"/>
        <w:jc w:val="right"/>
        <w:rPr>
          <w:rFonts w:cs="Arial"/>
        </w:rPr>
      </w:pPr>
      <w:r>
        <w:rPr>
          <w:b/>
          <w:bCs/>
          <w:color w:val="0F6B6B"/>
          <w:sz w:val="28"/>
          <w:szCs w:val="28"/>
        </w:rPr>
        <w:t>٤.١ نقد «الحداثة المنقولة» و«الائتمانية» كبديل أخلاقي أصيل</w:t>
      </w:r>
    </w:p>
    <w:p w14:paraId="22F703B0" w14:textId="77777777" w:rsidR="005102BB" w:rsidRDefault="00B95738">
      <w:pPr>
        <w:spacing w:after="200" w:line="380" w:lineRule="auto"/>
        <w:jc w:val="both"/>
        <w:rPr>
          <w:rFonts w:cs="Arial"/>
        </w:rPr>
      </w:pPr>
      <w:r>
        <w:rPr>
          <w:color w:val="1A1A1A"/>
        </w:rPr>
        <w:t>من الأمانة الأكاديمية ألا يُختزل الحوار النقدي حول شرعية المشروع الاستخلافي في اتجاه واحد فقط (نقد التراث للمشروع من موقع علماني-تحرري كما عند الجابري وحنفي، أو نقد بنيته المعرفية كما عند أبو زيد)، بل يستوجب الأمر أيضًا استحضار تيار نقدي إسلامي أصيل يوجّه سهامه في الاتجاه المعاكس تمامًا: نقد الحداثة الغربية ذاتها من موقع أخلاقي إسلامي مُنظَّر له بصرامة فلسفية لا تقل عن صرامة الجابري. وأبرز ممثلي هذا الاتجاه هو الفيلسوف المغربي طه عبد الرحمن، الذي يقدم في كتابيه «سؤال الأخلاق: مساهمة في النقد الأخلاقي للحداثة الغربية» و«روح الحداثة: المدخل إلى تأسيس الحداثة الإسلامية» مشروعًا مغايرًا جذريًا لمنطلقات الجابري وحنفي كليهما [7، 8].</w:t>
      </w:r>
    </w:p>
    <w:p w14:paraId="79554EAD" w14:textId="77777777" w:rsidR="005102BB" w:rsidRDefault="00B95738">
      <w:pPr>
        <w:spacing w:after="200" w:line="380" w:lineRule="auto"/>
        <w:jc w:val="both"/>
        <w:rPr>
          <w:rFonts w:cs="Arial"/>
        </w:rPr>
      </w:pPr>
      <w:r>
        <w:rPr>
          <w:color w:val="1A1A1A"/>
        </w:rPr>
        <w:t>ينطلق طه عبد الرحمن من نقد ما يسميه «الحداثة المنقولة» — أي استنساخ الحداثة الغربية بأدواتها ومقولاتها كما هي دون تمحيص فلسفي لأسسها الأخلاقية الضمنية — داعيًا بدلاً منها إلى «الحداثة المؤتلفة» أو «الحداثة الإسلامية»، القائمة على مفهوم مركزي هو «الائتمانية» (</w:t>
      </w:r>
      <w:proofErr w:type="spellStart"/>
      <w:r>
        <w:rPr>
          <w:color w:val="1A1A1A"/>
        </w:rPr>
        <w:t>Trusteeship</w:t>
      </w:r>
      <w:proofErr w:type="spellEnd"/>
      <w:r>
        <w:rPr>
          <w:color w:val="1A1A1A"/>
        </w:rPr>
        <w:t xml:space="preserve"> </w:t>
      </w:r>
      <w:proofErr w:type="spellStart"/>
      <w:r>
        <w:rPr>
          <w:color w:val="1A1A1A"/>
        </w:rPr>
        <w:t>Ethics</w:t>
      </w:r>
      <w:proofErr w:type="spellEnd"/>
      <w:r>
        <w:rPr>
          <w:color w:val="1A1A1A"/>
        </w:rPr>
        <w:t xml:space="preserve">): أي أن الفعل الإنساني، بما في ذلك الفعل العلمي والمعرفي، لا يكون أخلاقيًا بمجرد اتساقه مع معايير العقل المجرد (كما عند </w:t>
      </w:r>
      <w:proofErr w:type="spellStart"/>
      <w:r>
        <w:rPr>
          <w:color w:val="1A1A1A"/>
        </w:rPr>
        <w:t>كانط</w:t>
      </w:r>
      <w:proofErr w:type="spellEnd"/>
      <w:r>
        <w:rPr>
          <w:color w:val="1A1A1A"/>
        </w:rPr>
        <w:t>) أو نفعيته الاجتماعية (كما عند التقليد النفعي)، بل يستمد أخلاقيته من كونه أداءً لأمانة مؤتمَن عليها الإنسان من الله، تحكمه علاقة «الحق» بمعناها الشامل: حق الله، وحق النفس، وحق الغير [7].</w:t>
      </w:r>
    </w:p>
    <w:p w14:paraId="58B83796" w14:textId="77777777" w:rsidR="005102BB" w:rsidRDefault="00B95738">
      <w:pPr>
        <w:pStyle w:val="2"/>
        <w:bidi/>
        <w:spacing w:before="360" w:after="200"/>
        <w:jc w:val="right"/>
        <w:rPr>
          <w:rFonts w:cs="Arial"/>
        </w:rPr>
      </w:pPr>
      <w:r>
        <w:rPr>
          <w:b/>
          <w:bCs/>
          <w:color w:val="0F6B6B"/>
          <w:sz w:val="28"/>
          <w:szCs w:val="28"/>
        </w:rPr>
        <w:t>٤.٢ كيف يعيد طه عبد الرحمن تأطير سؤال «المشروعية»؟</w:t>
      </w:r>
    </w:p>
    <w:p w14:paraId="2E394F2F" w14:textId="77777777" w:rsidR="005102BB" w:rsidRDefault="00B95738">
      <w:pPr>
        <w:spacing w:after="180" w:line="380" w:lineRule="auto"/>
        <w:ind w:left="360"/>
        <w:jc w:val="both"/>
        <w:rPr>
          <w:rFonts w:cs="Arial"/>
        </w:rPr>
      </w:pPr>
      <w:r>
        <w:rPr>
          <w:b/>
          <w:bCs/>
          <w:color w:val="B8912F"/>
        </w:rPr>
        <w:t xml:space="preserve">◈  </w:t>
      </w:r>
      <w:r>
        <w:rPr>
          <w:color w:val="1A1A1A"/>
        </w:rPr>
        <w:t xml:space="preserve">من هذا المنظور الائتماني، تصبح مساءلة «مشروعية» المشروع الاستخلافي بمعيار «القطيعة </w:t>
      </w:r>
      <w:proofErr w:type="spellStart"/>
      <w:r>
        <w:rPr>
          <w:color w:val="1A1A1A"/>
        </w:rPr>
        <w:t>الإبستمولوجية</w:t>
      </w:r>
      <w:proofErr w:type="spellEnd"/>
      <w:r>
        <w:rPr>
          <w:color w:val="1A1A1A"/>
        </w:rPr>
        <w:t>» الوضعية (كما يطالب الجابري) مساءلة منحازة سلفًا لمعيار حداثي غير مُسلَّم بعالميته أصلًا: فلماذا يكون معيار «البرهانية» التجريبية الغربية هو الحكَم الوحيد على شرعية أي معرفة، بينما يمكن أن يكون هناك معيار «ائتماني» مختلف تمامًا يقيس المعرفة بمدى أدائها لحق الأمانة، لا بمدى مطابقتها لبروتوكول التحقق التجريبي الوضعي؟ وبهذا يقدم طه عبد الرحمن أداة دفاعية محتملة للمشروع الاستخلافي، لا لتبرئته من كل نقد، بل لإعادة صياغة السؤال ذاته: بدلاً من «هل هذا المشروع علمي بالمعنى الوضعي الغربي؟»، يصبح السؤال الأجدر: «هل يفي هذا المشروع بحق الأمانة العلمية والأخلاقية تجاه من يتلقى العلاج، وتجاه النص الذي يستند إليه، وتجاه العقل الذي يُفترض أن يُخاطَب لا يُستَلَب؟» [7، 8].</w:t>
      </w:r>
    </w:p>
    <w:p w14:paraId="679F81CF" w14:textId="77777777" w:rsidR="005102BB" w:rsidRDefault="00B95738">
      <w:pPr>
        <w:spacing w:after="200" w:line="380" w:lineRule="auto"/>
        <w:jc w:val="both"/>
        <w:rPr>
          <w:rFonts w:cs="Arial"/>
        </w:rPr>
      </w:pPr>
      <w:r>
        <w:rPr>
          <w:color w:val="1A1A1A"/>
        </w:rPr>
        <w:t xml:space="preserve">غير أن الإنصاف يقتضي أيضًا ألا يُستخدم إطار طه عبد الرحمن كمخرج سهل يُعفي المشروع الاستخلافي من مساءلة الجابري وحنفي وأبو زيد، لأن طه عبد الرحمن نفسه يضع شروطًا صارمة جدًا لتحقق «الائتمانية» الحقة، من أبرزها ما يسميه شرط «الحق» الثلاثي: فلا يكفي أن يُدَّعى الوفاء بحق الله (عبر التأصيل الشرعي) ما لم يتحقق معه بالتوازي حق النفس (أي ألا يُمارَس على المتلقي أي شكل من أشكال الوصاية الفكرية أو القسر العاطفي في العلاقة العلاجية) وحق الغير (أي ألا يُوظَّف الخطاب الديني لتبرير علاقات قوة أو استغلال اجتماعي قائمة، وهو ما يلتقي هنا بعينه مع اعتراض حنفي حول «التكييف» بدل «التحرر»). وبذلك، فإن طه عبد الرحمن — رغم اختلاف </w:t>
      </w:r>
      <w:proofErr w:type="spellStart"/>
      <w:r>
        <w:rPr>
          <w:color w:val="1A1A1A"/>
        </w:rPr>
        <w:t>منطلقه</w:t>
      </w:r>
      <w:proofErr w:type="spellEnd"/>
      <w:r>
        <w:rPr>
          <w:color w:val="1A1A1A"/>
        </w:rPr>
        <w:t xml:space="preserve"> الفلسفي عن الجابري وحنفي جذريًا — يلتقي معهما عمليًا في اشتراط معيار صارم للتمييز بين التأصيل الأصيل والتوظيف الأيديولوجي المُقنَّع؛ وهو ما يمنح هذا الفصل الرابع قيمته المنهجية: ليس بوصفه دفاعًا سهلاً عن المشروع، بل بوصفه أفقًا مغايرًا يعيد صياغة معايير الحكم عليه من موقع إسلامي أصيل لا علماني مستورد [7، 8].</w:t>
      </w:r>
    </w:p>
    <w:p w14:paraId="6D43C3D4" w14:textId="77777777" w:rsidR="005102BB" w:rsidRDefault="00B95738">
      <w:pPr>
        <w:rPr>
          <w:rFonts w:cs="Arial"/>
        </w:rPr>
      </w:pPr>
      <w:r>
        <w:br w:type="page"/>
      </w:r>
    </w:p>
    <w:p w14:paraId="5BBC8FDA" w14:textId="77777777" w:rsidR="005102BB" w:rsidRDefault="00B95738">
      <w:pPr>
        <w:pStyle w:val="1"/>
        <w:pBdr>
          <w:bottom w:val="single" w:sz="12" w:space="8" w:color="B8912F"/>
        </w:pBdr>
        <w:bidi/>
        <w:spacing w:before="480" w:after="280"/>
        <w:jc w:val="center"/>
        <w:rPr>
          <w:rFonts w:cs="Arial"/>
        </w:rPr>
      </w:pPr>
      <w:r>
        <w:rPr>
          <w:b/>
          <w:bCs/>
          <w:color w:val="1B2A4A"/>
          <w:sz w:val="34"/>
          <w:szCs w:val="34"/>
        </w:rPr>
        <w:t>٥. تركيب نقدي: نحو معايير إجرائية للفصل بين التأصيل المشروع والتوظيف الأيديولوجي</w:t>
      </w:r>
    </w:p>
    <w:p w14:paraId="6BE7975A" w14:textId="77777777" w:rsidR="005102BB" w:rsidRDefault="00B95738">
      <w:pPr>
        <w:spacing w:after="200" w:line="380" w:lineRule="auto"/>
        <w:jc w:val="both"/>
        <w:rPr>
          <w:rFonts w:cs="Arial"/>
        </w:rPr>
      </w:pPr>
      <w:r>
        <w:rPr>
          <w:color w:val="1A1A1A"/>
        </w:rPr>
        <w:t>إن القراءة المتقاطعة للمنظورات الأربعة — الجابري وحنفي من موقع نقدي-تحرري، وأبو زيد من موقع نقدي-بنيوي، وطه عبد الرحمن من موقع تأصيلي-ائتماني — لا تُفضي إلى حكم نهائي جاهز بإدانة المشروع الاستخلافي أو تبرئته المطلقة، بل تُفضي إلى ما هو أنفع أكاديميًا: مجموعة من المعايير الإجرائية القابلة للتطبيق على أي نص أو بروتوكول علاجي محدد صادر عن المشروع، لاختبار موقعه على طيف يمتد من «التأصيل المعرفي المشروع» إلى «التوظيف الأيديولوجي المُقنَّع». ويمكن تلخيص هذه المعايير في أربعة اختبارات متكاملة:</w:t>
      </w:r>
    </w:p>
    <w:p w14:paraId="2EA64CE2" w14:textId="77777777" w:rsidR="005102BB" w:rsidRDefault="00B95738">
      <w:pPr>
        <w:spacing w:after="180" w:line="380" w:lineRule="auto"/>
        <w:ind w:left="360"/>
        <w:jc w:val="both"/>
        <w:rPr>
          <w:rFonts w:cs="Arial"/>
        </w:rPr>
      </w:pPr>
      <w:r>
        <w:rPr>
          <w:b/>
          <w:bCs/>
          <w:color w:val="B8912F"/>
        </w:rPr>
        <w:t xml:space="preserve">◈  </w:t>
      </w:r>
      <w:r>
        <w:rPr>
          <w:color w:val="1A1A1A"/>
        </w:rPr>
        <w:t>اختبار الشفافية التاريخية (معيار الجابري): هل يُصرَّح بمسار تشكل المفهوم عبر طبقاته التاريخية، أم يُقدَّم على أنه معنى قرآني مباشر وأحادي؟</w:t>
      </w:r>
    </w:p>
    <w:p w14:paraId="3CE0573D" w14:textId="77777777" w:rsidR="005102BB" w:rsidRDefault="00B95738">
      <w:pPr>
        <w:spacing w:after="180" w:line="380" w:lineRule="auto"/>
        <w:ind w:left="360"/>
        <w:jc w:val="both"/>
        <w:rPr>
          <w:rFonts w:cs="Arial"/>
        </w:rPr>
      </w:pPr>
      <w:r>
        <w:rPr>
          <w:b/>
          <w:bCs/>
          <w:color w:val="B8912F"/>
        </w:rPr>
        <w:t xml:space="preserve">◈  </w:t>
      </w:r>
      <w:r>
        <w:rPr>
          <w:color w:val="1A1A1A"/>
        </w:rPr>
        <w:t xml:space="preserve">اختبار التفريق الاجتماعي (معيار حنفي): هل يتضمن البروتوكول خطوة </w:t>
      </w:r>
      <w:proofErr w:type="spellStart"/>
      <w:r>
        <w:rPr>
          <w:color w:val="1A1A1A"/>
        </w:rPr>
        <w:t>تفريقية</w:t>
      </w:r>
      <w:proofErr w:type="spellEnd"/>
      <w:r>
        <w:rPr>
          <w:color w:val="1A1A1A"/>
        </w:rPr>
        <w:t xml:space="preserve"> تستبعد صراحة أن يكون منشأ المعاناة ظلمًا بنيويًا واقعيًا قبل إحالتها إلى تفسير روحي داخلي؟</w:t>
      </w:r>
    </w:p>
    <w:p w14:paraId="057F9089" w14:textId="77777777" w:rsidR="005102BB" w:rsidRDefault="00B95738">
      <w:pPr>
        <w:spacing w:after="180" w:line="380" w:lineRule="auto"/>
        <w:ind w:left="360"/>
        <w:jc w:val="both"/>
        <w:rPr>
          <w:rFonts w:cs="Arial"/>
        </w:rPr>
      </w:pPr>
      <w:r>
        <w:rPr>
          <w:b/>
          <w:bCs/>
          <w:color w:val="B8912F"/>
        </w:rPr>
        <w:t xml:space="preserve">◈  </w:t>
      </w:r>
      <w:r>
        <w:rPr>
          <w:color w:val="1A1A1A"/>
        </w:rPr>
        <w:t>اختبار الفصل الطبقي (معيار أبو زيد): هل يُميَّز بوضوح بين قطعية النص المقدس وظنّية التأويل المعاصر الرابط بينه وبين معطى علمي بعينه؟</w:t>
      </w:r>
    </w:p>
    <w:p w14:paraId="09D8954A" w14:textId="77777777" w:rsidR="005102BB" w:rsidRDefault="00B95738">
      <w:pPr>
        <w:spacing w:after="180" w:line="380" w:lineRule="auto"/>
        <w:ind w:left="360"/>
        <w:jc w:val="both"/>
        <w:rPr>
          <w:rFonts w:cs="Arial"/>
        </w:rPr>
      </w:pPr>
      <w:r>
        <w:rPr>
          <w:b/>
          <w:bCs/>
          <w:color w:val="B8912F"/>
        </w:rPr>
        <w:t xml:space="preserve">◈  </w:t>
      </w:r>
      <w:r>
        <w:rPr>
          <w:color w:val="1A1A1A"/>
        </w:rPr>
        <w:t>اختبار الحق الثلاثي (معيار طه عبد الرحمن): هل تتحقق الأمانة تجاه النص، وتجاه حرية المتلقي العقلية والعاطفية، وتجاه عدم توظيف الخطاب لتبرير علاقات قوة قائمة، معًا وبالتوازي؟</w:t>
      </w:r>
    </w:p>
    <w:p w14:paraId="54E3F03A" w14:textId="77777777" w:rsidR="005102BB" w:rsidRDefault="00B95738">
      <w:pPr>
        <w:spacing w:after="200" w:line="380" w:lineRule="auto"/>
        <w:jc w:val="both"/>
        <w:rPr>
          <w:rFonts w:cs="Arial"/>
        </w:rPr>
      </w:pPr>
      <w:r>
        <w:rPr>
          <w:color w:val="1A1A1A"/>
        </w:rPr>
        <w:t>وكل نص أو بروتوكول علاجي صادر عن المشروع الاستخلافي يجتاز هذه الاختبارات الأربعة مجتمعة يكتسب حظًا معتبرًا من المشروعية المعرفية بصرف النظر عن الموقف المسبق تجاه المشروع ككل؛ وكل نص يخفق في أحدها — لا سيما اختباري حنفي وأبو زيد معًا — يستحق أن يُصنَّف ضمن دائرة الشبهة الأيديولوجية التي حذر منها هذا القسيم النقدي منذ طبعته الأولى.</w:t>
      </w:r>
    </w:p>
    <w:p w14:paraId="4783D1B0" w14:textId="77777777" w:rsidR="005102BB" w:rsidRDefault="00B95738">
      <w:pPr>
        <w:pStyle w:val="2"/>
        <w:bidi/>
        <w:spacing w:before="360" w:after="200"/>
        <w:jc w:val="right"/>
        <w:rPr>
          <w:rFonts w:cs="Arial"/>
        </w:rPr>
      </w:pPr>
      <w:r>
        <w:rPr>
          <w:b/>
          <w:bCs/>
          <w:color w:val="0F6B6B"/>
          <w:sz w:val="28"/>
          <w:szCs w:val="28"/>
        </w:rPr>
        <w:t>خاتمة: إشكالية مركزية للمستقبل</w:t>
      </w:r>
    </w:p>
    <w:p w14:paraId="27102701" w14:textId="77777777" w:rsidR="005102BB" w:rsidRDefault="00B95738">
      <w:pPr>
        <w:spacing w:after="200" w:line="380" w:lineRule="auto"/>
        <w:jc w:val="both"/>
        <w:rPr>
          <w:rFonts w:cs="Arial"/>
        </w:rPr>
      </w:pPr>
      <w:r>
        <w:rPr>
          <w:color w:val="1A1A1A"/>
        </w:rPr>
        <w:t xml:space="preserve">هكذا، لا يواجه المشروع الاستخلافي تحديًا في فعالية تقنياته العلاجية فقط، بل في جذوره الفلسفية والمنهجية. السؤال الجوهري الذي يطرح نفسه هو: هل هذا المشروع تأسيسي يُحرر العلوم الإنسانية من </w:t>
      </w:r>
      <w:proofErr w:type="spellStart"/>
      <w:r>
        <w:rPr>
          <w:color w:val="1A1A1A"/>
        </w:rPr>
        <w:t>مركزيتها</w:t>
      </w:r>
      <w:proofErr w:type="spellEnd"/>
      <w:r>
        <w:rPr>
          <w:color w:val="1A1A1A"/>
        </w:rPr>
        <w:t xml:space="preserve"> الغربية ليُنتج معرفة كونية جديدة ذات أصالة ومنهجية مستقلة؟ أم هو مشروع دفاعي يُحاول إضفاء الشرعية على الذات أمام هيمنة النموذج الغربي، من خلال تطعيمه بمصطلحات دينية تجعله أكثر قبولًا ثقافيًا، دون أن يقدم إضافة نوعية حقيقية للمنهج العلمي أو الفهم الإنساني؟</w:t>
      </w:r>
    </w:p>
    <w:p w14:paraId="31B51194" w14:textId="77777777" w:rsidR="005102BB" w:rsidRDefault="00B95738">
      <w:pPr>
        <w:spacing w:after="200" w:line="380" w:lineRule="auto"/>
        <w:jc w:val="both"/>
        <w:rPr>
          <w:rFonts w:cs="Arial"/>
        </w:rPr>
      </w:pPr>
      <w:r>
        <w:rPr>
          <w:color w:val="1A1A1A"/>
        </w:rPr>
        <w:t>وقد أضافت هذه القراءة الموسّعة إلى هذا السؤال بُعدًا ثالثًا لا يُغفل: أن الإجابة عنه ليست إجابة واحدة نهائية تصدق على «المشروع» ككل دفعة واحدة، بل هي إجابة تتفاوت نصًا بنص وبروتوكولًا ببروتوكول، تبعًا لمدى اجتيازه للاختبارات الإجرائية الأربعة أعلاه. الإجابة عن هذا السؤال — على هذا المستوى التفصيلي التطبيقي، لا على مستوى الشعار العام — هي التي ستُحدد ما إذا كان هذا المسار سيُثمر عن «علم نفس» حقيقي ذي قيمة عالمية، أم سيبقى مجرد «خطاب هوياتي» في سوق العلوم الإنسانية العالمية.</w:t>
      </w:r>
    </w:p>
    <w:tbl>
      <w:tblPr>
        <w:tblW w:w="5000" w:type="pct"/>
        <w:tblBorders>
          <w:top w:val="single" w:sz="16" w:space="0" w:color="B8912F"/>
          <w:left w:val="single" w:sz="16" w:space="0" w:color="B8912F"/>
          <w:bottom w:val="single" w:sz="16" w:space="0" w:color="B8912F"/>
          <w:right w:val="single" w:sz="16" w:space="0" w:color="B8912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986"/>
      </w:tblGrid>
      <w:tr w:rsidR="005102BB" w14:paraId="7C608E44" w14:textId="77777777">
        <w:tc>
          <w:tcPr>
            <w:tcW w:w="0" w:type="auto"/>
            <w:shd w:val="clear" w:color="auto" w:fill="F7EFDD"/>
            <w:tcMar>
              <w:top w:w="200" w:type="dxa"/>
              <w:left w:w="300" w:type="dxa"/>
              <w:bottom w:w="200" w:type="dxa"/>
              <w:right w:w="300" w:type="dxa"/>
            </w:tcMar>
            <w:vAlign w:val="center"/>
          </w:tcPr>
          <w:p w14:paraId="0A7027CC" w14:textId="77777777" w:rsidR="005102BB" w:rsidRDefault="00B95738">
            <w:pPr>
              <w:spacing w:after="100"/>
              <w:jc w:val="center"/>
              <w:rPr>
                <w:rFonts w:cs="Arial"/>
              </w:rPr>
            </w:pPr>
            <w:r>
              <w:rPr>
                <w:b/>
                <w:bCs/>
                <w:color w:val="1B2A4A"/>
                <w:sz w:val="30"/>
                <w:szCs w:val="30"/>
              </w:rPr>
              <w:t>﴿قُلْ هَاتُوا بُرْهَانَكُمْ إِن كُنتُمْ صَادِقِينَ﴾</w:t>
            </w:r>
          </w:p>
          <w:p w14:paraId="0BB36619" w14:textId="77777777" w:rsidR="005102BB" w:rsidRDefault="00B95738">
            <w:pPr>
              <w:jc w:val="center"/>
              <w:rPr>
                <w:rFonts w:cs="Arial"/>
              </w:rPr>
            </w:pPr>
            <w:r>
              <w:rPr>
                <w:i/>
                <w:iCs/>
                <w:color w:val="0F6B6B"/>
                <w:sz w:val="22"/>
                <w:szCs w:val="22"/>
              </w:rPr>
              <w:t>سورة البقرة، الآية 111</w:t>
            </w:r>
          </w:p>
        </w:tc>
      </w:tr>
    </w:tbl>
    <w:p w14:paraId="1F3EC7F5" w14:textId="77777777" w:rsidR="005102BB" w:rsidRDefault="005102BB">
      <w:pPr>
        <w:spacing w:after="200"/>
        <w:rPr>
          <w:rFonts w:cs="Arial"/>
        </w:rPr>
      </w:pPr>
    </w:p>
    <w:p w14:paraId="4689C238" w14:textId="77777777" w:rsidR="005102BB" w:rsidRDefault="00B95738">
      <w:pPr>
        <w:rPr>
          <w:rFonts w:cs="Arial"/>
        </w:rPr>
      </w:pPr>
      <w:r>
        <w:br w:type="page"/>
      </w:r>
    </w:p>
    <w:p w14:paraId="2DECAB5F" w14:textId="77777777" w:rsidR="005102BB" w:rsidRDefault="00B95738">
      <w:pPr>
        <w:pStyle w:val="1"/>
        <w:pBdr>
          <w:bottom w:val="single" w:sz="12" w:space="8" w:color="B8912F"/>
        </w:pBdr>
        <w:bidi/>
        <w:spacing w:before="480" w:after="280"/>
        <w:jc w:val="center"/>
        <w:rPr>
          <w:rFonts w:cs="Arial"/>
        </w:rPr>
      </w:pPr>
      <w:r>
        <w:rPr>
          <w:b/>
          <w:bCs/>
          <w:color w:val="1B2A4A"/>
          <w:sz w:val="34"/>
          <w:szCs w:val="34"/>
        </w:rPr>
        <w:t>المراجع</w:t>
      </w:r>
    </w:p>
    <w:p w14:paraId="6B772ADC" w14:textId="77777777" w:rsidR="005102BB" w:rsidRDefault="00B95738">
      <w:pPr>
        <w:spacing w:after="140" w:line="340" w:lineRule="auto"/>
        <w:jc w:val="right"/>
        <w:rPr>
          <w:rFonts w:cs="Arial"/>
        </w:rPr>
      </w:pPr>
      <w:r>
        <w:rPr>
          <w:color w:val="1A1A1A"/>
          <w:sz w:val="23"/>
          <w:szCs w:val="23"/>
        </w:rPr>
        <w:t>[1] الجابري، محمد عابد. (1982). تكوين العقل العربي. بيروت: مركز دراسات الوحدة العربية.</w:t>
      </w:r>
    </w:p>
    <w:p w14:paraId="55B42179" w14:textId="77777777" w:rsidR="005102BB" w:rsidRDefault="00B95738">
      <w:pPr>
        <w:spacing w:after="140" w:line="340" w:lineRule="auto"/>
        <w:jc w:val="right"/>
        <w:rPr>
          <w:rFonts w:cs="Arial"/>
        </w:rPr>
      </w:pPr>
      <w:r>
        <w:rPr>
          <w:color w:val="1A1A1A"/>
          <w:sz w:val="23"/>
          <w:szCs w:val="23"/>
        </w:rPr>
        <w:t>[2] الجابري، محمد عابد. (1989). بنية العقل العربي: دراسة تحليلية نقدية لنظم المعرفة في الثقافة العربية. بيروت: مركز دراسات الوحدة العربية.</w:t>
      </w:r>
    </w:p>
    <w:p w14:paraId="7A74F9D8" w14:textId="77777777" w:rsidR="005102BB" w:rsidRDefault="00B95738">
      <w:pPr>
        <w:spacing w:after="140" w:line="340" w:lineRule="auto"/>
        <w:jc w:val="right"/>
        <w:rPr>
          <w:rFonts w:cs="Arial"/>
        </w:rPr>
      </w:pPr>
      <w:r>
        <w:rPr>
          <w:color w:val="1A1A1A"/>
          <w:sz w:val="23"/>
          <w:szCs w:val="23"/>
        </w:rPr>
        <w:t>[3] النص الأصلي المقدم من المستخدم (القسيم النقدي الأساسي، الطبعة الأولى).</w:t>
      </w:r>
    </w:p>
    <w:p w14:paraId="74A1B9F8" w14:textId="77777777" w:rsidR="005102BB" w:rsidRDefault="00B95738">
      <w:pPr>
        <w:spacing w:after="140" w:line="340" w:lineRule="auto"/>
        <w:jc w:val="right"/>
        <w:rPr>
          <w:rFonts w:cs="Arial"/>
        </w:rPr>
      </w:pPr>
      <w:r>
        <w:rPr>
          <w:color w:val="1A1A1A"/>
          <w:sz w:val="23"/>
          <w:szCs w:val="23"/>
        </w:rPr>
        <w:t>[4] حنفي، حسن. (1988). من العقيدة إلى الثورة: المقدمات النظرية (ج1). القاهرة: مكتبة مدبولي / مؤسسة هنداوي.</w:t>
      </w:r>
    </w:p>
    <w:p w14:paraId="7B684B83" w14:textId="77777777" w:rsidR="005102BB" w:rsidRDefault="00B95738">
      <w:pPr>
        <w:spacing w:after="140" w:line="340" w:lineRule="auto"/>
        <w:jc w:val="right"/>
        <w:rPr>
          <w:rFonts w:cs="Arial"/>
        </w:rPr>
      </w:pPr>
      <w:r>
        <w:rPr>
          <w:color w:val="1A1A1A"/>
          <w:sz w:val="23"/>
          <w:szCs w:val="23"/>
        </w:rPr>
        <w:t>[5] أبو زيد، نصر حامد. (1990). مفهوم النص: دراسة في علوم القرآن. القاهرة/الدار البيضاء: المركز الثقافي العربي.</w:t>
      </w:r>
    </w:p>
    <w:p w14:paraId="6B25DA7F" w14:textId="77777777" w:rsidR="005102BB" w:rsidRDefault="00B95738">
      <w:pPr>
        <w:spacing w:after="140" w:line="340" w:lineRule="auto"/>
        <w:jc w:val="right"/>
        <w:rPr>
          <w:rFonts w:cs="Arial"/>
        </w:rPr>
      </w:pPr>
      <w:r>
        <w:rPr>
          <w:color w:val="1A1A1A"/>
          <w:sz w:val="23"/>
          <w:szCs w:val="23"/>
        </w:rPr>
        <w:t>[6] أبو زيد، نصر حامد. (1992). نقد الخطاب الديني. القاهرة: سينا للنشر.</w:t>
      </w:r>
    </w:p>
    <w:p w14:paraId="263C285C" w14:textId="77777777" w:rsidR="005102BB" w:rsidRDefault="00B95738">
      <w:pPr>
        <w:spacing w:after="140" w:line="340" w:lineRule="auto"/>
        <w:jc w:val="right"/>
        <w:rPr>
          <w:rFonts w:cs="Arial"/>
        </w:rPr>
      </w:pPr>
      <w:r>
        <w:rPr>
          <w:color w:val="1A1A1A"/>
          <w:sz w:val="23"/>
          <w:szCs w:val="23"/>
        </w:rPr>
        <w:t>[7] طه عبد الرحمن. (2000). سؤال الأخلاق: مساهمة في النقد الأخلاقي للحداثة الغربية. الدار البيضاء/بيروت: المركز الثقافي العربي.</w:t>
      </w:r>
    </w:p>
    <w:p w14:paraId="6CE50C63" w14:textId="77777777" w:rsidR="005102BB" w:rsidRDefault="00B95738">
      <w:pPr>
        <w:spacing w:after="140" w:line="340" w:lineRule="auto"/>
        <w:jc w:val="right"/>
        <w:rPr>
          <w:rFonts w:cs="Arial"/>
        </w:rPr>
      </w:pPr>
      <w:r>
        <w:rPr>
          <w:color w:val="1A1A1A"/>
          <w:sz w:val="23"/>
          <w:szCs w:val="23"/>
        </w:rPr>
        <w:t>[8] طه عبد الرحمن. (2006). روح الحداثة: المدخل إلى تأسيس الحداثة الإسلامية. الدار البيضاء/بيروت: المركز الثقافي العربي.</w:t>
      </w:r>
    </w:p>
    <w:p w14:paraId="2A19304C" w14:textId="77777777" w:rsidR="005102BB" w:rsidRDefault="00B95738">
      <w:pPr>
        <w:spacing w:after="140" w:line="340" w:lineRule="auto"/>
        <w:jc w:val="right"/>
        <w:rPr>
          <w:rFonts w:cs="Arial"/>
        </w:rPr>
      </w:pPr>
      <w:r>
        <w:rPr>
          <w:color w:val="1A1A1A"/>
          <w:sz w:val="23"/>
          <w:szCs w:val="23"/>
        </w:rPr>
        <w:t>[9] خليل، صبري محمد. (2018). علم النفس الاستخلافي: دراسة في علم النفس الفلسفي الإسلامي. (مقالات ودراسات منشورة).</w:t>
      </w:r>
    </w:p>
    <w:p w14:paraId="235E9087" w14:textId="77777777" w:rsidR="005102BB" w:rsidRDefault="00B95738">
      <w:pPr>
        <w:spacing w:after="140" w:line="340" w:lineRule="auto"/>
        <w:jc w:val="right"/>
        <w:rPr>
          <w:rFonts w:cs="Arial"/>
        </w:rPr>
      </w:pPr>
      <w:r>
        <w:rPr>
          <w:color w:val="1A1A1A"/>
          <w:sz w:val="23"/>
          <w:szCs w:val="23"/>
        </w:rPr>
        <w:t>[10] خليل، صبري محمد. (2011). الأبعاد المعرفية لمفهوم الاستخلاف. (مقالات ودراسات منشورة).</w:t>
      </w:r>
    </w:p>
    <w:sectPr w:rsidR="005102BB">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F6CF4" w14:textId="77777777" w:rsidR="007F096D" w:rsidRDefault="007F096D">
      <w:pPr>
        <w:rPr>
          <w:rFonts w:cs="Arial"/>
        </w:rPr>
      </w:pPr>
      <w:r>
        <w:separator/>
      </w:r>
    </w:p>
  </w:endnote>
  <w:endnote w:type="continuationSeparator" w:id="0">
    <w:p w14:paraId="2842CC6F" w14:textId="77777777" w:rsidR="007F096D" w:rsidRDefault="007F096D">
      <w:pPr>
        <w:rPr>
          <w:rFonts w:cs="Aria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50E83" w14:textId="77777777" w:rsidR="005102BB" w:rsidRDefault="00B95738">
    <w:pPr>
      <w:jc w:val="center"/>
      <w:rPr>
        <w:rFonts w:cs="Arial"/>
      </w:rPr>
    </w:pPr>
    <w:r>
      <w:rPr>
        <w:color w:val="1B2A4A"/>
        <w:sz w:val="18"/>
        <w:szCs w:val="18"/>
      </w:rPr>
      <w:fldChar w:fldCharType="begin"/>
    </w:r>
    <w:r>
      <w:rPr>
        <w:color w:val="1B2A4A"/>
        <w:sz w:val="18"/>
        <w:szCs w:val="18"/>
      </w:rPr>
      <w:instrText>PAGE</w:instrText>
    </w:r>
    <w:r>
      <w:rPr>
        <w:color w:val="1B2A4A"/>
        <w:sz w:val="18"/>
        <w:szCs w:val="18"/>
      </w:rPr>
      <w:fldChar w:fldCharType="separate"/>
    </w:r>
    <w:r>
      <w:rPr>
        <w:color w:val="1B2A4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0F229" w14:textId="77777777" w:rsidR="007F096D" w:rsidRDefault="007F096D">
      <w:pPr>
        <w:rPr>
          <w:rFonts w:cs="Arial"/>
        </w:rPr>
      </w:pPr>
      <w:r>
        <w:separator/>
      </w:r>
    </w:p>
  </w:footnote>
  <w:footnote w:type="continuationSeparator" w:id="0">
    <w:p w14:paraId="1D0BC25A" w14:textId="77777777" w:rsidR="007F096D" w:rsidRDefault="007F096D">
      <w:pPr>
        <w:rPr>
          <w:rFonts w:cs="Aria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8108F" w14:textId="77777777" w:rsidR="005102BB" w:rsidRDefault="00B95738">
    <w:pPr>
      <w:pBdr>
        <w:bottom w:val="single" w:sz="6" w:space="4" w:color="B8912F"/>
      </w:pBdr>
      <w:jc w:val="center"/>
      <w:rPr>
        <w:rFonts w:cs="Arial"/>
      </w:rPr>
    </w:pPr>
    <w:r>
      <w:rPr>
        <w:i/>
        <w:iCs/>
        <w:color w:val="0F6B6B"/>
        <w:sz w:val="18"/>
        <w:szCs w:val="18"/>
      </w:rPr>
      <w:t>علم النفس الاستخلافي — قسيم نقدي: المشروعية والتوظيف الأيديولوجي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6663D"/>
    <w:multiLevelType w:val="hybridMultilevel"/>
    <w:tmpl w:val="FFFFFFFF"/>
    <w:lvl w:ilvl="0" w:tplc="22961B02">
      <w:start w:val="1"/>
      <w:numFmt w:val="bullet"/>
      <w:lvlText w:val="●"/>
      <w:lvlJc w:val="left"/>
      <w:pPr>
        <w:ind w:left="720" w:hanging="360"/>
      </w:pPr>
    </w:lvl>
    <w:lvl w:ilvl="1" w:tplc="94A893F0">
      <w:start w:val="1"/>
      <w:numFmt w:val="bullet"/>
      <w:lvlText w:val="○"/>
      <w:lvlJc w:val="left"/>
      <w:pPr>
        <w:ind w:left="1440" w:hanging="360"/>
      </w:pPr>
    </w:lvl>
    <w:lvl w:ilvl="2" w:tplc="CDEA46B8">
      <w:start w:val="1"/>
      <w:numFmt w:val="bullet"/>
      <w:lvlText w:val="■"/>
      <w:lvlJc w:val="left"/>
      <w:pPr>
        <w:ind w:left="2160" w:hanging="360"/>
      </w:pPr>
    </w:lvl>
    <w:lvl w:ilvl="3" w:tplc="8EA6EECE">
      <w:start w:val="1"/>
      <w:numFmt w:val="bullet"/>
      <w:lvlText w:val="●"/>
      <w:lvlJc w:val="left"/>
      <w:pPr>
        <w:ind w:left="2880" w:hanging="360"/>
      </w:pPr>
    </w:lvl>
    <w:lvl w:ilvl="4" w:tplc="F22AFF86">
      <w:start w:val="1"/>
      <w:numFmt w:val="bullet"/>
      <w:lvlText w:val="○"/>
      <w:lvlJc w:val="left"/>
      <w:pPr>
        <w:ind w:left="3600" w:hanging="360"/>
      </w:pPr>
    </w:lvl>
    <w:lvl w:ilvl="5" w:tplc="7080481A">
      <w:start w:val="1"/>
      <w:numFmt w:val="bullet"/>
      <w:lvlText w:val="■"/>
      <w:lvlJc w:val="left"/>
      <w:pPr>
        <w:ind w:left="4320" w:hanging="360"/>
      </w:pPr>
    </w:lvl>
    <w:lvl w:ilvl="6" w:tplc="9800DD7A">
      <w:start w:val="1"/>
      <w:numFmt w:val="bullet"/>
      <w:lvlText w:val="●"/>
      <w:lvlJc w:val="left"/>
      <w:pPr>
        <w:ind w:left="5040" w:hanging="360"/>
      </w:pPr>
    </w:lvl>
    <w:lvl w:ilvl="7" w:tplc="253E3B82">
      <w:start w:val="1"/>
      <w:numFmt w:val="bullet"/>
      <w:lvlText w:val="●"/>
      <w:lvlJc w:val="left"/>
      <w:pPr>
        <w:ind w:left="5760" w:hanging="360"/>
      </w:pPr>
    </w:lvl>
    <w:lvl w:ilvl="8" w:tplc="3B08ED0E">
      <w:start w:val="1"/>
      <w:numFmt w:val="bullet"/>
      <w:lvlText w:val="●"/>
      <w:lvlJc w:val="left"/>
      <w:pPr>
        <w:ind w:left="6480" w:hanging="360"/>
      </w:pPr>
    </w:lvl>
  </w:abstractNum>
  <w:num w:numId="1" w16cid:durableId="6712946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2BB"/>
    <w:rsid w:val="005102BB"/>
    <w:rsid w:val="006F130A"/>
    <w:rsid w:val="007F096D"/>
    <w:rsid w:val="00A83409"/>
    <w:rsid w:val="00B37FDE"/>
    <w:rsid w:val="00B95738"/>
    <w:rsid w:val="00D13442"/>
    <w:rsid w:val="00F85E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55774BE4"/>
  <w15:docId w15:val="{D218C974-245C-4541-BEA1-F0D7C3369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6"/>
        <w:szCs w:val="26"/>
        <w:rt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rPr>
  </w:style>
  <w:style w:type="paragraph" w:styleId="3">
    <w:name w:val="heading 3"/>
    <w:uiPriority w:val="9"/>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3051</Words>
  <Characters>17392</Characters>
  <Application>Microsoft Office Word</Application>
  <DocSecurity>0</DocSecurity>
  <Lines>144</Lines>
  <Paragraphs>40</Paragraphs>
  <ScaleCrop>false</ScaleCrop>
  <Company/>
  <LinksUpToDate>false</LinksUpToDate>
  <CharactersWithSpaces>20403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قسيم نقدي موسّع: إشكاليات المشروعية والتوظيف الأيديولوجي</dc:title>
  <dc:creator>Zaraa Psychology Research Series</dc:creator>
  <cp:lastModifiedBy>zaraaabdesslem@gmail.com</cp:lastModifiedBy>
  <cp:revision>5</cp:revision>
  <dcterms:created xsi:type="dcterms:W3CDTF">2026-07-16T08:57:00Z</dcterms:created>
  <dcterms:modified xsi:type="dcterms:W3CDTF">2026-07-16T09:07:00Z</dcterms:modified>
</cp:coreProperties>
</file>